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Fullboard meeting pelatihan petugas Sensus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selasa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delapan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/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Penyediaan dan Pelayanan Informasi Statistik untuk Kode Kegiatan 2897, 2900, dan 2901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Fullboard meeting pelatihan petugas Sensus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101.640.000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seratus satu juta enam ratus empat puluh  ribu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Penyediaan dan Pelayanan Informasi Statistik untuk Kode Kegiatan 2897, 2900, dan 2901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ppk2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