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34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Gentium Basic" w:hAnsi="Gentium Basic" w:eastAsia="Gentium Basic" w:cs="Gentium Basic"/>
                <w:lang w:val="en-US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>Nomor</w:t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 xml:space="preserve">: </w:t>
            </w:r>
            <w:r>
              <w:rPr>
                <w:rFonts w:hint="default" w:ascii="Gentium Basic" w:hAnsi="Gentium Basic" w:eastAsia="Gentium Basic" w:cs="Gentium Basic"/>
                <w:rtl w:val="0"/>
                <w:lang w:val="en-US"/>
              </w:rPr>
              <w:t>test_nomor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Gentium Basic" w:hAnsi="Gentium Basic" w:eastAsia="Gentium Basic" w:cs="Gentium Basic"/>
                <w:lang w:val="en-US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 xml:space="preserve">Jakarta, </w:t>
            </w:r>
            <w:r>
              <w:rPr>
                <w:rFonts w:hint="default" w:ascii="Gentium Basic" w:hAnsi="Gentium Basic" w:eastAsia="Gentium Basic" w:cs="Gentium Basic"/>
                <w:rtl w:val="0"/>
                <w:lang w:val="en-US"/>
              </w:rPr>
              <w:t>test_tanggal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Gentium Basic" w:hAnsi="Gentium Basic" w:eastAsia="Gentium Basic" w:cs="Gentium Basic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>Lampiran</w:t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>: 1 (satu) set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Gentium Basic" w:hAnsi="Gentium Basic" w:eastAsia="Gentium Basic" w:cs="Gentium Basic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1418" w:hanging="1418"/>
              <w:rPr>
                <w:rFonts w:ascii="Gentium Basic" w:hAnsi="Gentium Basic" w:eastAsia="Gentium Basic" w:cs="Gentium Basic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>Perihal</w:t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ab/>
            </w:r>
            <w:r>
              <w:rPr>
                <w:rFonts w:ascii="Gentium Basic" w:hAnsi="Gentium Basic" w:eastAsia="Gentium Basic" w:cs="Gentium Basic"/>
                <w:rtl w:val="0"/>
              </w:rPr>
              <w:t xml:space="preserve">: Permohonan Pengadaan 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ascii="Gentium Basic" w:hAnsi="Gentium Basic" w:eastAsia="Gentium Basic" w:cs="Gentium Basic"/>
              </w:rPr>
            </w:pPr>
          </w:p>
        </w:tc>
      </w:tr>
    </w:tbl>
    <w:p>
      <w:pPr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ab/>
      </w:r>
      <w:r>
        <w:rPr>
          <w:rFonts w:ascii="Gentium Basic" w:hAnsi="Gentium Basic" w:eastAsia="Gentium Basic" w:cs="Gentium Basic"/>
          <w:rtl w:val="0"/>
        </w:rPr>
        <w:t xml:space="preserve">                       </w:t>
      </w:r>
    </w:p>
    <w:p>
      <w:pPr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Kepada Yth :</w:t>
      </w:r>
    </w:p>
    <w:tbl>
      <w:tblPr>
        <w:tblStyle w:val="14"/>
        <w:tblW w:w="464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46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 w:ascii="Gentium Basic" w:hAnsi="Gentium Basic" w:eastAsia="Gentium Basic" w:cs="Gentium Basic"/>
                <w:color w:val="000000"/>
                <w:lang w:val="en-US"/>
              </w:rPr>
            </w:pPr>
            <w:r>
              <w:rPr>
                <w:rFonts w:hint="default" w:ascii="Gentium Basic" w:hAnsi="Gentium Basic" w:eastAsia="Gentium Basic" w:cs="Gentium Basic"/>
                <w:color w:val="000000"/>
                <w:lang w:val="en-US"/>
              </w:rPr>
              <w:t>Pejabat Pengadaan Selain Pengiriman, Saran Prasarana, ATK dan Komputer Supplies untuk Kegiatan Deputi Bidang Neraca dan Analisis Statistik</w:t>
            </w:r>
          </w:p>
          <w:p>
            <w:pPr>
              <w:rPr>
                <w:rFonts w:ascii="Gentium Basic" w:hAnsi="Gentium Basic" w:eastAsia="Gentium Basic" w:cs="Gentium Basic"/>
              </w:rPr>
            </w:pPr>
            <w:r>
              <w:rPr>
                <w:rFonts w:ascii="Gentium Basic" w:hAnsi="Gentium Basic" w:eastAsia="Gentium Basic" w:cs="Gentium Basic"/>
                <w:rtl w:val="0"/>
              </w:rPr>
              <w:t xml:space="preserve">di  </w:t>
            </w:r>
          </w:p>
          <w:p>
            <w:pPr>
              <w:rPr>
                <w:rFonts w:ascii="Gentium Basic" w:hAnsi="Gentium Basic" w:eastAsia="Gentium Basic" w:cs="Gentium Basic"/>
                <w:u w:val="single"/>
              </w:rPr>
            </w:pPr>
            <w:r>
              <w:rPr>
                <w:rFonts w:ascii="Gentium Basic" w:hAnsi="Gentium Basic" w:eastAsia="Gentium Basic" w:cs="Gentium Basic"/>
                <w:u w:val="single"/>
                <w:rtl w:val="0"/>
              </w:rPr>
              <w:t>BADAN PUSAT STATISTIK.</w:t>
            </w:r>
          </w:p>
          <w:p>
            <w:pPr>
              <w:rPr>
                <w:rFonts w:ascii="Gentium Basic" w:hAnsi="Gentium Basic" w:eastAsia="Gentium Basic" w:cs="Gentium Basic"/>
              </w:rPr>
            </w:pPr>
          </w:p>
        </w:tc>
      </w:tr>
    </w:tbl>
    <w:p>
      <w:pPr>
        <w:rPr>
          <w:rFonts w:ascii="Gentium Basic" w:hAnsi="Gentium Basic" w:eastAsia="Gentium Basic" w:cs="Gentium Basic"/>
          <w:u w:val="single"/>
        </w:rPr>
      </w:pPr>
      <w:r>
        <w:rPr>
          <w:rFonts w:ascii="Gentium Basic" w:hAnsi="Gentium Basic" w:eastAsia="Gentium Basic" w:cs="Gentium Basic"/>
          <w:u w:val="single"/>
          <w:rtl w:val="0"/>
        </w:rPr>
        <w:br w:type="textWrapping"/>
      </w:r>
    </w:p>
    <w:p>
      <w:pPr>
        <w:spacing w:after="240"/>
        <w:jc w:val="both"/>
        <w:rPr>
          <w:rFonts w:ascii="Gentium Basic" w:hAnsi="Gentium Basic" w:eastAsia="Gentium Basic" w:cs="Gentium Basic"/>
        </w:rPr>
      </w:pPr>
      <w:bookmarkStart w:id="0" w:name="_gjdgxs" w:colFirst="0" w:colLast="0"/>
      <w:bookmarkEnd w:id="0"/>
      <w:r>
        <w:rPr>
          <w:rFonts w:ascii="Gentium Basic" w:hAnsi="Gentium Basic" w:eastAsia="Gentium Basic" w:cs="Gentium Basic"/>
          <w:rtl w:val="0"/>
        </w:rPr>
        <w:tab/>
      </w:r>
      <w:r>
        <w:rPr>
          <w:rFonts w:ascii="Gentium Basic" w:hAnsi="Gentium Basic" w:eastAsia="Gentium Basic" w:cs="Gentium Basic"/>
          <w:rtl w:val="0"/>
        </w:rPr>
        <w:t xml:space="preserve">Menindaklanjuti permintaan pengadaan dari Kepala </w:t>
      </w:r>
      <w:r>
        <w:rPr>
          <w:rFonts w:hint="default" w:ascii="Gentium Basic" w:hAnsi="Gentium Basic" w:eastAsia="Gentium Basic" w:cs="Gentium Basic"/>
          <w:rtl w:val="0"/>
          <w:lang w:val="en-US"/>
        </w:rPr>
        <w:t>Bagian Penyusunan Anggaran</w:t>
      </w:r>
      <w:r>
        <w:rPr>
          <w:rFonts w:ascii="Gentium Basic" w:hAnsi="Gentium Basic" w:eastAsia="Gentium Basic" w:cs="Gentium Basic"/>
          <w:rtl w:val="0"/>
        </w:rPr>
        <w:t xml:space="preserve"> Nomor </w:t>
      </w:r>
      <w:r>
        <w:rPr>
          <w:rFonts w:hint="default" w:ascii="Gentium Basic" w:hAnsi="Gentium Basic" w:eastAsia="Gentium Basic" w:cs="Gentium Basic"/>
          <w:rtl w:val="0"/>
          <w:lang w:val="en-US"/>
        </w:rPr>
        <w:t>B1111/B-sdsdnsd/BPS/2019</w:t>
      </w:r>
      <w:r>
        <w:rPr>
          <w:rFonts w:ascii="Gentium Basic" w:hAnsi="Gentium Basic" w:eastAsia="Gentium Basic" w:cs="Gentium Basic"/>
          <w:rtl w:val="0"/>
        </w:rPr>
        <w:t xml:space="preserve"> tanggal </w:t>
      </w:r>
      <w:r>
        <w:rPr>
          <w:rFonts w:hint="default" w:ascii="Gentium Basic" w:hAnsi="Gentium Basic" w:eastAsia="Gentium Basic" w:cs="Gentium Basic"/>
          <w:rtl w:val="0"/>
          <w:lang w:val="en-US"/>
        </w:rPr>
        <w:t>2019-06-12</w:t>
      </w:r>
      <w:r>
        <w:rPr>
          <w:rFonts w:ascii="Gentium Basic" w:hAnsi="Gentium Basic" w:eastAsia="Gentium Basic" w:cs="Gentium Basic"/>
          <w:rtl w:val="0"/>
        </w:rPr>
        <w:t>, diminta untuk diproses pengadaannya sesuai dengan ketentuan yang berlaku.</w:t>
      </w:r>
    </w:p>
    <w:p>
      <w:pPr>
        <w:spacing w:after="240"/>
        <w:ind w:firstLine="720"/>
        <w:jc w:val="both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Bersama ini dilampirkan Spesifikasi Teknis, dan Form Permintaan Belanja untuk paket pekerjaan</w:t>
      </w:r>
      <w:r>
        <w:rPr>
          <w:rFonts w:hint="default" w:ascii="Gentium Basic" w:hAnsi="Gentium Basic" w:eastAsia="Gentium Basic" w:cs="Gentium Basic"/>
          <w:rtl w:val="0"/>
          <w:lang w:val="en-US"/>
        </w:rPr>
        <w:t xml:space="preserve"> Fullboard meeting pelatihan petugas Sensus</w:t>
      </w:r>
      <w:r>
        <w:rPr>
          <w:rFonts w:ascii="Gentium Basic" w:hAnsi="Gentium Basic" w:eastAsia="Gentium Basic" w:cs="Gentium Basic"/>
          <w:rtl w:val="0"/>
        </w:rPr>
        <w:t>.</w:t>
      </w:r>
    </w:p>
    <w:p>
      <w:pPr>
        <w:ind w:firstLine="720"/>
        <w:jc w:val="both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Demikian disampaikan, atas perhatian dan kerjasama-nya diucapkan terimakasih.</w:t>
      </w:r>
    </w:p>
    <w:p>
      <w:pPr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50800</wp:posOffset>
                </wp:positionV>
                <wp:extent cx="3602355" cy="20243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9585" y="2774795"/>
                          <a:ext cx="359283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BADAN PUSAT STATISTIK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en-US"/>
                              </w:rPr>
                              <w:t>Pejabat Pembuat Komitmen Program/Kegiatan Penyediaan dan Pelayanan Informasi Statistik untuk Kode Kegiatan 2897, 2900, dan 2901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-13" w:firstLine="0"/>
                              <w:jc w:val="center"/>
                            </w:pP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Gentium Basic" w:hAnsi="Gentium Basic" w:eastAsia="Gentium Basic" w:cs="Gentium Basic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  <w:lang w:val="en-US"/>
                              </w:rPr>
                              <w:t>ppk2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NIP. </w:t>
                            </w:r>
                            <w:r>
                              <w:rPr>
                                <w:rFonts w:hint="default" w:ascii="Gentium Basic" w:hAnsi="Gentium Basic" w:eastAsia="Gentium Basic" w:cs="Gentium Bas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en-US"/>
                              </w:rPr>
                              <w:t>test2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pt;margin-top:4pt;height:159.4pt;width:283.65pt;z-index:0;mso-width-relative:page;mso-height-relative:page;" filled="f" stroked="f" coordsize="21600,21600" o:gfxdata="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CLsSA1QAAAAkBAAAPAAAAAAAAAAEAIAAAACIAAABkcnMvZG93bnJldi54bWxQSwEC&#10;FAAUAAAACACHTuJAX2dG474BAABnAwAADgAAAAAAAAABACAAAAAk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>BADAN PUSAT STATISTIK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en-US"/>
                        </w:rPr>
                        <w:t>Pejabat Pembuat Komitmen Program/Kegiatan Penyediaan dan Pelayanan Informasi Statistik untuk Kode Kegiatan 2897, 2900, dan 2901</w:t>
                      </w: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left"/>
                      </w:pPr>
                    </w:p>
                    <w:p>
                      <w:pPr>
                        <w:spacing w:before="0" w:after="0" w:line="240" w:lineRule="auto"/>
                        <w:ind w:left="0" w:right="-13" w:firstLine="0"/>
                        <w:jc w:val="center"/>
                      </w:pP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u w:val="single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Gentium Basic" w:hAnsi="Gentium Basic" w:eastAsia="Gentium Basic" w:cs="Gentium Basic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u w:val="single"/>
                          <w:vertAlign w:val="baseline"/>
                          <w:lang w:val="en-US"/>
                        </w:rPr>
                        <w:t>ppk2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 xml:space="preserve">NIP. </w:t>
                      </w:r>
                      <w:r>
                        <w:rPr>
                          <w:rFonts w:hint="default" w:ascii="Gentium Basic" w:hAnsi="Gentium Basic" w:eastAsia="Gentium Basic" w:cs="Gentium Basic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en-US"/>
                        </w:rPr>
                        <w:t>test2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</w:rPr>
      </w:pPr>
    </w:p>
    <w:p>
      <w:pPr>
        <w:ind w:left="5040"/>
        <w:rPr>
          <w:rFonts w:ascii="Gentium Basic" w:hAnsi="Gentium Basic" w:eastAsia="Gentium Basic" w:cs="Gentium Basic"/>
        </w:rPr>
      </w:pPr>
    </w:p>
    <w:p>
      <w:pPr>
        <w:rPr>
          <w:rFonts w:ascii="Gentium Basic" w:hAnsi="Gentium Basic" w:eastAsia="Gentium Basic" w:cs="Gentium Basic"/>
          <w:u w:val="single"/>
        </w:rPr>
      </w:pPr>
    </w:p>
    <w:p>
      <w:pPr>
        <w:rPr>
          <w:rFonts w:ascii="Gentium Basic" w:hAnsi="Gentium Basic" w:eastAsia="Gentium Basic" w:cs="Gentium Basic"/>
          <w:u w:val="single"/>
        </w:rPr>
      </w:pPr>
    </w:p>
    <w:p>
      <w:pPr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u w:val="single"/>
          <w:rtl w:val="0"/>
        </w:rPr>
        <w:t>Tembusan</w:t>
      </w:r>
      <w:r>
        <w:rPr>
          <w:rFonts w:ascii="Gentium Basic" w:hAnsi="Gentium Basic" w:eastAsia="Gentium Basic" w:cs="Gentium Basic"/>
          <w:rtl w:val="0"/>
        </w:rPr>
        <w:t xml:space="preserve"> :</w:t>
      </w:r>
    </w:p>
    <w:p>
      <w:pPr>
        <w:numPr>
          <w:ilvl w:val="0"/>
          <w:numId w:val="1"/>
        </w:numPr>
        <w:spacing w:line="276" w:lineRule="auto"/>
        <w:ind w:left="426" w:hanging="426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>Yth. Kepala Bagian Pengadaan Barang / Jasa</w:t>
      </w:r>
    </w:p>
    <w:p>
      <w:pPr>
        <w:numPr>
          <w:ilvl w:val="0"/>
          <w:numId w:val="1"/>
        </w:numPr>
        <w:spacing w:line="276" w:lineRule="auto"/>
        <w:ind w:left="426" w:hanging="426"/>
        <w:rPr>
          <w:rFonts w:ascii="Gentium Basic" w:hAnsi="Gentium Basic" w:eastAsia="Gentium Basic" w:cs="Gentium Basic"/>
        </w:rPr>
      </w:pPr>
      <w:r>
        <w:rPr>
          <w:rFonts w:ascii="Gentium Basic" w:hAnsi="Gentium Basic" w:eastAsia="Gentium Basic" w:cs="Gentium Basic"/>
          <w:rtl w:val="0"/>
        </w:rPr>
        <w:t xml:space="preserve">Yth. Kepala </w:t>
      </w:r>
      <w:r>
        <w:rPr>
          <w:rFonts w:hint="default" w:ascii="Gentium Basic" w:hAnsi="Gentium Basic" w:eastAsia="Gentium Basic" w:cs="Gentium Basic"/>
          <w:rtl w:val="0"/>
          <w:lang w:val="en-US"/>
        </w:rPr>
        <w:t>Bagian Penyusunan Anggaran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489784B"/>
    <w:rsid w:val="2EAE34E5"/>
    <w:rsid w:val="3278130C"/>
    <w:rsid w:val="59D50F6B"/>
    <w:rsid w:val="5F3675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id-ID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213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2019-06-04T17:05:00Z</dcterms:created>
  <dc:creator>Acer</dc:creator>
  <cp:lastModifiedBy>Acer</cp:lastModifiedBy>
  <dcterms:modified xsi:type="dcterms:W3CDTF">2019-06-05T15:39:44Z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