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${judul_paket}</w:t>
            </w:r>
          </w:p>
        </w:tc>
      </w:tr>
    </w:tbl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1"/>
        <w:tblW w:w="14551" w:type="dxa"/>
        <w:jc w:val="center"/>
        <w:tblInd w:w="4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5865"/>
        <w:gridCol w:w="1651"/>
        <w:gridCol w:w="1571"/>
        <w:gridCol w:w="42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Volume 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4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${no_item}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${nama_item}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${volume_item}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${satuan_item}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  <w:t>Spesifikasi: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${spesifikasi}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2"/>
        <w:tblpPr w:leftFromText="180" w:rightFromText="180" w:vertAnchor="text" w:horzAnchor="page" w:tblpX="1272" w:tblpY="227"/>
        <w:tblOverlap w:val="never"/>
        <w:tblW w:w="14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1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${date_spek}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${label_ppk}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${nama_ppk}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${nip_ppk}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040D28"/>
    <w:rsid w:val="0DA00C0A"/>
    <w:rsid w:val="1659462F"/>
    <w:rsid w:val="2489784B"/>
    <w:rsid w:val="2EAE34E5"/>
    <w:rsid w:val="3278130C"/>
    <w:rsid w:val="59D50F6B"/>
    <w:rsid w:val="5F3675D6"/>
    <w:rsid w:val="601B619A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