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8du4ftf1our" w:id="0"/>
      <w:bookmarkEnd w:id="0"/>
      <w:r w:rsidDel="00000000" w:rsidR="00000000" w:rsidRPr="00000000">
        <w:rPr>
          <w:rtl w:val="0"/>
        </w:rPr>
        <w:t xml:space="preserve">AZ-303 Exam#07</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ivgnyl8gmhvd" w:id="1"/>
      <w:bookmarkEnd w:id="1"/>
      <w:r w:rsidDel="00000000" w:rsidR="00000000" w:rsidRPr="00000000">
        <w:rPr>
          <w:rtl w:val="0"/>
        </w:rPr>
        <w:t xml:space="preserve">Q.1</w:t>
      </w:r>
    </w:p>
    <w:p w:rsidR="00000000" w:rsidDel="00000000" w:rsidP="00000000" w:rsidRDefault="00000000" w:rsidRPr="00000000" w14:paraId="0000000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ケーススタディ-</w:t>
      </w:r>
    </w:p>
    <w:p w:rsidR="00000000" w:rsidDel="00000000" w:rsidP="00000000" w:rsidRDefault="00000000" w:rsidRPr="00000000" w14:paraId="0000000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これはケーススタディです。ケーススタディは個別にタイミングを合わせていません。各ケースを完了するために必要なだけの試験時間を使用できます。ただし、この試験には追加のケーススタディとセクションがある場合があります。この試験に含まれるすべての質問を指定された時間内に確実に完了することができるように、時間を管理する必要があります。</w:t>
      </w:r>
    </w:p>
    <w:p w:rsidR="00000000" w:rsidDel="00000000" w:rsidP="00000000" w:rsidRDefault="00000000" w:rsidRPr="00000000" w14:paraId="0000000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ケーススタディに含まれている質問に答えるには、ケーススタディで提供されている情報を参照する必要があります。ケーススタディには、ケーススタディで説明されているシナリオに関する詳細情報を提供する展示やその他のリソースが含まれている場合があります。このケーススタディでは、各質問は他の質問から独立しています。</w:t>
      </w:r>
    </w:p>
    <w:p w:rsidR="00000000" w:rsidDel="00000000" w:rsidP="00000000" w:rsidRDefault="00000000" w:rsidRPr="00000000" w14:paraId="0000000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このケーススタディの最後に、レビュー画面が表示されます。この画面では、試験の次のセクションに進む前に、回答を確認して変更を加えることができます。新しいセクションを開始した後は、このセクションに戻ることはできません。</w:t>
      </w:r>
    </w:p>
    <w:p w:rsidR="00000000" w:rsidDel="00000000" w:rsidP="00000000" w:rsidRDefault="00000000" w:rsidRPr="00000000" w14:paraId="00000008">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00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ケーススタディを開始するには-</w:t>
      </w:r>
    </w:p>
    <w:p w:rsidR="00000000" w:rsidDel="00000000" w:rsidP="00000000" w:rsidRDefault="00000000" w:rsidRPr="00000000" w14:paraId="0000000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このケーススタディの最初の質問を表示するには、[次へ]ボタンをクリックします。質問に答える前に、左側のペインのボタンを使用して、ケーススタディの内容を調べてください。これらのボタンをクリックすると、ビジネス要件、既存の環境、問題の説明などの情報が表示されます。ケーススタディに[すべての情報]タブがある場合、表示される情報は後続のタブに表示される情報と同じであることに注意してください。質問に答える準備ができたら、[質問]ボタンをクリックして質問に戻ります。</w:t>
      </w:r>
    </w:p>
    <w:p w:rsidR="00000000" w:rsidDel="00000000" w:rsidP="00000000" w:rsidRDefault="00000000" w:rsidRPr="00000000" w14:paraId="0000000B">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00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概要</w:t>
      </w:r>
    </w:p>
    <w:p w:rsidR="00000000" w:rsidDel="00000000" w:rsidP="00000000" w:rsidRDefault="00000000" w:rsidRPr="00000000" w14:paraId="0000000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-Contoso、Ltd。は、世界中にオフィスを持つ製造会社です。Contosoはパートナー組織と協力して、製品を市場に投入します。</w:t>
      </w:r>
    </w:p>
    <w:p w:rsidR="00000000" w:rsidDel="00000000" w:rsidP="00000000" w:rsidRDefault="00000000" w:rsidRPr="00000000" w14:paraId="0000000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Contoso製品は、会社が作成および保守している設計図ファイルを使用して製造されています。</w:t>
      </w:r>
    </w:p>
    <w:p w:rsidR="00000000" w:rsidDel="00000000" w:rsidP="00000000" w:rsidRDefault="00000000" w:rsidRPr="00000000" w14:paraId="0000000F">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01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既存の環境-</w:t>
      </w:r>
    </w:p>
    <w:p w:rsidR="00000000" w:rsidDel="00000000" w:rsidP="00000000" w:rsidRDefault="00000000" w:rsidRPr="00000000" w14:paraId="0000001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現在、Contosoは、次のような複数の種類のサーバーをビジネス運用に使用しています。</w:t>
      </w:r>
    </w:p>
    <w:p w:rsidR="00000000" w:rsidDel="00000000" w:rsidP="00000000" w:rsidRDefault="00000000" w:rsidRPr="00000000" w14:paraId="0000001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ファイルサーバー</w:t>
      </w:r>
    </w:p>
    <w:p w:rsidR="00000000" w:rsidDel="00000000" w:rsidP="00000000" w:rsidRDefault="00000000" w:rsidRPr="00000000" w14:paraId="0000001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ドメインコントローラー</w:t>
      </w:r>
    </w:p>
    <w:p w:rsidR="00000000" w:rsidDel="00000000" w:rsidP="00000000" w:rsidRDefault="00000000" w:rsidRPr="00000000" w14:paraId="0000001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Microsoft SQL Serverサーバー</w:t>
      </w:r>
    </w:p>
    <w:p w:rsidR="00000000" w:rsidDel="00000000" w:rsidP="00000000" w:rsidRDefault="00000000" w:rsidRPr="00000000" w14:paraId="0000001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ネットワークには、contoso.comという名前のActiveDirectoryフォレストが含まれています。すべてのサーバーとクライアントコンピューターがActiveDirectoryに参加しています。</w:t>
      </w:r>
    </w:p>
    <w:p w:rsidR="00000000" w:rsidDel="00000000" w:rsidP="00000000" w:rsidRDefault="00000000" w:rsidRPr="00000000" w14:paraId="0000001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pp1という名前の公開アプリケーションがあります。App1は、次の3つの層で構成されています。SQLデータベースWebフロントエンド処理中間層各層は、5台の仮想マシンで構成されています。ユーザーは、HTTPSのみを使用してWebフロントエンドにアクセスします。</w:t>
      </w:r>
    </w:p>
    <w:p w:rsidR="00000000" w:rsidDel="00000000" w:rsidP="00000000" w:rsidRDefault="00000000" w:rsidRPr="00000000" w14:paraId="00000017">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01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要件-</w:t>
      </w:r>
    </w:p>
    <w:p w:rsidR="00000000" w:rsidDel="00000000" w:rsidP="00000000" w:rsidRDefault="00000000" w:rsidRPr="00000000" w14:paraId="0000001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計画された変更</w:t>
      </w:r>
    </w:p>
    <w:p w:rsidR="00000000" w:rsidDel="00000000" w:rsidP="00000000" w:rsidRDefault="00000000" w:rsidRPr="00000000" w14:paraId="0000001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-Contosoは、インフラストラクチャに次の変更を実装することを計画しています。App1のすべての層をAzureに移動します。</w:t>
      </w:r>
    </w:p>
    <w:p w:rsidR="00000000" w:rsidDel="00000000" w:rsidP="00000000" w:rsidRDefault="00000000" w:rsidRPr="00000000" w14:paraId="0000001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既存の製品ブループリントファイルをAzureBlobストレージに移動します。</w:t>
      </w:r>
    </w:p>
    <w:p w:rsidR="00000000" w:rsidDel="00000000" w:rsidP="00000000" w:rsidRDefault="00000000" w:rsidRPr="00000000" w14:paraId="0000001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今後のMicrosoft365移行プロジェクトをサポートするハイブリッドディレクトリを作成します。</w:t>
      </w:r>
    </w:p>
    <w:p w:rsidR="00000000" w:rsidDel="00000000" w:rsidP="00000000" w:rsidRDefault="00000000" w:rsidRPr="00000000" w14:paraId="0000001D">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01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技術要件</w:t>
      </w:r>
    </w:p>
    <w:p w:rsidR="00000000" w:rsidDel="00000000" w:rsidP="00000000" w:rsidRDefault="00000000" w:rsidRPr="00000000" w14:paraId="0000001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-Contosoは、次の技術要件を満たしている必要があります。</w:t>
      </w:r>
    </w:p>
    <w:p w:rsidR="00000000" w:rsidDel="00000000" w:rsidP="00000000" w:rsidRDefault="00000000" w:rsidRPr="00000000" w14:paraId="0000002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App1のすべての仮想マシンをAzureに移動します。</w:t>
      </w:r>
    </w:p>
    <w:p w:rsidR="00000000" w:rsidDel="00000000" w:rsidP="00000000" w:rsidRDefault="00000000" w:rsidRPr="00000000" w14:paraId="00000021">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App1層の間で開いているポートの数を最小限に抑えます。</w:t>
      </w:r>
    </w:p>
    <w:p w:rsidR="00000000" w:rsidDel="00000000" w:rsidP="00000000" w:rsidRDefault="00000000" w:rsidRPr="00000000" w14:paraId="0000002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App1のすべての仮想マシンがバックアップによって保護されていることを確認してください。</w:t>
      </w:r>
    </w:p>
    <w:p w:rsidR="00000000" w:rsidDel="00000000" w:rsidP="00000000" w:rsidRDefault="00000000" w:rsidRPr="00000000" w14:paraId="0000002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ブループリントファイルをインターネット経由でAzureにコピーします。</w:t>
      </w:r>
    </w:p>
    <w:p w:rsidR="00000000" w:rsidDel="00000000" w:rsidP="00000000" w:rsidRDefault="00000000" w:rsidRPr="00000000" w14:paraId="0000002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ブループリントファイルがアーカイブストレージ層に保存されていることを確認します。</w:t>
      </w:r>
    </w:p>
    <w:p w:rsidR="00000000" w:rsidDel="00000000" w:rsidP="00000000" w:rsidRDefault="00000000" w:rsidRPr="00000000" w14:paraId="0000002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ブループリントファイルへのパートナーアクセスが安全で一時的なものであることを確認してください。</w:t>
      </w:r>
    </w:p>
    <w:p w:rsidR="00000000" w:rsidDel="00000000" w:rsidP="00000000" w:rsidRDefault="00000000" w:rsidRPr="00000000" w14:paraId="0000002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ユーザーパスワードまたはパスワードのハッシュがAzureに保存されないようにします。</w:t>
      </w:r>
    </w:p>
    <w:p w:rsidR="00000000" w:rsidDel="00000000" w:rsidP="00000000" w:rsidRDefault="00000000" w:rsidRPr="00000000" w14:paraId="00000027">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仮想マシンのハードディスクには、管理されていない標準ストレージを使用します。</w:t>
      </w:r>
    </w:p>
    <w:p w:rsidR="00000000" w:rsidDel="00000000" w:rsidP="00000000" w:rsidRDefault="00000000" w:rsidRPr="00000000" w14:paraId="0000002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ユーザーがデバイスをAzureActive Directory（Azure AD）に参加するときに、ユーザーが携帯電話を使用してIDを確認するようにします。</w:t>
      </w:r>
    </w:p>
    <w:p w:rsidR="00000000" w:rsidDel="00000000" w:rsidP="00000000" w:rsidRDefault="00000000" w:rsidRPr="00000000" w14:paraId="00000029">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可能な限り、管理作業を最小限に抑えます。</w:t>
      </w:r>
    </w:p>
    <w:p w:rsidR="00000000" w:rsidDel="00000000" w:rsidP="00000000" w:rsidRDefault="00000000" w:rsidRPr="00000000" w14:paraId="0000002A">
      <w:pPr>
        <w:shd w:fill="ffffff" w:val="clear"/>
        <w:spacing w:after="400" w:lineRule="auto"/>
        <w:rPr>
          <w:color w:val="505050"/>
          <w:sz w:val="24"/>
          <w:szCs w:val="24"/>
        </w:rPr>
      </w:pPr>
      <w:r w:rsidDel="00000000" w:rsidR="00000000" w:rsidRPr="00000000">
        <w:rPr>
          <w:rtl w:val="0"/>
        </w:rPr>
      </w:r>
    </w:p>
    <w:p w:rsidR="00000000" w:rsidDel="00000000" w:rsidP="00000000" w:rsidRDefault="00000000" w:rsidRPr="00000000" w14:paraId="0000002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ユーザー要件</w:t>
      </w:r>
    </w:p>
    <w:p w:rsidR="00000000" w:rsidDel="00000000" w:rsidP="00000000" w:rsidRDefault="00000000" w:rsidRPr="00000000" w14:paraId="0000002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-Contosoは、ユーザーに関する次の要件を識別します。</w:t>
      </w:r>
    </w:p>
    <w:p w:rsidR="00000000" w:rsidDel="00000000" w:rsidP="00000000" w:rsidRDefault="00000000" w:rsidRPr="00000000" w14:paraId="0000002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Pilotという名前のグループの一部であるユーザーのみがデバイスをAzureADに参加できるようにします。</w:t>
      </w:r>
    </w:p>
    <w:p w:rsidR="00000000" w:rsidDel="00000000" w:rsidP="00000000" w:rsidRDefault="00000000" w:rsidRPr="00000000" w14:paraId="0000002E">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Admin1という名前の新しいユーザーをAzureサブスクリプションのサービス管理者として指定します。</w:t>
      </w:r>
    </w:p>
    <w:p w:rsidR="00000000" w:rsidDel="00000000" w:rsidP="00000000" w:rsidRDefault="00000000" w:rsidRPr="00000000" w14:paraId="0000002F">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Admin1は、サービスの停止に関する電子メールアラートを受信する必要があります。</w:t>
      </w:r>
    </w:p>
    <w:p w:rsidR="00000000" w:rsidDel="00000000" w:rsidP="00000000" w:rsidRDefault="00000000" w:rsidRPr="00000000" w14:paraId="00000030">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User3という名前の新しいユーザーがAzureサブスクリプションのネットワークオブジェクトを作成できることを確認します。</w:t>
      </w:r>
    </w:p>
    <w:p w:rsidR="00000000" w:rsidDel="00000000" w:rsidP="00000000" w:rsidRDefault="00000000" w:rsidRPr="00000000" w14:paraId="00000031">
      <w:pPr>
        <w:shd w:fill="ffffff" w:val="clear"/>
        <w:spacing w:after="400" w:lineRule="auto"/>
        <w:rPr>
          <w:color w:val="505050"/>
          <w:sz w:val="26"/>
          <w:szCs w:val="26"/>
        </w:rPr>
      </w:pPr>
      <w:r w:rsidDel="00000000" w:rsidR="00000000" w:rsidRPr="00000000">
        <w:rPr>
          <w:rFonts w:ascii="Arial Unicode MS" w:cs="Arial Unicode MS" w:eastAsia="Arial Unicode MS" w:hAnsi="Arial Unicode MS"/>
          <w:color w:val="505050"/>
          <w:sz w:val="26"/>
          <w:szCs w:val="26"/>
          <w:rtl w:val="0"/>
        </w:rPr>
        <w:t xml:space="preserve">質問</w:t>
      </w:r>
    </w:p>
    <w:p w:rsidR="00000000" w:rsidDel="00000000" w:rsidP="00000000" w:rsidRDefault="00000000" w:rsidRPr="00000000" w14:paraId="0000003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技術的要件を満たすIDソリューションを推奨する必要があります。</w:t>
      </w:r>
    </w:p>
    <w:p w:rsidR="00000000" w:rsidDel="00000000" w:rsidP="00000000" w:rsidRDefault="00000000" w:rsidRPr="00000000" w14:paraId="00000033">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あなたは何をお勧めしますか？</w:t>
      </w:r>
    </w:p>
    <w:p w:rsidR="00000000" w:rsidDel="00000000" w:rsidP="00000000" w:rsidRDefault="00000000" w:rsidRPr="00000000" w14:paraId="00000034">
      <w:pPr>
        <w:numPr>
          <w:ilvl w:val="0"/>
          <w:numId w:val="1"/>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パスワードハッシュ同期とシングルサインオン（SSO）</w:t>
      </w:r>
    </w:p>
    <w:p w:rsidR="00000000" w:rsidDel="00000000" w:rsidP="00000000" w:rsidRDefault="00000000" w:rsidRPr="00000000" w14:paraId="00000035">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フェデレーションシングルサインオン（SSO）およびActive Directoryフェデレーションサービス（AD FS）</w:t>
      </w:r>
    </w:p>
    <w:p w:rsidR="00000000" w:rsidDel="00000000" w:rsidP="00000000" w:rsidRDefault="00000000" w:rsidRPr="00000000" w14:paraId="00000036">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パススルー認証とシングルサインオン（SSO）</w:t>
      </w:r>
    </w:p>
    <w:p w:rsidR="00000000" w:rsidDel="00000000" w:rsidP="00000000" w:rsidRDefault="00000000" w:rsidRPr="00000000" w14:paraId="00000037">
      <w:pPr>
        <w:numPr>
          <w:ilvl w:val="0"/>
          <w:numId w:val="1"/>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クラウドのみのユーザーアカウント</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rPr>
          <w:i w:val="1"/>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 </w:t>
      </w:r>
      <w:r w:rsidDel="00000000" w:rsidR="00000000" w:rsidRPr="00000000">
        <w:rPr>
          <w:i w:val="1"/>
          <w:color w:val="505050"/>
          <w:sz w:val="24"/>
          <w:szCs w:val="24"/>
          <w:rtl w:val="0"/>
        </w:rPr>
        <w:t xml:space="preserve">C</w:t>
      </w:r>
    </w:p>
    <w:p w:rsidR="00000000" w:rsidDel="00000000" w:rsidP="00000000" w:rsidRDefault="00000000" w:rsidRPr="00000000" w14:paraId="0000003B">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パススルー認証では、オンプレミスのパスワードがいかなる形式でもクラウドに保存されることはありません。</w:t>
      </w:r>
    </w:p>
    <w:p w:rsidR="00000000" w:rsidDel="00000000" w:rsidP="00000000" w:rsidRDefault="00000000" w:rsidRPr="00000000" w14:paraId="0000003C">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シナリオ：</w:t>
      </w:r>
    </w:p>
    <w:p w:rsidR="00000000" w:rsidDel="00000000" w:rsidP="00000000" w:rsidRDefault="00000000" w:rsidRPr="00000000" w14:paraId="0000003D">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✑ユーザーパスワードまたはパスワードのハッシュがAzureに保存されないようにします。</w:t>
      </w:r>
    </w:p>
    <w:p w:rsidR="00000000" w:rsidDel="00000000" w:rsidP="00000000" w:rsidRDefault="00000000" w:rsidRPr="00000000" w14:paraId="0000003E">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✑ユーザーがデバイスをAzureActive Directory（Azure AD）に参加するときに、ユーザーが携帯電話を使用してIDを確認するようにします。</w:t>
      </w:r>
    </w:p>
    <w:p w:rsidR="00000000" w:rsidDel="00000000" w:rsidP="00000000" w:rsidRDefault="00000000" w:rsidRPr="00000000" w14:paraId="0000003F">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✑可能な限り、管理作業を最小限に抑えます。</w:t>
      </w:r>
    </w:p>
    <w:p w:rsidR="00000000" w:rsidDel="00000000" w:rsidP="00000000" w:rsidRDefault="00000000" w:rsidRPr="00000000" w14:paraId="00000040">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参照：</w:t>
      </w:r>
    </w:p>
    <w:p w:rsidR="00000000" w:rsidDel="00000000" w:rsidP="00000000" w:rsidRDefault="00000000" w:rsidRPr="00000000" w14:paraId="00000041">
      <w:pPr>
        <w:spacing w:before="300" w:lineRule="auto"/>
        <w:rPr>
          <w:color w:val="505050"/>
          <w:sz w:val="24"/>
          <w:szCs w:val="24"/>
        </w:rPr>
      </w:pPr>
      <w:hyperlink r:id="rId6">
        <w:r w:rsidDel="00000000" w:rsidR="00000000" w:rsidRPr="00000000">
          <w:rPr>
            <w:color w:val="1155cc"/>
            <w:sz w:val="24"/>
            <w:szCs w:val="24"/>
            <w:u w:val="single"/>
            <w:rtl w:val="0"/>
          </w:rPr>
          <w:t xml:space="preserve">https://docs.microsoft.com/en-us/azure/active-directory/hybrid/how-to-connect-pta</w:t>
        </w:r>
      </w:hyperlink>
      <w:r w:rsidDel="00000000" w:rsidR="00000000" w:rsidRPr="00000000">
        <w:rPr>
          <w:rtl w:val="0"/>
        </w:rPr>
      </w:r>
    </w:p>
    <w:p w:rsidR="00000000" w:rsidDel="00000000" w:rsidP="00000000" w:rsidRDefault="00000000" w:rsidRPr="00000000" w14:paraId="00000042">
      <w:pPr>
        <w:spacing w:before="300" w:lineRule="auto"/>
        <w:rPr>
          <w:color w:val="505050"/>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color w:val="505050"/>
          <w:sz w:val="24"/>
          <w:szCs w:val="24"/>
          <w:rtl w:val="0"/>
        </w:rPr>
        <w:t xml:space="preserve">アプリのソリューションの実装</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bg7bv6a2agzs" w:id="2"/>
      <w:bookmarkEnd w:id="2"/>
      <w:r w:rsidDel="00000000" w:rsidR="00000000" w:rsidRPr="00000000">
        <w:rPr>
          <w:rtl w:val="0"/>
        </w:rPr>
        <w:t xml:space="preserve">Q.2</w:t>
      </w:r>
    </w:p>
    <w:p w:rsidR="00000000" w:rsidDel="00000000" w:rsidP="00000000" w:rsidRDefault="00000000" w:rsidRPr="00000000" w14:paraId="0000004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w:t>
      </w:r>
    </w:p>
    <w:p w:rsidR="00000000" w:rsidDel="00000000" w:rsidP="00000000" w:rsidRDefault="00000000" w:rsidRPr="00000000" w14:paraId="0000004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れはケーススタディです。ケーススタディは個別にタイミングを合わせていません。各ケースを完了するために必要なだけの試験時間を使用できます。ただし、この試験には追加のケーススタディとセクションがある場合があります。この試験に含まれるすべての質問を指定された時間内に確実に完了することができるように、時間を管理する必要があります。</w:t>
      </w:r>
    </w:p>
    <w:p w:rsidR="00000000" w:rsidDel="00000000" w:rsidP="00000000" w:rsidRDefault="00000000" w:rsidRPr="00000000" w14:paraId="0000004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に含まれている質問に答えるには、ケーススタディで提供されている情報を参照する必要があります。ケーススタディには、ケーススタディで説明されているシナリオに関する詳細情報を提供する展示やその他のリソースが含まれている場合があります。このケーススタディでは、各質問は他の質問から独立しています。</w:t>
      </w:r>
    </w:p>
    <w:p w:rsidR="00000000" w:rsidDel="00000000" w:rsidP="00000000" w:rsidRDefault="00000000" w:rsidRPr="00000000" w14:paraId="0000004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後に、レビュー画面が表示されます。この画面では、試験の次のセクションに進む前に、回答を確認して変更を加えることができます。新しいセクションを開始した後は、このセクションに戻ることはできません。</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ケーススタディを開始するには-</w:t>
      </w:r>
    </w:p>
    <w:p w:rsidR="00000000" w:rsidDel="00000000" w:rsidP="00000000" w:rsidRDefault="00000000" w:rsidRPr="00000000" w14:paraId="0000004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このケーススタディの最初の質問を表示するには、[次へ]ボタンをクリックします。質問に答える前に、左側のペインのボタンを使用して、ケーススタディの内容を調べてください。これらのボタンをクリックすると、ビジネス要件、既存の環境、問題の説明などの情報が表示されます。ケーススタディに[すべての情報]タブがある場合、表示される情報は後続のタブに表示される情報と同じであることに注意してください。質問に答える準備ができたら、[質問]ボタンをクリックして質問に戻り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概要</w:t>
      </w:r>
    </w:p>
    <w:p w:rsidR="00000000" w:rsidDel="00000000" w:rsidP="00000000" w:rsidRDefault="00000000" w:rsidRPr="00000000" w14:paraId="0000005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-Contoso、Ltd。は、世界中にオフィスを持つ製造会社です。Contosoはパートナー組織と協力して、製品を市場に投入します。</w:t>
      </w:r>
    </w:p>
    <w:p w:rsidR="00000000" w:rsidDel="00000000" w:rsidP="00000000" w:rsidRDefault="00000000" w:rsidRPr="00000000" w14:paraId="0000005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Contoso製品は、会社が作成および保守している設計図ファイルを使用して製造されています。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既存の環境-</w:t>
      </w:r>
    </w:p>
    <w:p w:rsidR="00000000" w:rsidDel="00000000" w:rsidP="00000000" w:rsidRDefault="00000000" w:rsidRPr="00000000" w14:paraId="0000005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現在、Contosoは、次のような複数の種類のサーバーをビジネス運用に使用しています。</w:t>
      </w:r>
    </w:p>
    <w:p w:rsidR="00000000" w:rsidDel="00000000" w:rsidP="00000000" w:rsidRDefault="00000000" w:rsidRPr="00000000" w14:paraId="0000005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ファイルサーバー</w:t>
      </w:r>
    </w:p>
    <w:p w:rsidR="00000000" w:rsidDel="00000000" w:rsidP="00000000" w:rsidRDefault="00000000" w:rsidRPr="00000000" w14:paraId="0000005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ドメインコントローラー</w:t>
      </w:r>
    </w:p>
    <w:p w:rsidR="00000000" w:rsidDel="00000000" w:rsidP="00000000" w:rsidRDefault="00000000" w:rsidRPr="00000000" w14:paraId="0000005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Microsoft SQL Serverサーバー</w:t>
      </w:r>
    </w:p>
    <w:p w:rsidR="00000000" w:rsidDel="00000000" w:rsidP="00000000" w:rsidRDefault="00000000" w:rsidRPr="00000000" w14:paraId="0000005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ネットワークには、contoso.comという名前のActiveDirectoryフォレストが含まれています。すべてのサーバーとクライアントコンピューターがActiveDirectoryに参加しています。</w:t>
      </w:r>
    </w:p>
    <w:p w:rsidR="00000000" w:rsidDel="00000000" w:rsidP="00000000" w:rsidRDefault="00000000" w:rsidRPr="00000000" w14:paraId="0000005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App1という名前の公開アプリケーションがあります。App1は、次の3つの層で構成されています。</w:t>
      </w:r>
    </w:p>
    <w:p w:rsidR="00000000" w:rsidDel="00000000" w:rsidP="00000000" w:rsidRDefault="00000000" w:rsidRPr="00000000" w14:paraId="0000005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SQLデータベース</w:t>
      </w:r>
    </w:p>
    <w:p w:rsidR="00000000" w:rsidDel="00000000" w:rsidP="00000000" w:rsidRDefault="00000000" w:rsidRPr="00000000" w14:paraId="0000005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Webフロントエンド</w:t>
      </w:r>
    </w:p>
    <w:p w:rsidR="00000000" w:rsidDel="00000000" w:rsidP="00000000" w:rsidRDefault="00000000" w:rsidRPr="00000000" w14:paraId="0000005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処理中間層</w:t>
      </w:r>
    </w:p>
    <w:p w:rsidR="00000000" w:rsidDel="00000000" w:rsidP="00000000" w:rsidRDefault="00000000" w:rsidRPr="00000000" w14:paraId="0000005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各層は、5台の仮想マシンで構成されています。ユーザーは、HTTPSのみを使用してWebフロントエンドにアクセスします。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要件-</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計画された変更</w:t>
      </w:r>
    </w:p>
    <w:p w:rsidR="00000000" w:rsidDel="00000000" w:rsidP="00000000" w:rsidRDefault="00000000" w:rsidRPr="00000000" w14:paraId="0000006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-Contosoは、インフラストラクチャに次の変更を実装することを計画しています。App1の</w:t>
      </w:r>
    </w:p>
    <w:p w:rsidR="00000000" w:rsidDel="00000000" w:rsidP="00000000" w:rsidRDefault="00000000" w:rsidRPr="00000000" w14:paraId="0000006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すべての層をAzureに移動します。</w:t>
      </w:r>
    </w:p>
    <w:p w:rsidR="00000000" w:rsidDel="00000000" w:rsidP="00000000" w:rsidRDefault="00000000" w:rsidRPr="00000000" w14:paraId="0000006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既存の製品ブループリントファイルをAzureBlobストレージに移動します。</w:t>
      </w:r>
    </w:p>
    <w:p w:rsidR="00000000" w:rsidDel="00000000" w:rsidP="00000000" w:rsidRDefault="00000000" w:rsidRPr="00000000" w14:paraId="0000006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今後のMicrosoft365移行プロジェクトをサポートするハイブリッドディレクトリを作成します。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技術要件</w:t>
      </w:r>
    </w:p>
    <w:p w:rsidR="00000000" w:rsidDel="00000000" w:rsidP="00000000" w:rsidRDefault="00000000" w:rsidRPr="00000000" w14:paraId="0000006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-Contosoは、次の技術要件を満たしている必要があります。</w:t>
      </w:r>
    </w:p>
    <w:p w:rsidR="00000000" w:rsidDel="00000000" w:rsidP="00000000" w:rsidRDefault="00000000" w:rsidRPr="00000000" w14:paraId="0000006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App1のすべての仮想マシンをAzureに移動します。</w:t>
      </w:r>
    </w:p>
    <w:p w:rsidR="00000000" w:rsidDel="00000000" w:rsidP="00000000" w:rsidRDefault="00000000" w:rsidRPr="00000000" w14:paraId="0000006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App1層の間で開いているポートの数を最小限に抑えます。</w:t>
      </w:r>
    </w:p>
    <w:p w:rsidR="00000000" w:rsidDel="00000000" w:rsidP="00000000" w:rsidRDefault="00000000" w:rsidRPr="00000000" w14:paraId="0000006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App1のすべての仮想マシンがバックアップによって保護されていることを確認してください。</w:t>
      </w:r>
    </w:p>
    <w:p w:rsidR="00000000" w:rsidDel="00000000" w:rsidP="00000000" w:rsidRDefault="00000000" w:rsidRPr="00000000" w14:paraId="0000006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ブループリントファイルをインターネット経由でAzureにコピーします。</w:t>
      </w:r>
    </w:p>
    <w:p w:rsidR="00000000" w:rsidDel="00000000" w:rsidP="00000000" w:rsidRDefault="00000000" w:rsidRPr="00000000" w14:paraId="0000006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ブループリントファイルがアーカイブストレージ層に保存されていることを確認します。</w:t>
      </w:r>
    </w:p>
    <w:p w:rsidR="00000000" w:rsidDel="00000000" w:rsidP="00000000" w:rsidRDefault="00000000" w:rsidRPr="00000000" w14:paraId="0000006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ブループリントファイルへのパートナーアクセスが安全で一時的なものであることを確認してください。</w:t>
      </w:r>
    </w:p>
    <w:p w:rsidR="00000000" w:rsidDel="00000000" w:rsidP="00000000" w:rsidRDefault="00000000" w:rsidRPr="00000000" w14:paraId="0000006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ユーザーパスワードまたはパスワードのハッシュがAzureに保存されないようにします。</w:t>
      </w:r>
    </w:p>
    <w:p w:rsidR="00000000" w:rsidDel="00000000" w:rsidP="00000000" w:rsidRDefault="00000000" w:rsidRPr="00000000" w14:paraId="0000007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仮想マシンのハードディスクには、管理されていない標準ストレージを使用します。</w:t>
      </w:r>
    </w:p>
    <w:p w:rsidR="00000000" w:rsidDel="00000000" w:rsidP="00000000" w:rsidRDefault="00000000" w:rsidRPr="00000000" w14:paraId="0000007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ユーザーがデバイスをAzureActive Directory（Azure AD）に参加するときに、ユーザーが携帯電話を使用してIDを確認するようにします。</w:t>
      </w:r>
    </w:p>
    <w:p w:rsidR="00000000" w:rsidDel="00000000" w:rsidP="00000000" w:rsidRDefault="00000000" w:rsidRPr="00000000" w14:paraId="00000072">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可能な限り、管理作業を最小限に抑えます。</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ユーザー要件</w:t>
      </w:r>
    </w:p>
    <w:p w:rsidR="00000000" w:rsidDel="00000000" w:rsidP="00000000" w:rsidRDefault="00000000" w:rsidRPr="00000000" w14:paraId="0000007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-Contosoは、ユーザーに関する次の要件を識別します。Pilot</w:t>
      </w:r>
    </w:p>
    <w:p w:rsidR="00000000" w:rsidDel="00000000" w:rsidP="00000000" w:rsidRDefault="00000000" w:rsidRPr="00000000" w14:paraId="00000076">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という名前のグループの一部であるユーザーのみがデバイスをAzureADに参加できるようにします。</w:t>
      </w:r>
    </w:p>
    <w:p w:rsidR="00000000" w:rsidDel="00000000" w:rsidP="00000000" w:rsidRDefault="00000000" w:rsidRPr="00000000" w14:paraId="0000007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Admin1という名前の新しいユーザーをAzureサブスクリプションのサービス管理者として指定します。</w:t>
      </w:r>
    </w:p>
    <w:p w:rsidR="00000000" w:rsidDel="00000000" w:rsidP="00000000" w:rsidRDefault="00000000" w:rsidRPr="00000000" w14:paraId="00000078">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Admin1は、サービスの停止に関する電子メールアラートを受信する必要があります。</w:t>
      </w:r>
    </w:p>
    <w:p w:rsidR="00000000" w:rsidDel="00000000" w:rsidP="00000000" w:rsidRDefault="00000000" w:rsidRPr="00000000" w14:paraId="0000007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User3という名前の新しいユーザーがAzureサブスクリプションのネットワークオブジェクトを作成できることを確認します。</w:t>
      </w:r>
    </w:p>
    <w:p w:rsidR="00000000" w:rsidDel="00000000" w:rsidP="00000000" w:rsidRDefault="00000000" w:rsidRPr="00000000" w14:paraId="0000007A">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質問</w:t>
      </w:r>
    </w:p>
    <w:p w:rsidR="00000000" w:rsidDel="00000000" w:rsidP="00000000" w:rsidRDefault="00000000" w:rsidRPr="00000000" w14:paraId="0000007B">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ホットスポット-App1の</w:t>
      </w:r>
    </w:p>
    <w:p w:rsidR="00000000" w:rsidDel="00000000" w:rsidP="00000000" w:rsidRDefault="00000000" w:rsidRPr="00000000" w14:paraId="0000007C">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ソリューションを推奨する必要があります。ソリューションは技術要件を満たす必要があります。</w:t>
      </w:r>
    </w:p>
    <w:p w:rsidR="00000000" w:rsidDel="00000000" w:rsidP="00000000" w:rsidRDefault="00000000" w:rsidRPr="00000000" w14:paraId="0000007D">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推奨事項には何を含める必要がありますか？回答するには、回答領域で適切なオプションを選択します。</w:t>
      </w:r>
    </w:p>
    <w:p w:rsidR="00000000" w:rsidDel="00000000" w:rsidP="00000000" w:rsidRDefault="00000000" w:rsidRPr="00000000" w14:paraId="0000007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7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80">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676900" cy="255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69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color w:val="505050"/>
          <w:sz w:val="24"/>
          <w:szCs w:val="24"/>
          <w:highlight w:val="white"/>
        </w:rPr>
      </w:pPr>
      <w:r w:rsidDel="00000000" w:rsidR="00000000" w:rsidRPr="00000000">
        <w:rPr>
          <w:rtl w:val="0"/>
        </w:rPr>
      </w:r>
    </w:p>
    <w:p w:rsidR="00000000" w:rsidDel="00000000" w:rsidP="00000000" w:rsidRDefault="00000000" w:rsidRPr="00000000" w14:paraId="00000082">
      <w:pPr>
        <w:rPr>
          <w:color w:val="505050"/>
          <w:sz w:val="24"/>
          <w:szCs w:val="24"/>
          <w:highlight w:val="white"/>
        </w:rPr>
      </w:pPr>
      <w:r w:rsidDel="00000000" w:rsidR="00000000" w:rsidRPr="00000000">
        <w:rPr>
          <w:color w:val="505050"/>
          <w:sz w:val="24"/>
          <w:szCs w:val="24"/>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3">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676900" cy="255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769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ボックス1：3-各層に1つの仮想ネットワーク</w:t>
      </w:r>
    </w:p>
    <w:p w:rsidR="00000000" w:rsidDel="00000000" w:rsidP="00000000" w:rsidRDefault="00000000" w:rsidRPr="00000000" w14:paraId="00000085">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86">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ボックス2：1-開いているポートの数を最小限に抑えるために、各層に1つのサブネットのみ。</w:t>
      </w:r>
    </w:p>
    <w:p w:rsidR="00000000" w:rsidDel="00000000" w:rsidP="00000000" w:rsidRDefault="00000000" w:rsidRPr="00000000" w14:paraId="00000087">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シナリオ：App1という名前の公開アプリケーションがあります。App1は、次の3つの層で構成されてい</w:t>
      </w:r>
    </w:p>
    <w:p w:rsidR="00000000" w:rsidDel="00000000" w:rsidP="00000000" w:rsidRDefault="00000000" w:rsidRPr="00000000" w14:paraId="00000088">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ます。</w:t>
      </w:r>
    </w:p>
    <w:p w:rsidR="00000000" w:rsidDel="00000000" w:rsidP="00000000" w:rsidRDefault="00000000" w:rsidRPr="00000000" w14:paraId="00000089">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✑SQLデータベース✑Webフロントエンド</w:t>
      </w:r>
    </w:p>
    <w:p w:rsidR="00000000" w:rsidDel="00000000" w:rsidP="00000000" w:rsidRDefault="00000000" w:rsidRPr="00000000" w14:paraId="0000008A">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✑処理中間層各層</w:t>
      </w:r>
    </w:p>
    <w:p w:rsidR="00000000" w:rsidDel="00000000" w:rsidP="00000000" w:rsidRDefault="00000000" w:rsidRPr="00000000" w14:paraId="0000008B">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は、5つの仮想マシンで構成されています。ユーザーは、HTTPSのみを使用してWebフロントエンドにアクセスします。</w:t>
      </w:r>
    </w:p>
    <w:p w:rsidR="00000000" w:rsidDel="00000000" w:rsidP="00000000" w:rsidRDefault="00000000" w:rsidRPr="00000000" w14:paraId="0000008C">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技術要件：</w:t>
      </w:r>
    </w:p>
    <w:p w:rsidR="00000000" w:rsidDel="00000000" w:rsidP="00000000" w:rsidRDefault="00000000" w:rsidRPr="00000000" w14:paraId="0000008D">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✑App1のすべての仮想マシンをAzureに移動します。</w:t>
      </w:r>
    </w:p>
    <w:p w:rsidR="00000000" w:rsidDel="00000000" w:rsidP="00000000" w:rsidRDefault="00000000" w:rsidRPr="00000000" w14:paraId="0000008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App1層の間で開いているポートの数を最小限に抑えます。</w:t>
      </w:r>
    </w:p>
    <w:p w:rsidR="00000000" w:rsidDel="00000000" w:rsidP="00000000" w:rsidRDefault="00000000" w:rsidRPr="00000000" w14:paraId="0000008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データプラットフォームの実装と管理</w:t>
      </w:r>
    </w:p>
    <w:p w:rsidR="00000000" w:rsidDel="00000000" w:rsidP="00000000" w:rsidRDefault="00000000" w:rsidRPr="00000000" w14:paraId="00000090">
      <w:pPr>
        <w:rPr>
          <w:color w:val="505050"/>
          <w:sz w:val="24"/>
          <w:szCs w:val="24"/>
          <w:highlight w:val="white"/>
        </w:rPr>
      </w:pPr>
      <w:r w:rsidDel="00000000" w:rsidR="00000000" w:rsidRPr="00000000">
        <w:rPr>
          <w:rtl w:val="0"/>
        </w:rPr>
      </w:r>
    </w:p>
    <w:p w:rsidR="00000000" w:rsidDel="00000000" w:rsidP="00000000" w:rsidRDefault="00000000" w:rsidRPr="00000000" w14:paraId="00000091">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個人的見解；VNETを1個用意して、その中にSUBETを3個擁して、NSGを1個用意して、3個のSUBNETと関連付けすることでよいのでは？</w:t>
      </w:r>
    </w:p>
    <w:p w:rsidR="00000000" w:rsidDel="00000000" w:rsidP="00000000" w:rsidRDefault="00000000" w:rsidRPr="00000000" w14:paraId="00000092">
      <w:pPr>
        <w:rPr>
          <w:color w:val="505050"/>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azure/active-directory/hybrid/how-to-connect-pta"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