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4FC0F" w14:textId="0165AC40" w:rsidR="00B571E2" w:rsidRDefault="00A54E85">
      <w:r>
        <w:t>Soft Calibration Procedure</w:t>
      </w:r>
    </w:p>
    <w:p w14:paraId="7FC7F55C" w14:textId="3CBA0BB2" w:rsidR="00A54E85" w:rsidRDefault="00A54E85" w:rsidP="00A54E85">
      <w:r w:rsidRPr="00471709">
        <w:t xml:space="preserve">Seibert and McDonnell (2002) suggested the use of “hard” and “soft” data for multi-criteria model calibration. Hard data are defined as measured time series, typically at a point (e.g., streamflow, groundwater levels, or soil moisture) that is commonly used in regression-based calibration techniques. Soft data are defined as information on individual processes within a balance that may not be directly measured in the study area, may be an average annual estimate, and may entail considerable uncertainty. Examples of soft data include regional estimates of baseflow ratios or ET, average depths of groundwater tables, average annual runoff coefficients for various land uses, annual rates of denitrification from research plots found in the literature, event mean concentrations, nutrient/sediment export coefficients, sediment deposition from reservoir sedimentation studies, average crop/vegetation LAI, </w:t>
      </w:r>
      <w:r>
        <w:t xml:space="preserve"> and </w:t>
      </w:r>
      <w:r w:rsidRPr="00471709">
        <w:t>county crop yields</w:t>
      </w:r>
      <w:r>
        <w:t xml:space="preserve"> (Arnold et al</w:t>
      </w:r>
      <w:r w:rsidR="006D5B2A">
        <w:t>., 2015)</w:t>
      </w:r>
      <w:r w:rsidRPr="00471709">
        <w:t>. Siebert and McDonnell (2002) argued that soft data represent a new dimension to the model calibration process that could: (1) enable dialog between experimentalists and modelers, (2) be a formal check on the reasonableness and consistency of internal model structures and simulations, and (3) specify realistic parameter ranges often ignored in today’s automatic calibration routines.</w:t>
      </w:r>
    </w:p>
    <w:p w14:paraId="485F831B" w14:textId="4FA52179" w:rsidR="006D5B2A" w:rsidRDefault="006D5B2A" w:rsidP="00A54E85">
      <w:r>
        <w:t>M</w:t>
      </w:r>
      <w:r w:rsidRPr="00471709">
        <w:t>isrepresented processes (water balance, nutrient balance, sediment source/sinks) within a watershed can cause errors when running management scenarios</w:t>
      </w:r>
      <w:r>
        <w:t xml:space="preserve"> </w:t>
      </w:r>
      <w:r>
        <w:t>(Arnold et al., 2015)</w:t>
      </w:r>
      <w:r w:rsidRPr="00471709">
        <w:t>.</w:t>
      </w:r>
      <w:r>
        <w:t xml:space="preserve"> To ensure proper process representation, a soft calibration routine for water balance was added to SWAT+ code. </w:t>
      </w:r>
      <w:r w:rsidR="00C32852">
        <w:t xml:space="preserve">The processes calibrated are surface runoff, lateral soil flow, percolation, and ET. Tile flow variables are not adjusted, </w:t>
      </w:r>
      <w:r w:rsidR="00EF361F">
        <w:t>if subsurface tiles are present,</w:t>
      </w:r>
      <w:r w:rsidR="00C32852">
        <w:t xml:space="preserve"> tile flow is simulated as the remainder of the water balance when all other processes are calibrated. The processes are input as the ratio to precipitation, thus minimizing the impact of different periods of record or different sources of precipitation. The procedure is a simple, heuristic approach with one variable for each process. The variables, associated process, change type, and ranges for individual variables, and overall maximum/minimum ranges are shown in table 1.</w:t>
      </w:r>
    </w:p>
    <w:p w14:paraId="37DE0BD2" w14:textId="77777777" w:rsidR="00104C90" w:rsidRDefault="00104C90" w:rsidP="00A54E85"/>
    <w:tbl>
      <w:tblPr>
        <w:tblStyle w:val="TableGrid"/>
        <w:tblW w:w="9535" w:type="dxa"/>
        <w:tblLook w:val="04A0" w:firstRow="1" w:lastRow="0" w:firstColumn="1" w:lastColumn="0" w:noHBand="0" w:noVBand="1"/>
      </w:tblPr>
      <w:tblGrid>
        <w:gridCol w:w="1335"/>
        <w:gridCol w:w="1335"/>
        <w:gridCol w:w="1336"/>
        <w:gridCol w:w="1389"/>
        <w:gridCol w:w="1440"/>
        <w:gridCol w:w="1179"/>
        <w:gridCol w:w="1521"/>
      </w:tblGrid>
      <w:tr w:rsidR="003D2D0E" w14:paraId="50E6FCBE" w14:textId="77777777" w:rsidTr="007203A0">
        <w:tc>
          <w:tcPr>
            <w:tcW w:w="1335" w:type="dxa"/>
          </w:tcPr>
          <w:p w14:paraId="359AB005" w14:textId="5FF11CD3" w:rsidR="003D2D0E" w:rsidRDefault="003D2D0E" w:rsidP="00A54E85">
            <w:r>
              <w:t>Variable</w:t>
            </w:r>
          </w:p>
        </w:tc>
        <w:tc>
          <w:tcPr>
            <w:tcW w:w="1335" w:type="dxa"/>
          </w:tcPr>
          <w:p w14:paraId="0A5F8B28" w14:textId="7DC0D6AA" w:rsidR="003D2D0E" w:rsidRDefault="003D2D0E" w:rsidP="00A54E85">
            <w:r>
              <w:t>Process</w:t>
            </w:r>
          </w:p>
        </w:tc>
        <w:tc>
          <w:tcPr>
            <w:tcW w:w="1336" w:type="dxa"/>
          </w:tcPr>
          <w:p w14:paraId="0E6A411F" w14:textId="6B83EBB0" w:rsidR="003D2D0E" w:rsidRDefault="003D2D0E" w:rsidP="00A54E85">
            <w:r>
              <w:t>Change Type</w:t>
            </w:r>
          </w:p>
        </w:tc>
        <w:tc>
          <w:tcPr>
            <w:tcW w:w="1389" w:type="dxa"/>
          </w:tcPr>
          <w:p w14:paraId="1D50EF99" w14:textId="57096CD3" w:rsidR="003D2D0E" w:rsidRDefault="003D2D0E" w:rsidP="00A54E85">
            <w:r>
              <w:t>Lower Change Limit</w:t>
            </w:r>
          </w:p>
        </w:tc>
        <w:tc>
          <w:tcPr>
            <w:tcW w:w="1440" w:type="dxa"/>
          </w:tcPr>
          <w:p w14:paraId="45046FF0" w14:textId="0CB203AC" w:rsidR="003D2D0E" w:rsidRDefault="003D2D0E" w:rsidP="00A54E85">
            <w:r>
              <w:t>Upper Change Limit</w:t>
            </w:r>
          </w:p>
        </w:tc>
        <w:tc>
          <w:tcPr>
            <w:tcW w:w="1179" w:type="dxa"/>
          </w:tcPr>
          <w:p w14:paraId="56471C3C" w14:textId="4BFBFD6E" w:rsidR="003D2D0E" w:rsidRDefault="003D2D0E" w:rsidP="00A54E85">
            <w:r>
              <w:t>Min Lower Limit</w:t>
            </w:r>
          </w:p>
        </w:tc>
        <w:tc>
          <w:tcPr>
            <w:tcW w:w="1521" w:type="dxa"/>
          </w:tcPr>
          <w:p w14:paraId="0112FFAB" w14:textId="65D6500E" w:rsidR="003D2D0E" w:rsidRDefault="003D2D0E" w:rsidP="00A54E85">
            <w:r>
              <w:t>Max Upper Limit</w:t>
            </w:r>
          </w:p>
        </w:tc>
      </w:tr>
      <w:tr w:rsidR="003D2D0E" w14:paraId="4EB665B3" w14:textId="77777777" w:rsidTr="007203A0">
        <w:tc>
          <w:tcPr>
            <w:tcW w:w="1335" w:type="dxa"/>
          </w:tcPr>
          <w:p w14:paraId="487AD2A6" w14:textId="1FA85427" w:rsidR="003D2D0E" w:rsidRDefault="003D2D0E" w:rsidP="00A54E85">
            <w:proofErr w:type="spellStart"/>
            <w:r>
              <w:t>esco</w:t>
            </w:r>
            <w:proofErr w:type="spellEnd"/>
          </w:p>
        </w:tc>
        <w:tc>
          <w:tcPr>
            <w:tcW w:w="1335" w:type="dxa"/>
          </w:tcPr>
          <w:p w14:paraId="2AF01681" w14:textId="2C27D046" w:rsidR="003D2D0E" w:rsidRDefault="003D2D0E" w:rsidP="00A54E85">
            <w:r>
              <w:t>ET</w:t>
            </w:r>
          </w:p>
        </w:tc>
        <w:tc>
          <w:tcPr>
            <w:tcW w:w="1336" w:type="dxa"/>
          </w:tcPr>
          <w:p w14:paraId="579C116D" w14:textId="12D2B3B9" w:rsidR="003D2D0E" w:rsidRDefault="003D2D0E" w:rsidP="00A54E85">
            <w:r>
              <w:t>absolute</w:t>
            </w:r>
          </w:p>
        </w:tc>
        <w:tc>
          <w:tcPr>
            <w:tcW w:w="1389" w:type="dxa"/>
          </w:tcPr>
          <w:p w14:paraId="19557624" w14:textId="044B9804" w:rsidR="003D2D0E" w:rsidRDefault="003D2D0E" w:rsidP="00A54E85">
            <w:r>
              <w:t>-1.</w:t>
            </w:r>
          </w:p>
        </w:tc>
        <w:tc>
          <w:tcPr>
            <w:tcW w:w="1440" w:type="dxa"/>
          </w:tcPr>
          <w:p w14:paraId="7EA1F9FF" w14:textId="51316CCD" w:rsidR="003D2D0E" w:rsidRDefault="003D2D0E" w:rsidP="00A54E85">
            <w:r>
              <w:t>1.</w:t>
            </w:r>
          </w:p>
        </w:tc>
        <w:tc>
          <w:tcPr>
            <w:tcW w:w="1179" w:type="dxa"/>
          </w:tcPr>
          <w:p w14:paraId="2700B150" w14:textId="456E20CF" w:rsidR="003D2D0E" w:rsidRDefault="003D2D0E" w:rsidP="00A54E85">
            <w:r>
              <w:t>0.</w:t>
            </w:r>
          </w:p>
        </w:tc>
        <w:tc>
          <w:tcPr>
            <w:tcW w:w="1521" w:type="dxa"/>
          </w:tcPr>
          <w:p w14:paraId="609EFF56" w14:textId="2E51F2C1" w:rsidR="003D2D0E" w:rsidRDefault="003D2D0E" w:rsidP="00A54E85">
            <w:r>
              <w:t>1.</w:t>
            </w:r>
          </w:p>
        </w:tc>
      </w:tr>
      <w:tr w:rsidR="003D2D0E" w14:paraId="6BEBDCDF" w14:textId="77777777" w:rsidTr="007203A0">
        <w:tc>
          <w:tcPr>
            <w:tcW w:w="1335" w:type="dxa"/>
          </w:tcPr>
          <w:p w14:paraId="46686D9A" w14:textId="19264BBE" w:rsidR="003D2D0E" w:rsidRDefault="003D2D0E" w:rsidP="00A54E85">
            <w:proofErr w:type="spellStart"/>
            <w:r>
              <w:t>petco</w:t>
            </w:r>
            <w:proofErr w:type="spellEnd"/>
          </w:p>
        </w:tc>
        <w:tc>
          <w:tcPr>
            <w:tcW w:w="1335" w:type="dxa"/>
          </w:tcPr>
          <w:p w14:paraId="2F41842A" w14:textId="2A521329" w:rsidR="003D2D0E" w:rsidRDefault="003D2D0E" w:rsidP="00A54E85">
            <w:r>
              <w:t>PET</w:t>
            </w:r>
          </w:p>
        </w:tc>
        <w:tc>
          <w:tcPr>
            <w:tcW w:w="1336" w:type="dxa"/>
          </w:tcPr>
          <w:p w14:paraId="7F780337" w14:textId="21F9443B" w:rsidR="003D2D0E" w:rsidRDefault="003D2D0E" w:rsidP="00A54E85">
            <w:r>
              <w:t>percent</w:t>
            </w:r>
          </w:p>
        </w:tc>
        <w:tc>
          <w:tcPr>
            <w:tcW w:w="1389" w:type="dxa"/>
          </w:tcPr>
          <w:p w14:paraId="3A204B85" w14:textId="261D0C24" w:rsidR="003D2D0E" w:rsidRDefault="003D2D0E" w:rsidP="00A54E85">
            <w:r>
              <w:t>-20.</w:t>
            </w:r>
          </w:p>
        </w:tc>
        <w:tc>
          <w:tcPr>
            <w:tcW w:w="1440" w:type="dxa"/>
          </w:tcPr>
          <w:p w14:paraId="03FDEE95" w14:textId="1ADF5796" w:rsidR="003D2D0E" w:rsidRDefault="003D2D0E" w:rsidP="00A54E85">
            <w:r>
              <w:t>20.</w:t>
            </w:r>
          </w:p>
        </w:tc>
        <w:tc>
          <w:tcPr>
            <w:tcW w:w="1179" w:type="dxa"/>
          </w:tcPr>
          <w:p w14:paraId="3FB6859F" w14:textId="6D4A5591" w:rsidR="003D2D0E" w:rsidRDefault="00104C90" w:rsidP="00A54E85">
            <w:r>
              <w:t>0.8</w:t>
            </w:r>
          </w:p>
        </w:tc>
        <w:tc>
          <w:tcPr>
            <w:tcW w:w="1521" w:type="dxa"/>
          </w:tcPr>
          <w:p w14:paraId="58310724" w14:textId="793C19BA" w:rsidR="003D2D0E" w:rsidRDefault="00104C90" w:rsidP="00A54E85">
            <w:r>
              <w:t>1.2</w:t>
            </w:r>
          </w:p>
        </w:tc>
      </w:tr>
      <w:tr w:rsidR="00104C90" w14:paraId="7649E438" w14:textId="77777777" w:rsidTr="007203A0">
        <w:tc>
          <w:tcPr>
            <w:tcW w:w="1335" w:type="dxa"/>
          </w:tcPr>
          <w:p w14:paraId="52854D53" w14:textId="5A3225E1" w:rsidR="00104C90" w:rsidRDefault="00104C90" w:rsidP="00104C90">
            <w:r>
              <w:t>cn3_swf</w:t>
            </w:r>
          </w:p>
        </w:tc>
        <w:tc>
          <w:tcPr>
            <w:tcW w:w="1335" w:type="dxa"/>
          </w:tcPr>
          <w:p w14:paraId="5EF43BCC" w14:textId="2E107FEF" w:rsidR="00104C90" w:rsidRDefault="00104C90" w:rsidP="00104C90">
            <w:r>
              <w:t>Surface runoff</w:t>
            </w:r>
          </w:p>
        </w:tc>
        <w:tc>
          <w:tcPr>
            <w:tcW w:w="1336" w:type="dxa"/>
          </w:tcPr>
          <w:p w14:paraId="5AA6E85C" w14:textId="00A8894F" w:rsidR="00104C90" w:rsidRDefault="00104C90" w:rsidP="00104C90">
            <w:r>
              <w:t>absolute</w:t>
            </w:r>
          </w:p>
        </w:tc>
        <w:tc>
          <w:tcPr>
            <w:tcW w:w="1389" w:type="dxa"/>
          </w:tcPr>
          <w:p w14:paraId="502CF6CD" w14:textId="312A3790" w:rsidR="00104C90" w:rsidRDefault="00104C90" w:rsidP="00104C90">
            <w:r>
              <w:t>-1.</w:t>
            </w:r>
          </w:p>
        </w:tc>
        <w:tc>
          <w:tcPr>
            <w:tcW w:w="1440" w:type="dxa"/>
          </w:tcPr>
          <w:p w14:paraId="6804E718" w14:textId="3BA2615C" w:rsidR="00104C90" w:rsidRDefault="00104C90" w:rsidP="00104C90">
            <w:r>
              <w:t>1.</w:t>
            </w:r>
          </w:p>
        </w:tc>
        <w:tc>
          <w:tcPr>
            <w:tcW w:w="1179" w:type="dxa"/>
          </w:tcPr>
          <w:p w14:paraId="1F226EA5" w14:textId="5F7DDC4A" w:rsidR="00104C90" w:rsidRDefault="00104C90" w:rsidP="00104C90">
            <w:r>
              <w:t>0.</w:t>
            </w:r>
          </w:p>
        </w:tc>
        <w:tc>
          <w:tcPr>
            <w:tcW w:w="1521" w:type="dxa"/>
          </w:tcPr>
          <w:p w14:paraId="06FB6B23" w14:textId="7A78E2DD" w:rsidR="00104C90" w:rsidRDefault="00104C90" w:rsidP="00104C90">
            <w:r>
              <w:t>1.</w:t>
            </w:r>
          </w:p>
        </w:tc>
      </w:tr>
      <w:tr w:rsidR="00104C90" w14:paraId="702DACE3" w14:textId="77777777" w:rsidTr="007203A0">
        <w:tc>
          <w:tcPr>
            <w:tcW w:w="1335" w:type="dxa"/>
          </w:tcPr>
          <w:p w14:paraId="0BC535A1" w14:textId="5A3D4BA8" w:rsidR="00104C90" w:rsidRDefault="00104C90" w:rsidP="00104C90">
            <w:proofErr w:type="spellStart"/>
            <w:r>
              <w:t>latq_co</w:t>
            </w:r>
            <w:proofErr w:type="spellEnd"/>
          </w:p>
        </w:tc>
        <w:tc>
          <w:tcPr>
            <w:tcW w:w="1335" w:type="dxa"/>
          </w:tcPr>
          <w:p w14:paraId="27A70994" w14:textId="4D10765A" w:rsidR="00104C90" w:rsidRDefault="00104C90" w:rsidP="00104C90">
            <w:r>
              <w:t>Lateral soil flow</w:t>
            </w:r>
          </w:p>
        </w:tc>
        <w:tc>
          <w:tcPr>
            <w:tcW w:w="1336" w:type="dxa"/>
          </w:tcPr>
          <w:p w14:paraId="4E272D0F" w14:textId="40C6F973" w:rsidR="00104C90" w:rsidRDefault="00104C90" w:rsidP="00104C90">
            <w:r>
              <w:t>absolute</w:t>
            </w:r>
          </w:p>
        </w:tc>
        <w:tc>
          <w:tcPr>
            <w:tcW w:w="1389" w:type="dxa"/>
          </w:tcPr>
          <w:p w14:paraId="4FF87E6D" w14:textId="13EA799B" w:rsidR="00104C90" w:rsidRDefault="00104C90" w:rsidP="00104C90">
            <w:r>
              <w:t>-1.</w:t>
            </w:r>
          </w:p>
        </w:tc>
        <w:tc>
          <w:tcPr>
            <w:tcW w:w="1440" w:type="dxa"/>
          </w:tcPr>
          <w:p w14:paraId="0B16FD9B" w14:textId="2547E0B0" w:rsidR="00104C90" w:rsidRDefault="00104C90" w:rsidP="00104C90">
            <w:r>
              <w:t>1.</w:t>
            </w:r>
          </w:p>
        </w:tc>
        <w:tc>
          <w:tcPr>
            <w:tcW w:w="1179" w:type="dxa"/>
          </w:tcPr>
          <w:p w14:paraId="0C0BED44" w14:textId="51838E50" w:rsidR="00104C90" w:rsidRDefault="00104C90" w:rsidP="00104C90">
            <w:r>
              <w:t>0.</w:t>
            </w:r>
          </w:p>
        </w:tc>
        <w:tc>
          <w:tcPr>
            <w:tcW w:w="1521" w:type="dxa"/>
          </w:tcPr>
          <w:p w14:paraId="409A07E5" w14:textId="3EF76CC1" w:rsidR="00104C90" w:rsidRDefault="00104C90" w:rsidP="00104C90">
            <w:r>
              <w:t>1.</w:t>
            </w:r>
          </w:p>
        </w:tc>
      </w:tr>
      <w:tr w:rsidR="00104C90" w14:paraId="30E37C1F" w14:textId="77777777" w:rsidTr="007203A0">
        <w:tc>
          <w:tcPr>
            <w:tcW w:w="1335" w:type="dxa"/>
          </w:tcPr>
          <w:p w14:paraId="234E725C" w14:textId="28548190" w:rsidR="00104C90" w:rsidRDefault="00104C90" w:rsidP="00104C90">
            <w:proofErr w:type="spellStart"/>
            <w:r>
              <w:t>perco</w:t>
            </w:r>
            <w:proofErr w:type="spellEnd"/>
          </w:p>
        </w:tc>
        <w:tc>
          <w:tcPr>
            <w:tcW w:w="1335" w:type="dxa"/>
          </w:tcPr>
          <w:p w14:paraId="1385EA7F" w14:textId="41BAAACB" w:rsidR="00104C90" w:rsidRDefault="00104C90" w:rsidP="00104C90">
            <w:r>
              <w:t>Percolation</w:t>
            </w:r>
          </w:p>
        </w:tc>
        <w:tc>
          <w:tcPr>
            <w:tcW w:w="1336" w:type="dxa"/>
          </w:tcPr>
          <w:p w14:paraId="1381D106" w14:textId="08BDB54D" w:rsidR="00104C90" w:rsidRDefault="00104C90" w:rsidP="00104C90">
            <w:r>
              <w:t>absolute</w:t>
            </w:r>
          </w:p>
        </w:tc>
        <w:tc>
          <w:tcPr>
            <w:tcW w:w="1389" w:type="dxa"/>
          </w:tcPr>
          <w:p w14:paraId="763C8035" w14:textId="4043798D" w:rsidR="00104C90" w:rsidRDefault="00104C90" w:rsidP="00104C90">
            <w:r>
              <w:t>-0.7</w:t>
            </w:r>
          </w:p>
        </w:tc>
        <w:tc>
          <w:tcPr>
            <w:tcW w:w="1440" w:type="dxa"/>
          </w:tcPr>
          <w:p w14:paraId="0A0F77D4" w14:textId="297E7567" w:rsidR="00104C90" w:rsidRDefault="00104C90" w:rsidP="00104C90">
            <w:r>
              <w:t>0.7</w:t>
            </w:r>
          </w:p>
        </w:tc>
        <w:tc>
          <w:tcPr>
            <w:tcW w:w="1179" w:type="dxa"/>
          </w:tcPr>
          <w:p w14:paraId="0E74BC30" w14:textId="5EADE7E3" w:rsidR="00104C90" w:rsidRDefault="00104C90" w:rsidP="00104C90">
            <w:r>
              <w:t>0.</w:t>
            </w:r>
          </w:p>
        </w:tc>
        <w:tc>
          <w:tcPr>
            <w:tcW w:w="1521" w:type="dxa"/>
          </w:tcPr>
          <w:p w14:paraId="2F642B72" w14:textId="037EC322" w:rsidR="00104C90" w:rsidRDefault="00104C90" w:rsidP="00104C90">
            <w:r>
              <w:t>1.</w:t>
            </w:r>
          </w:p>
        </w:tc>
      </w:tr>
    </w:tbl>
    <w:p w14:paraId="348DC77A" w14:textId="5C784E21" w:rsidR="00A54E85" w:rsidRDefault="00A54E85"/>
    <w:p w14:paraId="0E5A35D6" w14:textId="69BDE4EB" w:rsidR="00104C90" w:rsidRDefault="00104C90">
      <w:r>
        <w:t xml:space="preserve">The algorithm uses one variable at a time in the following order: 1) </w:t>
      </w:r>
      <w:proofErr w:type="spellStart"/>
      <w:r>
        <w:t>esco</w:t>
      </w:r>
      <w:proofErr w:type="spellEnd"/>
      <w:r>
        <w:t xml:space="preserve">, 2) </w:t>
      </w:r>
      <w:proofErr w:type="spellStart"/>
      <w:r>
        <w:t>petco</w:t>
      </w:r>
      <w:proofErr w:type="spellEnd"/>
      <w:r>
        <w:t xml:space="preserve">, 3) cn3_swf, 4) </w:t>
      </w:r>
      <w:proofErr w:type="spellStart"/>
      <w:r>
        <w:t>latq_co</w:t>
      </w:r>
      <w:proofErr w:type="spellEnd"/>
      <w:r>
        <w:t xml:space="preserve">, 5) </w:t>
      </w:r>
      <w:proofErr w:type="spellStart"/>
      <w:r>
        <w:t>perco</w:t>
      </w:r>
      <w:proofErr w:type="spellEnd"/>
      <w:r>
        <w:t xml:space="preserve">, and </w:t>
      </w:r>
      <w:r w:rsidR="00EF361F">
        <w:t>6</w:t>
      </w:r>
      <w:r>
        <w:t xml:space="preserve">) cn3_swf is calibrated again to ensure surface runoff is accurate. The first iteration with each variable is an initial guess as shown in table 2. In each case, the initial change in each variable is a function of the difference (mm) in the soft ratio multiplied by precipitation minus the modeled </w:t>
      </w:r>
      <w:r w:rsidR="00CD21FB">
        <w:t xml:space="preserve">process output. For example, if the user input 0.2 surface runoff ratio and the simulated precipitation and surface runoff are 800 mm and 120 mm, </w:t>
      </w:r>
      <w:r w:rsidR="00EF361F">
        <w:t xml:space="preserve">respectively, </w:t>
      </w:r>
      <w:r w:rsidR="00CD21FB">
        <w:t xml:space="preserve">the difference is 0.2*800 – 120 = </w:t>
      </w:r>
      <w:r w:rsidR="00CD21FB">
        <w:lastRenderedPageBreak/>
        <w:t xml:space="preserve">40 mm. The initial variable change for each variable is a function of the soft and simulated difference and is shown in table 2. </w:t>
      </w:r>
    </w:p>
    <w:p w14:paraId="03E0F7BB" w14:textId="688C7BC0" w:rsidR="00CD21FB" w:rsidRDefault="00CD21FB"/>
    <w:tbl>
      <w:tblPr>
        <w:tblStyle w:val="TableGrid"/>
        <w:tblW w:w="0" w:type="auto"/>
        <w:tblLook w:val="04A0" w:firstRow="1" w:lastRow="0" w:firstColumn="1" w:lastColumn="0" w:noHBand="0" w:noVBand="1"/>
      </w:tblPr>
      <w:tblGrid>
        <w:gridCol w:w="2245"/>
        <w:gridCol w:w="5400"/>
      </w:tblGrid>
      <w:tr w:rsidR="00CD21FB" w14:paraId="6E256592" w14:textId="77777777" w:rsidTr="007203A0">
        <w:tc>
          <w:tcPr>
            <w:tcW w:w="2245" w:type="dxa"/>
          </w:tcPr>
          <w:p w14:paraId="087ECF11" w14:textId="1E7B9ACB" w:rsidR="00CD21FB" w:rsidRPr="007203A0" w:rsidRDefault="00CD21FB">
            <w:pPr>
              <w:rPr>
                <w:sz w:val="24"/>
                <w:szCs w:val="24"/>
              </w:rPr>
            </w:pPr>
            <w:r w:rsidRPr="007203A0">
              <w:rPr>
                <w:sz w:val="24"/>
                <w:szCs w:val="24"/>
              </w:rPr>
              <w:t>Variable</w:t>
            </w:r>
          </w:p>
        </w:tc>
        <w:tc>
          <w:tcPr>
            <w:tcW w:w="5400" w:type="dxa"/>
          </w:tcPr>
          <w:p w14:paraId="03DA70C8" w14:textId="2AF95007" w:rsidR="00CD21FB" w:rsidRPr="007203A0" w:rsidRDefault="00CD21FB" w:rsidP="007203A0">
            <w:pPr>
              <w:jc w:val="center"/>
              <w:rPr>
                <w:sz w:val="24"/>
                <w:szCs w:val="24"/>
              </w:rPr>
            </w:pPr>
            <w:r w:rsidRPr="007203A0">
              <w:rPr>
                <w:sz w:val="24"/>
                <w:szCs w:val="24"/>
              </w:rPr>
              <w:t>Initial change</w:t>
            </w:r>
          </w:p>
        </w:tc>
      </w:tr>
      <w:tr w:rsidR="00CD21FB" w14:paraId="547811D0" w14:textId="77777777" w:rsidTr="007203A0">
        <w:tc>
          <w:tcPr>
            <w:tcW w:w="2245" w:type="dxa"/>
          </w:tcPr>
          <w:p w14:paraId="2BB685BB" w14:textId="10D47612" w:rsidR="00CD21FB" w:rsidRDefault="00CD21FB">
            <w:proofErr w:type="spellStart"/>
            <w:r>
              <w:t>esco</w:t>
            </w:r>
            <w:proofErr w:type="spellEnd"/>
          </w:p>
        </w:tc>
        <w:tc>
          <w:tcPr>
            <w:tcW w:w="5400" w:type="dxa"/>
          </w:tcPr>
          <w:p w14:paraId="14351BCC" w14:textId="3631FA6D" w:rsidR="00CD21FB" w:rsidRDefault="0037346E" w:rsidP="007203A0">
            <w:pPr>
              <w:jc w:val="center"/>
            </w:pPr>
            <w:r>
              <w:t>(</w:t>
            </w:r>
            <w:proofErr w:type="spellStart"/>
            <w:r>
              <w:t>ET</w:t>
            </w:r>
            <w:r w:rsidRPr="0037346E">
              <w:rPr>
                <w:vertAlign w:val="subscript"/>
              </w:rPr>
              <w:t>soft</w:t>
            </w:r>
            <w:proofErr w:type="spellEnd"/>
            <w:r>
              <w:t xml:space="preserve"> – </w:t>
            </w:r>
            <w:proofErr w:type="spellStart"/>
            <w:r>
              <w:t>ET</w:t>
            </w:r>
            <w:r w:rsidRPr="0037346E">
              <w:rPr>
                <w:vertAlign w:val="subscript"/>
              </w:rPr>
              <w:t>sim</w:t>
            </w:r>
            <w:proofErr w:type="spellEnd"/>
            <w:r>
              <w:t>) / 500.</w:t>
            </w:r>
          </w:p>
        </w:tc>
      </w:tr>
      <w:tr w:rsidR="00CD21FB" w14:paraId="52353B07" w14:textId="77777777" w:rsidTr="007203A0">
        <w:tc>
          <w:tcPr>
            <w:tcW w:w="2245" w:type="dxa"/>
          </w:tcPr>
          <w:p w14:paraId="1D5034F4" w14:textId="4E6A343B" w:rsidR="00CD21FB" w:rsidRDefault="00CD21FB">
            <w:proofErr w:type="spellStart"/>
            <w:r>
              <w:t>petco</w:t>
            </w:r>
            <w:proofErr w:type="spellEnd"/>
          </w:p>
        </w:tc>
        <w:tc>
          <w:tcPr>
            <w:tcW w:w="5400" w:type="dxa"/>
          </w:tcPr>
          <w:p w14:paraId="290C26B2" w14:textId="2AEAC48B" w:rsidR="00CD21FB" w:rsidRDefault="0037346E" w:rsidP="007203A0">
            <w:pPr>
              <w:jc w:val="center"/>
            </w:pPr>
            <w:r>
              <w:t>(</w:t>
            </w:r>
            <w:proofErr w:type="spellStart"/>
            <w:r>
              <w:t>ET</w:t>
            </w:r>
            <w:r w:rsidRPr="0037346E">
              <w:rPr>
                <w:vertAlign w:val="subscript"/>
              </w:rPr>
              <w:t>soft</w:t>
            </w:r>
            <w:proofErr w:type="spellEnd"/>
            <w:r>
              <w:t xml:space="preserve"> – </w:t>
            </w:r>
            <w:proofErr w:type="spellStart"/>
            <w:r>
              <w:t>E</w:t>
            </w:r>
            <w:r>
              <w:t>T</w:t>
            </w:r>
            <w:r w:rsidRPr="0037346E">
              <w:rPr>
                <w:vertAlign w:val="subscript"/>
              </w:rPr>
              <w:t>sim</w:t>
            </w:r>
            <w:proofErr w:type="spellEnd"/>
            <w:r>
              <w:t xml:space="preserve">) </w:t>
            </w:r>
            <w:r>
              <w:t xml:space="preserve">/ </w:t>
            </w:r>
            <w:proofErr w:type="spellStart"/>
            <w:r>
              <w:t>ET</w:t>
            </w:r>
            <w:r w:rsidRPr="0037346E">
              <w:rPr>
                <w:vertAlign w:val="subscript"/>
              </w:rPr>
              <w:t>soft</w:t>
            </w:r>
            <w:proofErr w:type="spellEnd"/>
          </w:p>
        </w:tc>
      </w:tr>
      <w:tr w:rsidR="00CD21FB" w14:paraId="6C35252D" w14:textId="77777777" w:rsidTr="007203A0">
        <w:tc>
          <w:tcPr>
            <w:tcW w:w="2245" w:type="dxa"/>
          </w:tcPr>
          <w:p w14:paraId="5F265681" w14:textId="4327DF93" w:rsidR="00CD21FB" w:rsidRDefault="00CD21FB">
            <w:r>
              <w:t>cn3_swf</w:t>
            </w:r>
          </w:p>
        </w:tc>
        <w:tc>
          <w:tcPr>
            <w:tcW w:w="5400" w:type="dxa"/>
          </w:tcPr>
          <w:p w14:paraId="5CD18055" w14:textId="1F72E5CA" w:rsidR="00CD21FB" w:rsidRDefault="0037346E" w:rsidP="007203A0">
            <w:pPr>
              <w:jc w:val="center"/>
            </w:pPr>
            <w:r>
              <w:t xml:space="preserve">- </w:t>
            </w:r>
            <w:r>
              <w:t>(</w:t>
            </w:r>
            <w:proofErr w:type="spellStart"/>
            <w:r>
              <w:t>SURQ</w:t>
            </w:r>
            <w:r w:rsidRPr="0037346E">
              <w:rPr>
                <w:vertAlign w:val="subscript"/>
              </w:rPr>
              <w:t>soft</w:t>
            </w:r>
            <w:proofErr w:type="spellEnd"/>
            <w:r>
              <w:t xml:space="preserve"> – </w:t>
            </w:r>
            <w:proofErr w:type="spellStart"/>
            <w:r>
              <w:t>SURQ</w:t>
            </w:r>
            <w:r w:rsidRPr="0037346E">
              <w:rPr>
                <w:vertAlign w:val="subscript"/>
              </w:rPr>
              <w:t>sim</w:t>
            </w:r>
            <w:proofErr w:type="spellEnd"/>
            <w:r>
              <w:t xml:space="preserve">) </w:t>
            </w:r>
            <w:r>
              <w:t>/ 100.</w:t>
            </w:r>
          </w:p>
        </w:tc>
      </w:tr>
      <w:tr w:rsidR="00CD21FB" w14:paraId="4329C433" w14:textId="77777777" w:rsidTr="007203A0">
        <w:tc>
          <w:tcPr>
            <w:tcW w:w="2245" w:type="dxa"/>
          </w:tcPr>
          <w:p w14:paraId="4DE0298E" w14:textId="21757747" w:rsidR="00CD21FB" w:rsidRDefault="00CD21FB">
            <w:proofErr w:type="spellStart"/>
            <w:r>
              <w:t>latq_co</w:t>
            </w:r>
            <w:proofErr w:type="spellEnd"/>
          </w:p>
        </w:tc>
        <w:tc>
          <w:tcPr>
            <w:tcW w:w="5400" w:type="dxa"/>
          </w:tcPr>
          <w:p w14:paraId="2BA71051" w14:textId="20180E6E" w:rsidR="00CD21FB" w:rsidRDefault="0037346E" w:rsidP="007203A0">
            <w:pPr>
              <w:jc w:val="center"/>
            </w:pPr>
            <w:r>
              <w:t>(</w:t>
            </w:r>
            <w:proofErr w:type="spellStart"/>
            <w:r>
              <w:t>LAT</w:t>
            </w:r>
            <w:r>
              <w:t>Q</w:t>
            </w:r>
            <w:r w:rsidRPr="0037346E">
              <w:rPr>
                <w:vertAlign w:val="subscript"/>
              </w:rPr>
              <w:t>soft</w:t>
            </w:r>
            <w:proofErr w:type="spellEnd"/>
            <w:r>
              <w:t xml:space="preserve"> – </w:t>
            </w:r>
            <w:proofErr w:type="spellStart"/>
            <w:r>
              <w:t>LATQ</w:t>
            </w:r>
            <w:r w:rsidRPr="0037346E">
              <w:rPr>
                <w:vertAlign w:val="subscript"/>
              </w:rPr>
              <w:t>sim</w:t>
            </w:r>
            <w:proofErr w:type="spellEnd"/>
            <w:r>
              <w:t>) / 400.</w:t>
            </w:r>
          </w:p>
        </w:tc>
      </w:tr>
      <w:tr w:rsidR="00CD21FB" w14:paraId="1E557565" w14:textId="77777777" w:rsidTr="007203A0">
        <w:tc>
          <w:tcPr>
            <w:tcW w:w="2245" w:type="dxa"/>
          </w:tcPr>
          <w:p w14:paraId="3458AB06" w14:textId="014BA529" w:rsidR="00CD21FB" w:rsidRDefault="00CD21FB">
            <w:proofErr w:type="spellStart"/>
            <w:r>
              <w:t>perco</w:t>
            </w:r>
            <w:proofErr w:type="spellEnd"/>
          </w:p>
        </w:tc>
        <w:tc>
          <w:tcPr>
            <w:tcW w:w="5400" w:type="dxa"/>
          </w:tcPr>
          <w:p w14:paraId="48A5DE7E" w14:textId="3562841C" w:rsidR="00CD21FB" w:rsidRDefault="0037346E" w:rsidP="007203A0">
            <w:pPr>
              <w:jc w:val="center"/>
            </w:pPr>
            <w:r>
              <w:t>(</w:t>
            </w:r>
            <w:proofErr w:type="spellStart"/>
            <w:r>
              <w:t>PERC</w:t>
            </w:r>
            <w:r w:rsidRPr="0037346E">
              <w:rPr>
                <w:vertAlign w:val="subscript"/>
              </w:rPr>
              <w:t>soft</w:t>
            </w:r>
            <w:proofErr w:type="spellEnd"/>
            <w:r>
              <w:t xml:space="preserve"> – </w:t>
            </w:r>
            <w:proofErr w:type="spellStart"/>
            <w:r>
              <w:t>PERC</w:t>
            </w:r>
            <w:r w:rsidRPr="0037346E">
              <w:rPr>
                <w:vertAlign w:val="subscript"/>
              </w:rPr>
              <w:t>sim</w:t>
            </w:r>
            <w:proofErr w:type="spellEnd"/>
            <w:r>
              <w:t>) / 1000.</w:t>
            </w:r>
          </w:p>
        </w:tc>
      </w:tr>
    </w:tbl>
    <w:p w14:paraId="70746524" w14:textId="1B88D222" w:rsidR="00CD21FB" w:rsidRDefault="00CD21FB"/>
    <w:p w14:paraId="6AF212C1" w14:textId="3503F1B9" w:rsidR="0037346E" w:rsidRDefault="007A39C3">
      <w:r>
        <w:t xml:space="preserve">After the initial variable change, two additional iterations are performed using linear interpolation between the previous two simulations. Although the process response to the variable change is </w:t>
      </w:r>
      <w:r w:rsidR="007203A0">
        <w:t>nonlinear, as</w:t>
      </w:r>
      <w:r>
        <w:t xml:space="preserve"> the model iterates and approaches the soft data value, the linear interpolation is able it reasonably approximate the </w:t>
      </w:r>
      <w:r w:rsidR="007E0248">
        <w:t>soft data.</w:t>
      </w:r>
      <w:r w:rsidR="007203A0">
        <w:t xml:space="preserve"> For the surface runoff example, with an initial difference of 40 mm, the next value of cn3_swf used in the calibration would be set to cn3_swf – 0.4. </w:t>
      </w:r>
    </w:p>
    <w:sectPr w:rsidR="0037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85"/>
    <w:rsid w:val="00104C90"/>
    <w:rsid w:val="0037346E"/>
    <w:rsid w:val="003D2D0E"/>
    <w:rsid w:val="004A60E3"/>
    <w:rsid w:val="006834D6"/>
    <w:rsid w:val="006D5B2A"/>
    <w:rsid w:val="007203A0"/>
    <w:rsid w:val="007A39C3"/>
    <w:rsid w:val="007E0248"/>
    <w:rsid w:val="00A54E85"/>
    <w:rsid w:val="00B571E2"/>
    <w:rsid w:val="00C32852"/>
    <w:rsid w:val="00CD21FB"/>
    <w:rsid w:val="00EF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9136"/>
  <w15:chartTrackingRefBased/>
  <w15:docId w15:val="{8367C5FA-8C92-499D-B331-9501ADC8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3D2D0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D2D0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D2D0E"/>
    <w:rPr>
      <w:rFonts w:eastAsiaTheme="minorEastAsia" w:cs="Times New Roman"/>
      <w:sz w:val="20"/>
      <w:szCs w:val="20"/>
    </w:rPr>
  </w:style>
  <w:style w:type="character" w:styleId="SubtleEmphasis">
    <w:name w:val="Subtle Emphasis"/>
    <w:basedOn w:val="DefaultParagraphFont"/>
    <w:uiPriority w:val="19"/>
    <w:qFormat/>
    <w:rsid w:val="003D2D0E"/>
    <w:rPr>
      <w:i/>
      <w:iCs/>
    </w:rPr>
  </w:style>
  <w:style w:type="table" w:styleId="LightShading-Accent1">
    <w:name w:val="Light Shading Accent 1"/>
    <w:basedOn w:val="TableNormal"/>
    <w:uiPriority w:val="60"/>
    <w:rsid w:val="003D2D0E"/>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3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Arnold</dc:creator>
  <cp:keywords/>
  <dc:description/>
  <cp:lastModifiedBy>Jeff Arnold</cp:lastModifiedBy>
  <cp:revision>1</cp:revision>
  <dcterms:created xsi:type="dcterms:W3CDTF">2020-08-28T15:35:00Z</dcterms:created>
  <dcterms:modified xsi:type="dcterms:W3CDTF">2020-08-28T19:36:00Z</dcterms:modified>
</cp:coreProperties>
</file>