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2520" w:firstLine="0"/>
        <w:spacing w:before="0" w:after="0" w:line="240" w:lineRule="auto"/>
        <w:jc w:val="left"/>
        <w:tabs>
          <w:tab w:val="right" w:leader="none" w:pos="5746"/>
        </w:tabs>
        <w:rPr>
          <w:b w:val="true"/>
          <w:color w:val="#000000"/>
          <w:sz w:val="15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5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STUDIES	</w:t>
      </w:r>
      <w:r>
        <w:rPr>
          <w:b w:val="true"/>
          <w:color w:val="#000000"/>
          <w:sz w:val="15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197</w:t>
      </w:r>
    </w:p>
    <w:p>
      <w:pPr>
        <w:ind w:right="0" w:left="216" w:firstLine="0"/>
        <w:spacing w:before="288" w:after="0" w:line="292" w:lineRule="auto"/>
        <w:jc w:val="both"/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al</w:t>
      </w:r>
      <w:r>
        <w:rPr>
          <w:i w:val="true"/>
          <w:color w:val="#000000"/>
          <w:sz w:val="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a'imma al</w:t>
      </w:r>
      <w:r>
        <w:rPr>
          <w:i w:val="true"/>
          <w:color w:val="#000000"/>
          <w:sz w:val="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athar.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Aleppo: al-Matbda al-Maruniyya, 1352/1933. pp. </w:t>
      </w:r>
      <w:r>
        <w:rPr>
          <w:color w:val="#000000"/>
          <w:sz w:val="13"/>
          <w:lang w:val="en-US"/>
          <w:spacing w:val="0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75.</w:t>
      </w:r>
    </w:p>
    <w:p>
      <w:pPr>
        <w:ind w:right="0" w:left="288" w:firstLine="-288"/>
        <w:spacing w:before="108" w:after="0" w:line="240" w:lineRule="auto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(Abd al-Ghani, (Abd al-Rahman Muhammad. "Mawqif al-Bizantiyyin 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wal-Fatimiyyin min zuhar al-Atrak al-Salajiqa bi-mintaqat al-sharq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al-adna al-Islami fi'l-qarn al-khamis al-hijri, al-hadiya (ashara al</w:t>
        <w:softHyphen/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miladi", </w:t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klawliyyat Kulliyyat al-Adab, Jamicat al-Kuwayt/Annals of </w:t>
      </w:r>
      <w:r>
        <w:rPr>
          <w:i w:val="true"/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the Faculty of Arts, Kuwait University, 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15, no. 97 (</w:t>
      </w:r>
      <w:r>
        <w:rPr>
          <w:color w:val="#000000"/>
          <w:sz w:val="20"/>
          <w:lang w:val="en-US"/>
          <w:spacing w:val="-2"/>
          <w:w w:val="100"/>
          <w:strike w:val="false"/>
          <w:vertAlign w:val="superscript"/>
          <w:rFonts w:ascii="Times New Roman" w:hAnsi="Times New Roman"/>
        </w:rPr>
        <w:t xml:space="preserve">1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994</w:t>
      </w:r>
      <w:r>
        <w:rPr>
          <w:color w:val="#000000"/>
          <w:sz w:val="6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95), </w:t>
      </w:r>
      <w:r>
        <w:rPr>
          <w:color w:val="#000000"/>
          <w:sz w:val="21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pp. 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5</w:t>
      </w:r>
      <w:r>
        <w:rPr>
          <w:color w:val="#000000"/>
          <w:sz w:val="6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98.</w:t>
      </w:r>
    </w:p>
    <w:p>
      <w:pPr>
        <w:ind w:right="0" w:left="288" w:firstLine="-288"/>
        <w:spacing w:before="36" w:after="0" w:line="240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al</w:t>
      </w:r>
      <w:r>
        <w:rPr>
          <w:color w:val="#000000"/>
          <w:sz w:val="6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(Abd al</w:t>
      </w:r>
      <w:r>
        <w:rPr>
          <w:color w:val="#000000"/>
          <w:sz w:val="6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Jadir, (Adil Salim. </w:t>
      </w:r>
      <w:r>
        <w:rPr>
          <w:i w:val="true"/>
          <w:color w:val="#000000"/>
          <w:sz w:val="20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al-Ismaciliyyan: al-ddwa wa7-dawla fi7- </w:t>
      </w:r>
      <w:r>
        <w:rPr>
          <w:i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Yaman. 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Kuwait: n. p., </w:t>
      </w:r>
      <w:r>
        <w:rPr>
          <w:b w:val="true"/>
          <w:color w:val="#000000"/>
          <w:sz w:val="15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2000. 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pp. 269.</w:t>
      </w:r>
    </w:p>
    <w:p>
      <w:pPr>
        <w:ind w:right="0" w:left="288" w:firstLine="-288"/>
        <w:spacing w:before="72" w:after="0" w:line="268" w:lineRule="auto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al</w:t>
      </w:r>
      <w:r>
        <w:rPr>
          <w:color w:val="#000000"/>
          <w:sz w:val="6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(Abd al</w:t>
      </w:r>
      <w:r>
        <w:rPr>
          <w:color w:val="#000000"/>
          <w:sz w:val="6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Jadir, (Adil Salim. </w:t>
      </w:r>
      <w:r>
        <w:rPr>
          <w:i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al</w:t>
      </w:r>
      <w:r>
        <w:rPr>
          <w:i w:val="true"/>
          <w:color w:val="#000000"/>
          <w:sz w:val="6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i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Ismaciliyyan: kashf al</w:t>
      </w:r>
      <w:r>
        <w:rPr>
          <w:i w:val="true"/>
          <w:color w:val="#000000"/>
          <w:sz w:val="6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i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asrar wa</w:t>
      </w:r>
      <w:r>
        <w:rPr>
          <w:i w:val="true"/>
          <w:color w:val="#000000"/>
          <w:sz w:val="6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i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naqd </w:t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al</w:t>
      </w:r>
      <w:r>
        <w:rPr>
          <w:i w:val="true"/>
          <w:color w:val="#000000"/>
          <w:sz w:val="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afkar.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Silsilat al-buhrith wal-dirasat al-Islamiyya, </w:t>
      </w:r>
      <w:r>
        <w:rPr>
          <w:b w:val="true"/>
          <w:color w:val="#000000"/>
          <w:sz w:val="15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2.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Kuwait: n. p., </w:t>
      </w:r>
      <w:r>
        <w:rPr>
          <w:b w:val="true"/>
          <w:color w:val="#000000"/>
          <w:sz w:val="13"/>
          <w:lang w:val="en-US"/>
          <w:spacing w:val="2"/>
          <w:w w:val="100"/>
          <w:strike w:val="false"/>
          <w:vertAlign w:val="superscript"/>
          <w:rFonts w:ascii="Times New Roman" w:hAnsi="Times New Roman"/>
        </w:rPr>
        <w:t xml:space="preserve">2002</w:t>
      </w:r>
      <w:r>
        <w:rPr>
          <w:b w:val="true"/>
          <w:color w:val="#000000"/>
          <w:sz w:val="15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. </w:t>
      </w:r>
      <w:r>
        <w:rPr>
          <w:color w:val="#000000"/>
          <w:sz w:val="21"/>
          <w:lang w:val="en-US"/>
          <w:spacing w:val="2"/>
          <w:w w:val="105"/>
          <w:strike w:val="false"/>
          <w:vertAlign w:val="baseline"/>
          <w:rFonts w:ascii="Times New Roman" w:hAnsi="Times New Roman"/>
        </w:rPr>
        <w:t xml:space="preserve">pp. </w:t>
      </w: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457.</w:t>
      </w:r>
    </w:p>
    <w:p>
      <w:pPr>
        <w:ind w:right="0" w:left="288" w:firstLine="-288"/>
        <w:spacing w:before="72" w:after="0" w:line="240" w:lineRule="auto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(Abd al-Mawla, Muhammad Ahmad. </w:t>
      </w:r>
      <w:r>
        <w:rPr>
          <w:i w:val="true"/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al</w:t>
      </w:r>
      <w:r>
        <w:rPr>
          <w:i w:val="true"/>
          <w:color w:val="#000000"/>
          <w:sz w:val="6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i w:val="true"/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Quwa al</w:t>
      </w:r>
      <w:r>
        <w:rPr>
          <w:i w:val="true"/>
          <w:color w:val="#000000"/>
          <w:sz w:val="6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i w:val="true"/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Sunniyya fi7</w:t>
      </w:r>
      <w:r>
        <w:rPr>
          <w:i w:val="true"/>
          <w:color w:val="#000000"/>
          <w:sz w:val="6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- </w:t>
      </w:r>
      <w:r>
        <w:rPr>
          <w:i w:val="true"/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Maghrib min qiyam al-dawla al-Fatimiyya </w:t>
      </w:r>
      <w:r>
        <w:rPr>
          <w:i w:val="true"/>
          <w:color w:val="#000000"/>
          <w:sz w:val="29"/>
          <w:lang w:val="en-US"/>
          <w:spacing w:val="5"/>
          <w:w w:val="80"/>
          <w:strike w:val="false"/>
          <w:vertAlign w:val="baseline"/>
          <w:rFonts w:ascii="Times New Roman" w:hAnsi="Times New Roman"/>
        </w:rPr>
        <w:t xml:space="preserve">act </w:t>
      </w:r>
      <w:r>
        <w:rPr>
          <w:i w:val="true"/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qiyam al-dawla </w:t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al-Ziriyya (296-361H/9o9-972M.).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Alexandria: Dar al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Ma`rifa al</w:t>
        <w:softHyphen/>
      </w:r>
      <w:r>
        <w:rPr>
          <w:color w:val="#000000"/>
          <w:sz w:val="20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Jami`iyya, 1985. </w:t>
      </w:r>
      <w:r>
        <w:rPr>
          <w:b w:val="true"/>
          <w:color w:val="#000000"/>
          <w:sz w:val="15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2 VO1S.</w:t>
      </w:r>
    </w:p>
    <w:p>
      <w:pPr>
        <w:ind w:right="0" w:left="288" w:firstLine="-288"/>
        <w:spacing w:before="72" w:after="0" w:line="240" w:lineRule="auto"/>
        <w:jc w:val="left"/>
        <w:tabs>
          <w:tab w:val="clear" w:pos="288"/>
          <w:tab w:val="decimal" w:pos="288"/>
        </w:tabs>
        <w:numPr>
          <w:ilvl w:val="0"/>
          <w:numId w:val="3"/>
        </w:numPr>
        <w:rPr>
          <w:b w:val="true"/>
          <w:color w:val="#000000"/>
          <w:sz w:val="15"/>
          <w:lang w:val="en-US"/>
          <w:spacing w:val="0"/>
          <w:w w:val="100"/>
          <w:strike w:val="false"/>
          <w:vertAlign w:val="superscript"/>
          <w:rFonts w:ascii="Times New Roman" w:hAnsi="Times New Roman"/>
        </w:rPr>
      </w:pPr>
      <w:r>
        <w:rPr>
          <w:b w:val="true"/>
          <w:color w:val="#000000"/>
          <w:sz w:val="15"/>
          <w:lang w:val="en-US"/>
          <w:spacing w:val="0"/>
          <w:w w:val="100"/>
          <w:strike w:val="false"/>
          <w:vertAlign w:val="superscript"/>
          <w:rFonts w:ascii="Times New Roman" w:hAnsi="Times New Roman"/>
        </w:rPr>
        <w:t xml:space="preserve">(</w:t>
      </w:r>
      <w:r>
        <w:rPr>
          <w:b w:val="true"/>
          <w:color w:val="#000000"/>
          <w:sz w:val="15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Abd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al-Nar, Jabbur. </w:t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Ikhwan al</w:t>
      </w:r>
      <w:r>
        <w:rPr>
          <w:i w:val="true"/>
          <w:color w:val="#000000"/>
          <w:sz w:val="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Safa'.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Nawabigh al-fikr al-(Arabi, 7. 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Cairo: Dar al-Malrif, 1961. pp. </w:t>
      </w:r>
      <w:r>
        <w:rPr>
          <w:b w:val="true"/>
          <w:color w:val="#000000"/>
          <w:sz w:val="15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127.</w:t>
      </w:r>
    </w:p>
    <w:p>
      <w:pPr>
        <w:ind w:right="0" w:left="288" w:firstLine="-288"/>
        <w:spacing w:before="72" w:after="0" w:line="240" w:lineRule="auto"/>
        <w:jc w:val="both"/>
        <w:tabs>
          <w:tab w:val="clear" w:pos="288"/>
          <w:tab w:val="decimal" w:pos="288"/>
        </w:tabs>
        <w:numPr>
          <w:ilvl w:val="0"/>
          <w:numId w:val="3"/>
        </w:numPr>
        <w:rPr>
          <w:b w:val="true"/>
          <w:color w:val="#000000"/>
          <w:sz w:val="15"/>
          <w:lang w:val="en-US"/>
          <w:spacing w:val="-2"/>
          <w:w w:val="100"/>
          <w:strike w:val="false"/>
          <w:vertAlign w:val="superscript"/>
          <w:rFonts w:ascii="Times New Roman" w:hAnsi="Times New Roman"/>
        </w:rPr>
      </w:pPr>
      <w:r>
        <w:rPr>
          <w:b w:val="true"/>
          <w:color w:val="#000000"/>
          <w:sz w:val="15"/>
          <w:lang w:val="en-US"/>
          <w:spacing w:val="-2"/>
          <w:w w:val="100"/>
          <w:strike w:val="false"/>
          <w:vertAlign w:val="superscript"/>
          <w:rFonts w:ascii="Times New Roman" w:hAnsi="Times New Roman"/>
        </w:rPr>
        <w:t xml:space="preserve">(</w:t>
      </w:r>
      <w:r>
        <w:rPr>
          <w:b w:val="true"/>
          <w:color w:val="#000000"/>
          <w:sz w:val="15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Abd 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al-Rahman, 'Mini Muhamad Rizq. "al-Maharib al-Fatimiyya fi 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jawami` al</w:t>
      </w:r>
      <w:r>
        <w:rPr>
          <w:color w:val="#000000"/>
          <w:sz w:val="6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Qahira wa</w:t>
      </w:r>
      <w:r>
        <w:rPr>
          <w:color w:val="#000000"/>
          <w:sz w:val="6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masajidiha", </w:t>
      </w:r>
      <w:r>
        <w:rPr>
          <w:i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Majallat Kulliyat al</w:t>
      </w:r>
      <w:r>
        <w:rPr>
          <w:i w:val="true"/>
          <w:color w:val="#000000"/>
          <w:sz w:val="6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i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Adab, Jamicat al</w:t>
      </w:r>
      <w:r>
        <w:rPr>
          <w:i w:val="true"/>
          <w:color w:val="#000000"/>
          <w:sz w:val="6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i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Malik Sdad, 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ii, no. 1 (1984), pp. 3-62.</w:t>
      </w:r>
    </w:p>
    <w:p>
      <w:pPr>
        <w:ind w:right="0" w:left="288" w:firstLine="-288"/>
        <w:spacing w:before="72" w:after="0" w:line="240" w:lineRule="auto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(Abd al-Rahman, (Aim Muhamad Rizq. "al-Maharib al-Fatimiyya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fi adrihat al-Qahira wa-mashahidiha", </w:t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Majallat Kulliyat al</w:t>
      </w:r>
      <w:r>
        <w:rPr>
          <w:i w:val="true"/>
          <w:color w:val="#000000"/>
          <w:sz w:val="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Adab, </w:t>
      </w:r>
      <w:r>
        <w:rPr>
          <w:i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Jamicat al-Malik Sdad, 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ii, no. </w:t>
      </w:r>
      <w:r>
        <w:rPr>
          <w:b w:val="true"/>
          <w:color w:val="#000000"/>
          <w:sz w:val="15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2 (1984),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pp. 461-525.</w:t>
      </w:r>
    </w:p>
    <w:p>
      <w:pPr>
        <w:ind w:right="0" w:left="288" w:firstLine="-288"/>
        <w:spacing w:before="36" w:after="0" w:line="240" w:lineRule="auto"/>
        <w:jc w:val="left"/>
        <w:tabs>
          <w:tab w:val="clear" w:pos="288"/>
          <w:tab w:val="decimal" w:pos="288"/>
        </w:tabs>
        <w:numPr>
          <w:ilvl w:val="0"/>
          <w:numId w:val="4"/>
        </w:numP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(Abd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al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Razzaq, Mahmad Ismail. </w:t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Ikhwan al-Safa': ruwwad al-tanwir </w:t>
      </w:r>
      <w:r>
        <w:rPr>
          <w:i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fi7</w:t>
      </w:r>
      <w:r>
        <w:rPr>
          <w:i w:val="true"/>
          <w:color w:val="#000000"/>
          <w:sz w:val="6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i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fikr al</w:t>
      </w:r>
      <w:r>
        <w:rPr>
          <w:i w:val="true"/>
          <w:color w:val="#000000"/>
          <w:sz w:val="6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i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`Arabi. 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Cairo: Dar Qiba', 1998. pp. 152.</w:t>
      </w:r>
    </w:p>
    <w:p>
      <w:pPr>
        <w:ind w:right="0" w:left="288" w:firstLine="-288"/>
        <w:spacing w:before="72" w:after="0" w:line="240" w:lineRule="auto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Abdel Kader, Ali Hassan. "Aga Khan", "Fatimite Dynasty", in </w:t>
      </w:r>
      <w:r>
        <w:rPr>
          <w:i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The World Book Encyclopedia. 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Chicago, Frankfurt, etc.: World Book</w:t>
        <w:softHyphen/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Childcraft International, 1978.</w:t>
      </w:r>
    </w:p>
    <w:p>
      <w:pPr>
        <w:ind w:right="0" w:left="288" w:firstLine="-288"/>
        <w:spacing w:before="108" w:after="0" w:line="240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Abdu, Abdallah Kamel Mosa. </w:t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 Fatimid Architecture in Cairo. 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Cairo: General Egyptian Book Organization, 1998. pp. 161.</w:t>
      </w:r>
    </w:p>
    <w:p>
      <w:pPr>
        <w:ind w:right="0" w:left="288" w:firstLine="-288"/>
        <w:spacing w:before="72" w:after="0" w:line="240" w:lineRule="auto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(Abduh, (Abd Allah Kamil Musa. </w:t>
      </w:r>
      <w:r>
        <w:rPr>
          <w:i w:val="true"/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al</w:t>
      </w:r>
      <w:r>
        <w:rPr>
          <w:i w:val="true"/>
          <w:color w:val="#000000"/>
          <w:sz w:val="6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i w:val="true"/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Fatimiyyun wa</w:t>
      </w:r>
      <w:r>
        <w:rPr>
          <w:i w:val="true"/>
          <w:color w:val="#000000"/>
          <w:sz w:val="6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i w:val="true"/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atharuhum al</w:t>
        <w:softHyphen/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micmariyya fi Ifriqiya wa</w:t>
      </w:r>
      <w:r>
        <w:rPr>
          <w:i w:val="true"/>
          <w:color w:val="#000000"/>
          <w:sz w:val="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Misr wa'l</w:t>
      </w:r>
      <w:r>
        <w:rPr>
          <w:i w:val="true"/>
          <w:color w:val="#000000"/>
          <w:sz w:val="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Yaman.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Cairo: Dar al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Afaq al</w:t>
        <w:softHyphen/>
      </w:r>
      <w:r>
        <w:rPr>
          <w:color w:val="#000000"/>
          <w:sz w:val="20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(Arabiyya, 1421/2001. pp. 296 + 38.</w:t>
      </w:r>
    </w:p>
    <w:p>
      <w:pPr>
        <w:ind w:right="0" w:left="288" w:firstLine="-288"/>
        <w:spacing w:before="108" w:after="0" w:line="240" w:lineRule="auto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Abdul Husain, Mian Bhai Mulla. </w:t>
      </w:r>
      <w:r>
        <w:rPr>
          <w:i w:val="true"/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Gulzare Daudi, for the Bohras of In</w:t>
        <w:softHyphen/>
      </w:r>
      <w:r>
        <w:rPr>
          <w:i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dia: A Short Note on the Bohras of India, their </w:t>
      </w:r>
      <w:r>
        <w:rPr>
          <w:b w:val="true"/>
          <w:color w:val="#000000"/>
          <w:sz w:val="15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21 </w:t>
      </w:r>
      <w:r>
        <w:rPr>
          <w:i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Imams and 51 Dais,</w:t>
      </w:r>
    </w:p>
    <w:sectPr>
      <w:pgSz w:w="7920" w:h="12240" w:orient="portrait"/>
      <w:type w:val="nextPage"/>
      <w:textDirection w:val="lrTb"/>
      <w:pgMar w:bottom="992" w:top="618" w:right="1089" w:left="971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288"/>
        </w:tabs>
      </w:pPr>
      <w:rPr>
        <w:color w:val="#000000"/>
        <w:sz w:val="20"/>
        <w:lang w:val="en-US"/>
        <w:spacing w:val="-4"/>
        <w:w w:val="100"/>
        <w:strike w:val="false"/>
        <w:vertAlign w:val="baseline"/>
        <w:rFonts w:ascii="Symbol" w:hAnsi="Symbol"/>
      </w:rPr>
    </w:lvl>
  </w:abstractNum>
  <w:abstractNum w:abstractNumId="2">
    <w:lvl w:ilvl="0">
      <w:numFmt w:val="bullet"/>
      <w:lvlText w:val=""/>
      <w:start w:val="1"/>
      <w:lvlJc w:val="left"/>
      <w:pPr>
        <w:ind w:left="720"/>
        <w:tabs>
          <w:tab w:val="decimal" w:pos="288"/>
        </w:tabs>
      </w:pPr>
      <w:rPr>
        <w:b w:val="true"/>
        <w:color w:val="#000000"/>
        <w:sz w:val="15"/>
        <w:lang w:val="en-US"/>
        <w:spacing w:val="0"/>
        <w:w w:val="100"/>
        <w:strike w:val="false"/>
        <w:vertAlign w:val="superscript"/>
        <w:rFonts w:ascii="Symbol" w:hAnsi="Symbol"/>
      </w:rPr>
    </w:lvl>
  </w:abstractNum>
  <w:abstractNum w:abstractNumId="3">
    <w:lvl w:ilvl="0">
      <w:numFmt w:val="bullet"/>
      <w:lvlText w:val=""/>
      <w:start w:val="1"/>
      <w:lvlJc w:val="left"/>
      <w:pPr>
        <w:ind w:left="720"/>
        <w:tabs>
          <w:tab w:val="decimal" w:pos="288"/>
        </w:tabs>
      </w:pPr>
      <w:rPr>
        <w:color w:val="#000000"/>
        <w:sz w:val="19"/>
        <w:lang w:val="en-US"/>
        <w:spacing w:val="0"/>
        <w:w w:val="100"/>
        <w:strike w:val="false"/>
        <w:vertAlign w:val="baseline"/>
        <w:rFonts w:ascii="Symbol" w:hAnsi="Symbol"/>
      </w:rPr>
    </w:lvl>
  </w:abstract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