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5C07B" w14:textId="77777777" w:rsidR="002E7094" w:rsidRPr="00660D1C" w:rsidRDefault="002E7094" w:rsidP="007F168D">
      <w:pPr>
        <w:rPr>
          <w:rFonts w:ascii="Gentium" w:hAnsi="Gentium"/>
        </w:rPr>
      </w:pPr>
      <w:proofErr w:type="spellStart"/>
      <w:r w:rsidRPr="00660D1C">
        <w:rPr>
          <w:rFonts w:ascii="Gentium" w:hAnsi="Gentium"/>
        </w:rPr>
        <w:t>Abd</w:t>
      </w:r>
      <w:proofErr w:type="spellEnd"/>
      <w:r w:rsidRPr="00660D1C">
        <w:rPr>
          <w:rFonts w:ascii="Gentium" w:hAnsi="Gentium"/>
        </w:rPr>
        <w:t xml:space="preserve"> el-Kader, Ahmed </w:t>
      </w:r>
      <w:proofErr w:type="spellStart"/>
      <w:r w:rsidRPr="00660D1C">
        <w:rPr>
          <w:rFonts w:ascii="Gentium" w:hAnsi="Gentium"/>
        </w:rPr>
        <w:t>Monir</w:t>
      </w:r>
      <w:proofErr w:type="spellEnd"/>
      <w:r w:rsidRPr="00660D1C">
        <w:rPr>
          <w:rFonts w:ascii="Gentium" w:hAnsi="Gentium"/>
        </w:rPr>
        <w:t xml:space="preserve">. </w:t>
      </w:r>
      <w:r w:rsidRPr="00660D1C">
        <w:rPr>
          <w:rFonts w:ascii="Gentium" w:hAnsi="Gentium"/>
          <w:i/>
        </w:rPr>
        <w:t>Al-</w:t>
      </w:r>
      <w:proofErr w:type="spellStart"/>
      <w:r w:rsidRPr="00660D1C">
        <w:rPr>
          <w:rFonts w:ascii="Gentium" w:hAnsi="Gentium"/>
          <w:i/>
        </w:rPr>
        <w:t>Kahera</w:t>
      </w:r>
      <w:proofErr w:type="spellEnd"/>
      <w:r w:rsidRPr="00660D1C">
        <w:rPr>
          <w:rFonts w:ascii="Gentium" w:hAnsi="Gentium"/>
          <w:i/>
        </w:rPr>
        <w:t xml:space="preserve"> Al-</w:t>
      </w:r>
      <w:proofErr w:type="spellStart"/>
      <w:r w:rsidRPr="00660D1C">
        <w:rPr>
          <w:rFonts w:ascii="Gentium" w:hAnsi="Gentium"/>
          <w:i/>
        </w:rPr>
        <w:t>Fatimia</w:t>
      </w:r>
      <w:proofErr w:type="spellEnd"/>
      <w:r w:rsidRPr="00660D1C">
        <w:rPr>
          <w:rFonts w:ascii="Gentium" w:hAnsi="Gentium"/>
          <w:i/>
        </w:rPr>
        <w:t>: A Renewal Program for a Historical City</w:t>
      </w:r>
      <w:r w:rsidRPr="00660D1C">
        <w:rPr>
          <w:rFonts w:ascii="Gentium" w:hAnsi="Gentium"/>
        </w:rPr>
        <w:t xml:space="preserve">. Washington, DC: Catholic University of America Press, 1965. 169 pp. </w:t>
      </w:r>
    </w:p>
    <w:p w14:paraId="2A15F20C" w14:textId="77777777" w:rsidR="002E7094" w:rsidRPr="00660D1C" w:rsidRDefault="002E7094" w:rsidP="007F168D">
      <w:pPr>
        <w:rPr>
          <w:rFonts w:ascii="Gentium" w:hAnsi="Gentium"/>
        </w:rPr>
      </w:pPr>
      <w:proofErr w:type="spellStart"/>
      <w:r w:rsidRPr="00660D1C">
        <w:rPr>
          <w:rFonts w:ascii="Gentium" w:hAnsi="Gentium"/>
        </w:rPr>
        <w:t>Abdolhoff</w:t>
      </w:r>
      <w:proofErr w:type="spellEnd"/>
      <w:r w:rsidRPr="00660D1C">
        <w:rPr>
          <w:rFonts w:ascii="Gentium" w:hAnsi="Gentium"/>
        </w:rPr>
        <w:t xml:space="preserve">, Christoph. “Buddhism and Ismailism: Intersections and Comparison.” In </w:t>
      </w:r>
      <w:proofErr w:type="spellStart"/>
      <w:r w:rsidRPr="00660D1C">
        <w:rPr>
          <w:rFonts w:ascii="Gentium" w:hAnsi="Gentium"/>
          <w:i/>
        </w:rPr>
        <w:t>Filosofija</w:t>
      </w:r>
      <w:proofErr w:type="spellEnd"/>
      <w:r w:rsidRPr="00660D1C">
        <w:rPr>
          <w:rFonts w:ascii="Gentium" w:hAnsi="Gentium"/>
          <w:i/>
        </w:rPr>
        <w:t xml:space="preserve"> XX </w:t>
      </w:r>
      <w:proofErr w:type="spellStart"/>
      <w:r w:rsidRPr="00660D1C">
        <w:rPr>
          <w:rFonts w:ascii="Gentium" w:hAnsi="Gentium"/>
          <w:i/>
        </w:rPr>
        <w:t>veka</w:t>
      </w:r>
      <w:proofErr w:type="spellEnd"/>
      <w:r w:rsidRPr="00660D1C">
        <w:rPr>
          <w:rFonts w:ascii="Gentium" w:hAnsi="Gentium"/>
          <w:i/>
        </w:rPr>
        <w:t xml:space="preserve">: </w:t>
      </w:r>
      <w:proofErr w:type="spellStart"/>
      <w:r w:rsidRPr="00660D1C">
        <w:rPr>
          <w:rFonts w:ascii="Gentium" w:hAnsi="Gentium"/>
          <w:i/>
        </w:rPr>
        <w:t>Školy</w:t>
      </w:r>
      <w:proofErr w:type="spellEnd"/>
      <w:r w:rsidRPr="00660D1C">
        <w:rPr>
          <w:rFonts w:ascii="Gentium" w:hAnsi="Gentium"/>
          <w:i/>
        </w:rPr>
        <w:t xml:space="preserve"> </w:t>
      </w:r>
      <w:proofErr w:type="spellStart"/>
      <w:r w:rsidRPr="00660D1C">
        <w:rPr>
          <w:rFonts w:ascii="Gentium" w:hAnsi="Gentium"/>
          <w:i/>
        </w:rPr>
        <w:t>i</w:t>
      </w:r>
      <w:proofErr w:type="spellEnd"/>
      <w:r w:rsidRPr="00660D1C">
        <w:rPr>
          <w:rFonts w:ascii="Gentium" w:hAnsi="Gentium"/>
          <w:i/>
        </w:rPr>
        <w:t xml:space="preserve"> </w:t>
      </w:r>
      <w:proofErr w:type="spellStart"/>
      <w:r w:rsidRPr="00660D1C">
        <w:rPr>
          <w:rFonts w:ascii="Gentium" w:hAnsi="Gentium"/>
          <w:i/>
        </w:rPr>
        <w:t>koncepcii</w:t>
      </w:r>
      <w:proofErr w:type="spellEnd"/>
      <w:r w:rsidRPr="00660D1C">
        <w:rPr>
          <w:rFonts w:ascii="Gentium" w:hAnsi="Gentium"/>
        </w:rPr>
        <w:t>, 3-6. St. Petersburg: Sankt-</w:t>
      </w:r>
      <w:proofErr w:type="spellStart"/>
      <w:r w:rsidRPr="00660D1C">
        <w:rPr>
          <w:rFonts w:ascii="Gentium" w:hAnsi="Gentium"/>
        </w:rPr>
        <w:t>Peterburgskii</w:t>
      </w:r>
      <w:proofErr w:type="spellEnd"/>
      <w:r w:rsidRPr="00660D1C">
        <w:rPr>
          <w:rFonts w:ascii="Gentium" w:hAnsi="Gentium"/>
        </w:rPr>
        <w:t xml:space="preserve"> </w:t>
      </w:r>
      <w:proofErr w:type="spellStart"/>
      <w:r w:rsidRPr="00660D1C">
        <w:rPr>
          <w:rFonts w:ascii="Gentium" w:hAnsi="Gentium"/>
        </w:rPr>
        <w:t>gos</w:t>
      </w:r>
      <w:proofErr w:type="spellEnd"/>
      <w:r w:rsidRPr="00660D1C">
        <w:rPr>
          <w:rFonts w:ascii="Gentium" w:hAnsi="Gentium"/>
        </w:rPr>
        <w:t xml:space="preserve">. </w:t>
      </w:r>
      <w:proofErr w:type="spellStart"/>
      <w:r w:rsidRPr="00660D1C">
        <w:rPr>
          <w:rFonts w:ascii="Gentium" w:hAnsi="Gentium"/>
        </w:rPr>
        <w:t>universitet</w:t>
      </w:r>
      <w:proofErr w:type="spellEnd"/>
      <w:r w:rsidRPr="00660D1C">
        <w:rPr>
          <w:rFonts w:ascii="Gentium" w:hAnsi="Gentium"/>
        </w:rPr>
        <w:t>, 2001. [In Russian]</w:t>
      </w:r>
    </w:p>
    <w:p w14:paraId="26F37527" w14:textId="77777777" w:rsidR="002E7094" w:rsidRPr="00660D1C" w:rsidRDefault="002E7094" w:rsidP="007F168D">
      <w:pPr>
        <w:rPr>
          <w:rFonts w:ascii="Gentium" w:hAnsi="Gentium"/>
        </w:rPr>
      </w:pPr>
      <w:r>
        <w:rPr>
          <w:rFonts w:ascii="Gentium" w:hAnsi="Gentium"/>
        </w:rPr>
        <w:t>Abu Bakar</w:t>
      </w:r>
      <w:r w:rsidRPr="00660D1C">
        <w:rPr>
          <w:rFonts w:ascii="Gentium" w:hAnsi="Gentium"/>
        </w:rPr>
        <w:t xml:space="preserve">, Ibrahim. “The First Intellect in </w:t>
      </w:r>
      <w:proofErr w:type="spellStart"/>
      <w:r w:rsidRPr="00660D1C">
        <w:rPr>
          <w:rFonts w:ascii="Gentium" w:hAnsi="Gentium"/>
        </w:rPr>
        <w:t>Kirmānī’s</w:t>
      </w:r>
      <w:proofErr w:type="spellEnd"/>
      <w:r w:rsidRPr="00660D1C">
        <w:rPr>
          <w:rFonts w:ascii="Gentium" w:hAnsi="Gentium"/>
        </w:rPr>
        <w:t xml:space="preserve"> Thought.” </w:t>
      </w:r>
      <w:proofErr w:type="spellStart"/>
      <w:r w:rsidRPr="00660D1C">
        <w:rPr>
          <w:rFonts w:ascii="Gentium" w:hAnsi="Gentium"/>
          <w:i/>
        </w:rPr>
        <w:t>Islamiyyat</w:t>
      </w:r>
      <w:proofErr w:type="spellEnd"/>
      <w:r w:rsidRPr="00660D1C">
        <w:rPr>
          <w:rFonts w:ascii="Gentium" w:hAnsi="Gentium"/>
          <w:i/>
        </w:rPr>
        <w:t xml:space="preserve"> </w:t>
      </w:r>
      <w:r w:rsidRPr="00660D1C">
        <w:rPr>
          <w:rFonts w:ascii="Gentium" w:hAnsi="Gentium"/>
        </w:rPr>
        <w:t>(Kuala Lumpur) 13 (1992): 13-19.</w:t>
      </w:r>
    </w:p>
    <w:p w14:paraId="64E214E2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“The Aga Khan.” In </w:t>
      </w:r>
      <w:r w:rsidRPr="00660D1C">
        <w:rPr>
          <w:rFonts w:ascii="Gentium" w:hAnsi="Gentium"/>
          <w:i/>
        </w:rPr>
        <w:t xml:space="preserve">Eminent </w:t>
      </w:r>
      <w:proofErr w:type="spellStart"/>
      <w:r w:rsidRPr="00660D1C">
        <w:rPr>
          <w:rFonts w:ascii="Gentium" w:hAnsi="Gentium"/>
          <w:i/>
        </w:rPr>
        <w:t>Mussalmans</w:t>
      </w:r>
      <w:proofErr w:type="spellEnd"/>
      <w:r w:rsidRPr="00660D1C">
        <w:rPr>
          <w:rFonts w:ascii="Gentium" w:hAnsi="Gentium"/>
        </w:rPr>
        <w:t xml:space="preserve">, 177-208. Madras, India: G.A. </w:t>
      </w:r>
      <w:proofErr w:type="spellStart"/>
      <w:r w:rsidRPr="00660D1C">
        <w:rPr>
          <w:rFonts w:ascii="Gentium" w:hAnsi="Gentium"/>
        </w:rPr>
        <w:t>Natesan</w:t>
      </w:r>
      <w:proofErr w:type="spellEnd"/>
      <w:r w:rsidRPr="00660D1C">
        <w:rPr>
          <w:rFonts w:ascii="Gentium" w:hAnsi="Gentium"/>
        </w:rPr>
        <w:t xml:space="preserve">, 1926. Reprint, Delhi: </w:t>
      </w:r>
      <w:proofErr w:type="spellStart"/>
      <w:r w:rsidRPr="00660D1C">
        <w:rPr>
          <w:rFonts w:ascii="Gentium" w:hAnsi="Gentium"/>
        </w:rPr>
        <w:t>Neeraj</w:t>
      </w:r>
      <w:proofErr w:type="spellEnd"/>
      <w:r w:rsidRPr="00660D1C">
        <w:rPr>
          <w:rFonts w:ascii="Gentium" w:hAnsi="Gentium"/>
        </w:rPr>
        <w:t xml:space="preserve"> Pub. House, 1981.</w:t>
      </w:r>
    </w:p>
    <w:p w14:paraId="50481963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“Aga Khan.” In </w:t>
      </w:r>
      <w:r w:rsidRPr="00660D1C">
        <w:rPr>
          <w:rFonts w:ascii="Gentium" w:hAnsi="Gentium"/>
          <w:i/>
        </w:rPr>
        <w:t>International Arab Figures</w:t>
      </w:r>
      <w:r w:rsidRPr="00660D1C">
        <w:rPr>
          <w:rFonts w:ascii="Gentium" w:hAnsi="Gentium"/>
        </w:rPr>
        <w:t xml:space="preserve">. Vol. 2 of </w:t>
      </w:r>
      <w:r w:rsidRPr="00660D1C">
        <w:rPr>
          <w:rFonts w:ascii="Gentium" w:hAnsi="Gentium"/>
          <w:i/>
        </w:rPr>
        <w:t>Reference Library of Arab America</w:t>
      </w:r>
      <w:r w:rsidRPr="00660D1C">
        <w:rPr>
          <w:rFonts w:ascii="Gentium" w:hAnsi="Gentium"/>
        </w:rPr>
        <w:t xml:space="preserve">. 4 vols. Edited by Frank V. </w:t>
      </w:r>
      <w:proofErr w:type="spellStart"/>
      <w:r w:rsidRPr="00660D1C">
        <w:rPr>
          <w:rFonts w:ascii="Gentium" w:hAnsi="Gentium"/>
        </w:rPr>
        <w:t>Castronova</w:t>
      </w:r>
      <w:proofErr w:type="spellEnd"/>
      <w:r w:rsidRPr="00660D1C">
        <w:rPr>
          <w:rFonts w:ascii="Gentium" w:hAnsi="Gentium"/>
        </w:rPr>
        <w:t xml:space="preserve">, 18-21. Detroit, MI: Gale Group, 1999. </w:t>
      </w:r>
    </w:p>
    <w:p w14:paraId="7902CB65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Agrawal, </w:t>
      </w:r>
      <w:proofErr w:type="spellStart"/>
      <w:r w:rsidRPr="00660D1C">
        <w:rPr>
          <w:rFonts w:ascii="Gentium" w:hAnsi="Gentium"/>
        </w:rPr>
        <w:t>Binod</w:t>
      </w:r>
      <w:proofErr w:type="spellEnd"/>
      <w:r w:rsidRPr="00660D1C">
        <w:rPr>
          <w:rFonts w:ascii="Gentium" w:hAnsi="Gentium"/>
        </w:rPr>
        <w:t xml:space="preserve"> C. “The </w:t>
      </w:r>
      <w:proofErr w:type="spellStart"/>
      <w:r w:rsidRPr="00660D1C">
        <w:rPr>
          <w:rFonts w:ascii="Gentium" w:hAnsi="Gentium"/>
        </w:rPr>
        <w:t>Bohras</w:t>
      </w:r>
      <w:proofErr w:type="spellEnd"/>
      <w:r w:rsidRPr="00660D1C">
        <w:rPr>
          <w:rFonts w:ascii="Gentium" w:hAnsi="Gentium"/>
        </w:rPr>
        <w:t xml:space="preserve">: Identity Maintenance.” </w:t>
      </w:r>
      <w:r w:rsidRPr="00660D1C">
        <w:rPr>
          <w:rFonts w:ascii="Gentium" w:hAnsi="Gentium"/>
          <w:i/>
        </w:rPr>
        <w:t>Eastern Anthropologist</w:t>
      </w:r>
      <w:r w:rsidRPr="00660D1C">
        <w:rPr>
          <w:rFonts w:ascii="Gentium" w:hAnsi="Gentium"/>
        </w:rPr>
        <w:t xml:space="preserve"> 31:4 (1978): 597-601.  </w:t>
      </w:r>
    </w:p>
    <w:p w14:paraId="7B41D920" w14:textId="77777777" w:rsidR="002E7094" w:rsidRPr="00660D1C" w:rsidRDefault="002E7094" w:rsidP="007F168D">
      <w:pPr>
        <w:rPr>
          <w:rFonts w:ascii="Gentium" w:hAnsi="Gentium"/>
        </w:rPr>
      </w:pPr>
      <w:proofErr w:type="spellStart"/>
      <w:r w:rsidRPr="00660D1C">
        <w:rPr>
          <w:rFonts w:ascii="Gentium" w:hAnsi="Gentium"/>
        </w:rPr>
        <w:t>Albrile</w:t>
      </w:r>
      <w:proofErr w:type="spellEnd"/>
      <w:r w:rsidRPr="00660D1C">
        <w:rPr>
          <w:rFonts w:ascii="Gentium" w:hAnsi="Gentium"/>
        </w:rPr>
        <w:t xml:space="preserve">, </w:t>
      </w:r>
      <w:proofErr w:type="spellStart"/>
      <w:r w:rsidRPr="00660D1C">
        <w:rPr>
          <w:rFonts w:ascii="Gentium" w:hAnsi="Gentium"/>
        </w:rPr>
        <w:t>Ezio</w:t>
      </w:r>
      <w:proofErr w:type="spellEnd"/>
      <w:r w:rsidRPr="00660D1C">
        <w:rPr>
          <w:rFonts w:ascii="Gentium" w:hAnsi="Gentium"/>
        </w:rPr>
        <w:t>. “</w:t>
      </w:r>
      <w:proofErr w:type="spellStart"/>
      <w:r w:rsidRPr="00660D1C">
        <w:rPr>
          <w:rFonts w:ascii="Gentium" w:hAnsi="Gentium"/>
        </w:rPr>
        <w:t>Gli</w:t>
      </w:r>
      <w:proofErr w:type="spellEnd"/>
      <w:r w:rsidRPr="00660D1C">
        <w:rPr>
          <w:rFonts w:ascii="Gentium" w:hAnsi="Gentium"/>
        </w:rPr>
        <w:t xml:space="preserve"> </w:t>
      </w:r>
      <w:proofErr w:type="spellStart"/>
      <w:r w:rsidRPr="00660D1C">
        <w:rPr>
          <w:rFonts w:ascii="Gentium" w:hAnsi="Gentium"/>
        </w:rPr>
        <w:t>Ismaeliti</w:t>
      </w:r>
      <w:proofErr w:type="spellEnd"/>
      <w:r w:rsidRPr="00660D1C">
        <w:rPr>
          <w:rFonts w:ascii="Gentium" w:hAnsi="Gentium"/>
        </w:rPr>
        <w:t xml:space="preserve"> e </w:t>
      </w:r>
      <w:proofErr w:type="spellStart"/>
      <w:r w:rsidRPr="00660D1C">
        <w:rPr>
          <w:rFonts w:ascii="Gentium" w:hAnsi="Gentium"/>
        </w:rPr>
        <w:t>i</w:t>
      </w:r>
      <w:proofErr w:type="spellEnd"/>
      <w:r w:rsidRPr="00660D1C">
        <w:rPr>
          <w:rFonts w:ascii="Gentium" w:hAnsi="Gentium"/>
        </w:rPr>
        <w:t xml:space="preserve"> ‘Mari di </w:t>
      </w:r>
      <w:proofErr w:type="spellStart"/>
      <w:r w:rsidRPr="00660D1C">
        <w:rPr>
          <w:rFonts w:ascii="Gentium" w:hAnsi="Gentium"/>
        </w:rPr>
        <w:t>Luce</w:t>
      </w:r>
      <w:proofErr w:type="spellEnd"/>
      <w:r w:rsidRPr="00660D1C">
        <w:rPr>
          <w:rFonts w:ascii="Gentium" w:hAnsi="Gentium"/>
        </w:rPr>
        <w:t xml:space="preserve">’: </w:t>
      </w:r>
      <w:proofErr w:type="spellStart"/>
      <w:r w:rsidRPr="00660D1C">
        <w:rPr>
          <w:rFonts w:ascii="Gentium" w:hAnsi="Gentium"/>
        </w:rPr>
        <w:t>Riflessioni</w:t>
      </w:r>
      <w:proofErr w:type="spellEnd"/>
      <w:r w:rsidRPr="00660D1C">
        <w:rPr>
          <w:rFonts w:ascii="Gentium" w:hAnsi="Gentium"/>
        </w:rPr>
        <w:t xml:space="preserve"> </w:t>
      </w:r>
      <w:proofErr w:type="spellStart"/>
      <w:r w:rsidRPr="00660D1C">
        <w:rPr>
          <w:rFonts w:ascii="Gentium" w:hAnsi="Gentium"/>
        </w:rPr>
        <w:t>sulla</w:t>
      </w:r>
      <w:proofErr w:type="spellEnd"/>
      <w:r w:rsidRPr="00660D1C">
        <w:rPr>
          <w:rFonts w:ascii="Gentium" w:hAnsi="Gentium"/>
        </w:rPr>
        <w:t xml:space="preserve"> </w:t>
      </w:r>
      <w:proofErr w:type="spellStart"/>
      <w:r w:rsidRPr="00660D1C">
        <w:rPr>
          <w:rFonts w:ascii="Gentium" w:hAnsi="Gentium"/>
        </w:rPr>
        <w:t>teologia</w:t>
      </w:r>
      <w:proofErr w:type="spellEnd"/>
      <w:r w:rsidRPr="00660D1C">
        <w:rPr>
          <w:rFonts w:ascii="Gentium" w:hAnsi="Gentium"/>
        </w:rPr>
        <w:t xml:space="preserve"> </w:t>
      </w:r>
      <w:proofErr w:type="spellStart"/>
      <w:r w:rsidRPr="00660D1C">
        <w:rPr>
          <w:rFonts w:ascii="Gentium" w:hAnsi="Gentium"/>
        </w:rPr>
        <w:t>dell’</w:t>
      </w:r>
      <w:r w:rsidRPr="00660D1C">
        <w:rPr>
          <w:rFonts w:ascii="Gentium" w:hAnsi="Gentium"/>
          <w:i/>
        </w:rPr>
        <w:t>Ummu</w:t>
      </w:r>
      <w:r w:rsidRPr="00660D1C">
        <w:rPr>
          <w:rFonts w:ascii="Calibri" w:hAnsi="Calibri" w:cs="Calibri"/>
          <w:i/>
        </w:rPr>
        <w:t>ʾ</w:t>
      </w:r>
      <w:r w:rsidRPr="00660D1C">
        <w:rPr>
          <w:rFonts w:ascii="Gentium" w:hAnsi="Gentium"/>
          <w:i/>
        </w:rPr>
        <w:t>l-Kitab</w:t>
      </w:r>
      <w:proofErr w:type="spellEnd"/>
      <w:r w:rsidRPr="00660D1C">
        <w:rPr>
          <w:rFonts w:ascii="Gentium" w:hAnsi="Gentium"/>
        </w:rPr>
        <w:t xml:space="preserve">.” </w:t>
      </w:r>
      <w:r w:rsidRPr="00660D1C">
        <w:rPr>
          <w:rFonts w:ascii="Gentium" w:hAnsi="Gentium"/>
          <w:i/>
        </w:rPr>
        <w:t xml:space="preserve">Vie </w:t>
      </w:r>
      <w:proofErr w:type="spellStart"/>
      <w:r w:rsidRPr="00660D1C">
        <w:rPr>
          <w:rFonts w:ascii="Gentium" w:hAnsi="Gentium"/>
          <w:i/>
        </w:rPr>
        <w:t>della</w:t>
      </w:r>
      <w:proofErr w:type="spellEnd"/>
      <w:r w:rsidRPr="00660D1C">
        <w:rPr>
          <w:rFonts w:ascii="Gentium" w:hAnsi="Gentium"/>
          <w:i/>
        </w:rPr>
        <w:t xml:space="preserve"> </w:t>
      </w:r>
      <w:proofErr w:type="spellStart"/>
      <w:r w:rsidRPr="00660D1C">
        <w:rPr>
          <w:rFonts w:ascii="Gentium" w:hAnsi="Gentium"/>
          <w:i/>
        </w:rPr>
        <w:t>Tradizione</w:t>
      </w:r>
      <w:proofErr w:type="spellEnd"/>
      <w:r w:rsidRPr="00660D1C">
        <w:rPr>
          <w:rFonts w:ascii="Gentium" w:hAnsi="Gentium"/>
          <w:i/>
        </w:rPr>
        <w:t xml:space="preserve">: </w:t>
      </w:r>
      <w:proofErr w:type="spellStart"/>
      <w:r w:rsidRPr="00660D1C">
        <w:rPr>
          <w:rFonts w:ascii="Gentium" w:hAnsi="Gentium"/>
          <w:i/>
        </w:rPr>
        <w:t>Rassegna</w:t>
      </w:r>
      <w:proofErr w:type="spellEnd"/>
      <w:r w:rsidRPr="00660D1C">
        <w:rPr>
          <w:rFonts w:ascii="Gentium" w:hAnsi="Gentium"/>
          <w:i/>
        </w:rPr>
        <w:t xml:space="preserve"> </w:t>
      </w:r>
      <w:proofErr w:type="spellStart"/>
      <w:r w:rsidRPr="00660D1C">
        <w:rPr>
          <w:rFonts w:ascii="Gentium" w:hAnsi="Gentium"/>
          <w:i/>
        </w:rPr>
        <w:t>Quadrimestrale</w:t>
      </w:r>
      <w:proofErr w:type="spellEnd"/>
      <w:r w:rsidRPr="00660D1C">
        <w:rPr>
          <w:rFonts w:ascii="Gentium" w:hAnsi="Gentium"/>
          <w:i/>
        </w:rPr>
        <w:t xml:space="preserve"> di </w:t>
      </w:r>
      <w:proofErr w:type="spellStart"/>
      <w:r w:rsidRPr="00660D1C">
        <w:rPr>
          <w:rFonts w:ascii="Gentium" w:hAnsi="Gentium"/>
          <w:i/>
        </w:rPr>
        <w:t>Orientamenti</w:t>
      </w:r>
      <w:proofErr w:type="spellEnd"/>
      <w:r w:rsidRPr="00660D1C">
        <w:rPr>
          <w:rFonts w:ascii="Gentium" w:hAnsi="Gentium"/>
          <w:i/>
        </w:rPr>
        <w:t xml:space="preserve"> </w:t>
      </w:r>
      <w:proofErr w:type="spellStart"/>
      <w:r w:rsidRPr="00660D1C">
        <w:rPr>
          <w:rFonts w:ascii="Gentium" w:hAnsi="Gentium"/>
          <w:i/>
        </w:rPr>
        <w:t>Tradizionali</w:t>
      </w:r>
      <w:proofErr w:type="spellEnd"/>
      <w:r w:rsidRPr="00660D1C">
        <w:rPr>
          <w:rFonts w:ascii="Gentium" w:hAnsi="Gentium"/>
          <w:i/>
        </w:rPr>
        <w:t xml:space="preserve"> </w:t>
      </w:r>
      <w:r w:rsidRPr="00660D1C">
        <w:rPr>
          <w:rFonts w:ascii="Gentium" w:hAnsi="Gentium"/>
        </w:rPr>
        <w:t>23 (1993): 186-202.</w:t>
      </w:r>
    </w:p>
    <w:p w14:paraId="28338F25" w14:textId="77777777" w:rsidR="002E7094" w:rsidRPr="00660D1C" w:rsidRDefault="002E7094" w:rsidP="007F168D">
      <w:pPr>
        <w:rPr>
          <w:rFonts w:ascii="Gentium" w:hAnsi="Gentium"/>
        </w:rPr>
      </w:pPr>
      <w:proofErr w:type="spellStart"/>
      <w:r w:rsidRPr="00660D1C">
        <w:rPr>
          <w:rFonts w:ascii="Gentium" w:hAnsi="Gentium"/>
        </w:rPr>
        <w:t>Alexandrin</w:t>
      </w:r>
      <w:proofErr w:type="spellEnd"/>
      <w:r w:rsidRPr="00660D1C">
        <w:rPr>
          <w:rFonts w:ascii="Gentium" w:hAnsi="Gentium"/>
        </w:rPr>
        <w:t>, Elizabeth R. “</w:t>
      </w:r>
      <w:proofErr w:type="spellStart"/>
      <w:r w:rsidRPr="00660D1C">
        <w:rPr>
          <w:rFonts w:ascii="Gentium" w:hAnsi="Gentium"/>
        </w:rPr>
        <w:t>Rāzī</w:t>
      </w:r>
      <w:proofErr w:type="spellEnd"/>
      <w:r w:rsidRPr="00660D1C">
        <w:rPr>
          <w:rFonts w:ascii="Gentium" w:hAnsi="Gentium"/>
        </w:rPr>
        <w:t xml:space="preserve"> and His Mediaeval Opponents: Discussions Concerning </w:t>
      </w:r>
      <w:proofErr w:type="spellStart"/>
      <w:r w:rsidRPr="00660D1C">
        <w:rPr>
          <w:rFonts w:ascii="Gentium" w:hAnsi="Gentium"/>
          <w:i/>
        </w:rPr>
        <w:t>Tanāsukh</w:t>
      </w:r>
      <w:proofErr w:type="spellEnd"/>
      <w:r w:rsidRPr="00660D1C">
        <w:rPr>
          <w:rFonts w:ascii="Gentium" w:hAnsi="Gentium"/>
          <w:i/>
        </w:rPr>
        <w:t xml:space="preserve"> </w:t>
      </w:r>
      <w:r w:rsidRPr="00660D1C">
        <w:rPr>
          <w:rFonts w:ascii="Gentium" w:hAnsi="Gentium"/>
        </w:rPr>
        <w:t>and the Afterlife.”</w:t>
      </w:r>
      <w:r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 xml:space="preserve">Cahiers de </w:t>
      </w:r>
      <w:proofErr w:type="spellStart"/>
      <w:r w:rsidRPr="00660D1C">
        <w:rPr>
          <w:rFonts w:ascii="Gentium" w:hAnsi="Gentium"/>
          <w:i/>
        </w:rPr>
        <w:t>Studia</w:t>
      </w:r>
      <w:proofErr w:type="spellEnd"/>
      <w:r w:rsidRPr="00660D1C">
        <w:rPr>
          <w:rFonts w:ascii="Gentium" w:hAnsi="Gentium"/>
        </w:rPr>
        <w:t xml:space="preserve"> </w:t>
      </w:r>
      <w:proofErr w:type="spellStart"/>
      <w:r w:rsidRPr="00660D1C">
        <w:rPr>
          <w:rFonts w:ascii="Gentium" w:hAnsi="Gentium"/>
          <w:i/>
        </w:rPr>
        <w:t>Iranica</w:t>
      </w:r>
      <w:proofErr w:type="spellEnd"/>
      <w:r w:rsidRPr="00660D1C">
        <w:rPr>
          <w:rFonts w:ascii="Gentium" w:hAnsi="Gentium"/>
        </w:rPr>
        <w:t xml:space="preserve"> 26 (2002): 397-409.</w:t>
      </w:r>
    </w:p>
    <w:p w14:paraId="5D075548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Ali, Abdul. “Scientific Progress under the </w:t>
      </w:r>
      <w:proofErr w:type="spellStart"/>
      <w:r w:rsidRPr="00660D1C">
        <w:rPr>
          <w:rFonts w:ascii="Gentium" w:hAnsi="Gentium"/>
        </w:rPr>
        <w:t>Fatimids</w:t>
      </w:r>
      <w:proofErr w:type="spellEnd"/>
      <w:r w:rsidRPr="00660D1C">
        <w:rPr>
          <w:rFonts w:ascii="Gentium" w:hAnsi="Gentium"/>
        </w:rPr>
        <w:t xml:space="preserve"> of North Africa: An Assessment.” </w:t>
      </w:r>
      <w:r w:rsidRPr="00660D1C">
        <w:rPr>
          <w:rFonts w:ascii="Gentium" w:hAnsi="Gentium"/>
          <w:i/>
        </w:rPr>
        <w:t>Islamic Thought and Scientific Creativity</w:t>
      </w:r>
      <w:r w:rsidRPr="00660D1C">
        <w:rPr>
          <w:rFonts w:ascii="Gentium" w:hAnsi="Gentium"/>
        </w:rPr>
        <w:t xml:space="preserve"> 6:4 (1995): 71-80.</w:t>
      </w:r>
    </w:p>
    <w:p w14:paraId="7D5F98FF" w14:textId="77777777" w:rsidR="002E7094" w:rsidRPr="00660D1C" w:rsidRDefault="002E7094" w:rsidP="007F168D">
      <w:pPr>
        <w:rPr>
          <w:rFonts w:ascii="Gentium" w:hAnsi="Gentium"/>
        </w:rPr>
      </w:pPr>
      <w:proofErr w:type="spellStart"/>
      <w:r w:rsidRPr="00660D1C">
        <w:rPr>
          <w:rFonts w:ascii="Gentium" w:hAnsi="Gentium"/>
        </w:rPr>
        <w:t>Alidina</w:t>
      </w:r>
      <w:proofErr w:type="spellEnd"/>
      <w:r w:rsidRPr="00660D1C">
        <w:rPr>
          <w:rFonts w:ascii="Gentium" w:hAnsi="Gentium"/>
        </w:rPr>
        <w:t xml:space="preserve">, </w:t>
      </w:r>
      <w:proofErr w:type="spellStart"/>
      <w:r w:rsidRPr="00660D1C">
        <w:rPr>
          <w:rFonts w:ascii="Gentium" w:hAnsi="Gentium"/>
        </w:rPr>
        <w:t>Sherali</w:t>
      </w:r>
      <w:proofErr w:type="spellEnd"/>
      <w:r w:rsidRPr="00660D1C">
        <w:rPr>
          <w:rFonts w:ascii="Gentium" w:hAnsi="Gentium"/>
        </w:rPr>
        <w:t xml:space="preserve">. “The Agha Khans.” </w:t>
      </w:r>
      <w:r w:rsidRPr="00660D1C">
        <w:rPr>
          <w:rFonts w:ascii="Gentium" w:hAnsi="Gentium"/>
          <w:i/>
        </w:rPr>
        <w:t>Pakistan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Quarterly</w:t>
      </w:r>
      <w:r w:rsidRPr="00660D1C">
        <w:rPr>
          <w:rFonts w:ascii="Gentium" w:hAnsi="Gentium"/>
        </w:rPr>
        <w:t xml:space="preserve"> 8:1 (1958): 49-53.</w:t>
      </w:r>
    </w:p>
    <w:p w14:paraId="577D79C7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</w:t>
      </w:r>
      <w:proofErr w:type="spellStart"/>
      <w:r w:rsidRPr="00660D1C">
        <w:rPr>
          <w:rFonts w:ascii="Gentium" w:hAnsi="Gentium"/>
        </w:rPr>
        <w:t>Mawlana</w:t>
      </w:r>
      <w:proofErr w:type="spellEnd"/>
      <w:r w:rsidRPr="00660D1C">
        <w:rPr>
          <w:rFonts w:ascii="Gentium" w:hAnsi="Gentium"/>
        </w:rPr>
        <w:t xml:space="preserve"> Mohamed Ali </w:t>
      </w:r>
      <w:proofErr w:type="spellStart"/>
      <w:r w:rsidRPr="00660D1C">
        <w:rPr>
          <w:rFonts w:ascii="Gentium" w:hAnsi="Gentium"/>
        </w:rPr>
        <w:t>Jauhar</w:t>
      </w:r>
      <w:proofErr w:type="spellEnd"/>
      <w:r w:rsidRPr="00660D1C">
        <w:rPr>
          <w:rFonts w:ascii="Gentium" w:hAnsi="Gentium"/>
        </w:rPr>
        <w:t xml:space="preserve"> and the Late Aga Khan.” </w:t>
      </w:r>
      <w:r w:rsidRPr="00660D1C">
        <w:rPr>
          <w:rFonts w:ascii="Gentium" w:hAnsi="Gentium"/>
          <w:i/>
        </w:rPr>
        <w:t>Journal of the Pakistan</w:t>
      </w:r>
      <w:r w:rsidRPr="00660D1C">
        <w:rPr>
          <w:rFonts w:ascii="Gentium" w:hAnsi="Gentium"/>
        </w:rPr>
        <w:t xml:space="preserve"> </w:t>
      </w:r>
      <w:r w:rsidRPr="00660D1C">
        <w:rPr>
          <w:rFonts w:ascii="Gentium" w:hAnsi="Gentium"/>
          <w:i/>
        </w:rPr>
        <w:t>Historical Society</w:t>
      </w:r>
      <w:r w:rsidRPr="00660D1C">
        <w:rPr>
          <w:rFonts w:ascii="Gentium" w:hAnsi="Gentium"/>
        </w:rPr>
        <w:t xml:space="preserve"> 32:1 (1984): 22-30.</w:t>
      </w:r>
    </w:p>
    <w:p w14:paraId="03B5ACFA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“The Contribution to Ismaili Studies by the ‘Shakespeare of Sind’, the ‘</w:t>
      </w:r>
      <w:proofErr w:type="spellStart"/>
      <w:r w:rsidRPr="00660D1C">
        <w:rPr>
          <w:rFonts w:ascii="Gentium" w:hAnsi="Gentium"/>
        </w:rPr>
        <w:t>Shidi</w:t>
      </w:r>
      <w:proofErr w:type="spellEnd"/>
      <w:r w:rsidRPr="00660D1C">
        <w:rPr>
          <w:rFonts w:ascii="Gentium" w:hAnsi="Gentium"/>
        </w:rPr>
        <w:t xml:space="preserve"> Sage’ in Sindhi Language.” </w:t>
      </w:r>
      <w:r w:rsidRPr="00660D1C">
        <w:rPr>
          <w:rFonts w:ascii="Gentium" w:hAnsi="Gentium"/>
          <w:i/>
        </w:rPr>
        <w:t>Sind Quarterly</w:t>
      </w:r>
      <w:r w:rsidRPr="00660D1C">
        <w:rPr>
          <w:rFonts w:ascii="Gentium" w:hAnsi="Gentium"/>
        </w:rPr>
        <w:t xml:space="preserve"> 13:1 (1985): 35-39.</w:t>
      </w:r>
    </w:p>
    <w:p w14:paraId="6BB99296" w14:textId="77777777" w:rsidR="002E7094" w:rsidRPr="00660D1C" w:rsidRDefault="002E7094" w:rsidP="007F168D">
      <w:pPr>
        <w:rPr>
          <w:rFonts w:ascii="Gentium" w:hAnsi="Gentium"/>
        </w:rPr>
      </w:pPr>
      <w:proofErr w:type="spellStart"/>
      <w:r w:rsidRPr="00660D1C">
        <w:rPr>
          <w:rFonts w:ascii="Gentium" w:hAnsi="Gentium"/>
        </w:rPr>
        <w:t>Allam</w:t>
      </w:r>
      <w:proofErr w:type="spellEnd"/>
      <w:r w:rsidRPr="00660D1C">
        <w:rPr>
          <w:rFonts w:ascii="Gentium" w:hAnsi="Gentium"/>
        </w:rPr>
        <w:t xml:space="preserve">, </w:t>
      </w:r>
      <w:proofErr w:type="spellStart"/>
      <w:r w:rsidRPr="00660D1C">
        <w:rPr>
          <w:rFonts w:ascii="Gentium" w:hAnsi="Gentium"/>
        </w:rPr>
        <w:t>Nimet</w:t>
      </w:r>
      <w:proofErr w:type="spellEnd"/>
      <w:r w:rsidRPr="00660D1C">
        <w:rPr>
          <w:rFonts w:ascii="Gentium" w:hAnsi="Gentium"/>
        </w:rPr>
        <w:t xml:space="preserve"> I. “The Iconography of Fatimid Wood and Ivory Carvings.” M.A. thesis, Institute of Fine Arts, New York University, 1966. [U]</w:t>
      </w:r>
    </w:p>
    <w:p w14:paraId="4939854B" w14:textId="77777777" w:rsidR="002E7094" w:rsidRPr="00660D1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 xml:space="preserve">Allan, James W. “‘My Father is a Sun, and I am the Star’: Fatimid Symbols in </w:t>
      </w:r>
      <w:proofErr w:type="spellStart"/>
      <w:r w:rsidRPr="00660D1C">
        <w:rPr>
          <w:rFonts w:ascii="Gentium" w:hAnsi="Gentium"/>
        </w:rPr>
        <w:t>Ayyubid</w:t>
      </w:r>
      <w:proofErr w:type="spellEnd"/>
      <w:r w:rsidRPr="00660D1C">
        <w:rPr>
          <w:rFonts w:ascii="Gentium" w:hAnsi="Gentium"/>
        </w:rPr>
        <w:t xml:space="preserve"> and </w:t>
      </w:r>
      <w:proofErr w:type="spellStart"/>
      <w:r w:rsidRPr="00660D1C">
        <w:rPr>
          <w:rFonts w:ascii="Gentium" w:hAnsi="Gentium"/>
        </w:rPr>
        <w:t>Mamluk</w:t>
      </w:r>
      <w:proofErr w:type="spellEnd"/>
      <w:r w:rsidRPr="00660D1C">
        <w:rPr>
          <w:rFonts w:ascii="Gentium" w:hAnsi="Gentium"/>
        </w:rPr>
        <w:t xml:space="preserve"> Metalwork.” </w:t>
      </w:r>
      <w:r w:rsidRPr="00660D1C">
        <w:rPr>
          <w:rFonts w:ascii="Gentium" w:hAnsi="Gentium"/>
          <w:i/>
        </w:rPr>
        <w:t xml:space="preserve">Journal of the David Collection </w:t>
      </w:r>
      <w:r w:rsidRPr="00660D1C">
        <w:rPr>
          <w:rFonts w:ascii="Gentium" w:hAnsi="Gentium"/>
        </w:rPr>
        <w:t>1 (2003): 25-47.</w:t>
      </w:r>
    </w:p>
    <w:p w14:paraId="3EBB7160" w14:textId="77777777" w:rsidR="002E7094" w:rsidRPr="00EF76AC" w:rsidRDefault="002E7094" w:rsidP="007F168D">
      <w:pPr>
        <w:rPr>
          <w:rFonts w:ascii="Gentium" w:hAnsi="Gentium"/>
        </w:rPr>
      </w:pPr>
      <w:proofErr w:type="spellStart"/>
      <w:r w:rsidRPr="00EF76AC">
        <w:rPr>
          <w:rFonts w:ascii="Gentium" w:hAnsi="Gentium"/>
        </w:rPr>
        <w:t>Allana</w:t>
      </w:r>
      <w:proofErr w:type="spellEnd"/>
      <w:r w:rsidRPr="00EF76AC">
        <w:rPr>
          <w:rFonts w:ascii="Gentium" w:hAnsi="Gentium"/>
        </w:rPr>
        <w:t xml:space="preserve">, Ghulam Ali. “The Development of Libraries during the Fatimid Caliphate in Egypt: 969 A.D. to 1021 A.D. (I).” </w:t>
      </w:r>
      <w:r w:rsidRPr="00EF76AC">
        <w:rPr>
          <w:rFonts w:ascii="Gentium" w:hAnsi="Gentium"/>
          <w:i/>
        </w:rPr>
        <w:t>Sind Quarterly</w:t>
      </w:r>
      <w:r w:rsidRPr="00EF76AC">
        <w:rPr>
          <w:rFonts w:ascii="Gentium" w:hAnsi="Gentium"/>
        </w:rPr>
        <w:t xml:space="preserve"> 14:2 (1986): 51-56.</w:t>
      </w:r>
    </w:p>
    <w:p w14:paraId="37F955A1" w14:textId="77777777" w:rsidR="002E7094" w:rsidRPr="00EF76AC" w:rsidRDefault="002E7094" w:rsidP="007F168D">
      <w:pPr>
        <w:rPr>
          <w:rFonts w:ascii="Gentium" w:hAnsi="Gentium"/>
        </w:rPr>
      </w:pPr>
      <w:r w:rsidRPr="00660D1C">
        <w:rPr>
          <w:rFonts w:ascii="Gentium" w:hAnsi="Gentium"/>
        </w:rPr>
        <w:t>___. “</w:t>
      </w:r>
      <w:r w:rsidRPr="00EF76AC">
        <w:rPr>
          <w:rFonts w:ascii="Gentium" w:hAnsi="Gentium"/>
        </w:rPr>
        <w:t xml:space="preserve">The Development of Libraries during the Fatimid Caliphate in Egypt: 969 A.D. to 1021 A.D. (II).” </w:t>
      </w:r>
      <w:r w:rsidRPr="00EF76AC">
        <w:rPr>
          <w:rFonts w:ascii="Gentium" w:hAnsi="Gentium"/>
          <w:i/>
        </w:rPr>
        <w:t xml:space="preserve">Sind Quarterly </w:t>
      </w:r>
      <w:r w:rsidRPr="00EF76AC">
        <w:rPr>
          <w:rFonts w:ascii="Gentium" w:hAnsi="Gentium"/>
        </w:rPr>
        <w:t>14:4 (1986): 31-37.</w:t>
      </w:r>
    </w:p>
    <w:p w14:paraId="328034E1" w14:textId="77777777" w:rsidR="005F288D" w:rsidRDefault="007168B7" w:rsidP="007F168D">
      <w:bookmarkStart w:id="0" w:name="_GoBack"/>
      <w:bookmarkEnd w:id="0"/>
    </w:p>
    <w:sectPr w:rsidR="005F288D" w:rsidSect="007E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ntium">
    <w:altName w:val="Luminari"/>
    <w:charset w:val="00"/>
    <w:family w:val="auto"/>
    <w:pitch w:val="variable"/>
    <w:sig w:usb0="E00000FF" w:usb1="00000003" w:usb2="00000000" w:usb3="00000000" w:csb0="0000001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25D01"/>
    <w:multiLevelType w:val="multilevel"/>
    <w:tmpl w:val="8D6E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94"/>
    <w:rsid w:val="002E7094"/>
    <w:rsid w:val="007168B7"/>
    <w:rsid w:val="007E2F49"/>
    <w:rsid w:val="007F168D"/>
    <w:rsid w:val="008F5F5B"/>
    <w:rsid w:val="00E6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8D6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094"/>
    <w:pPr>
      <w:spacing w:after="100"/>
    </w:pPr>
    <w:rPr>
      <w:rFonts w:ascii="Garamond" w:eastAsia="Calibri" w:hAnsi="Garamond" w:cs="Times New Roman"/>
      <w:szCs w:val="22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9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E7094"/>
    <w:pPr>
      <w:spacing w:before="100" w:beforeAutospacing="1" w:afterAutospacing="1"/>
      <w:outlineLvl w:val="3"/>
    </w:pPr>
    <w:rPr>
      <w:rFonts w:ascii="Times New Roman" w:eastAsia="Times New Roman" w:hAnsi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E7094"/>
    <w:rPr>
      <w:rFonts w:ascii="Cambria" w:eastAsia="Times New Roman" w:hAnsi="Cambria" w:cs="Times New Roman"/>
      <w:b/>
      <w:bCs/>
      <w:i/>
      <w:iCs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E7094"/>
    <w:rPr>
      <w:rFonts w:ascii="Times New Roman" w:eastAsia="Times New Roman" w:hAnsi="Times New Roman" w:cs="Times New Roman"/>
      <w:b/>
      <w:bCs/>
      <w:lang w:val="en-CA" w:eastAsia="en-CA"/>
    </w:rPr>
  </w:style>
  <w:style w:type="character" w:styleId="EndnoteReference">
    <w:name w:val="endnote reference"/>
    <w:basedOn w:val="DefaultParagraphFont"/>
    <w:uiPriority w:val="99"/>
    <w:semiHidden/>
    <w:unhideWhenUsed/>
    <w:rsid w:val="002E70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709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7094"/>
    <w:rPr>
      <w:rFonts w:ascii="Garamond" w:eastAsia="Calibri" w:hAnsi="Garamond" w:cs="Times New Roman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7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7094"/>
    <w:rPr>
      <w:rFonts w:ascii="Garamond" w:eastAsia="Calibri" w:hAnsi="Garamond" w:cs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E7094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E7094"/>
    <w:pPr>
      <w:tabs>
        <w:tab w:val="center" w:pos="4680"/>
        <w:tab w:val="right" w:pos="9360"/>
      </w:tabs>
      <w:spacing w:after="0"/>
    </w:pPr>
    <w:rPr>
      <w:rFonts w:ascii="Times New Roman" w:eastAsia="Times New Roman" w:hAnsi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709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70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09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7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094"/>
    <w:rPr>
      <w:rFonts w:ascii="Garamond" w:eastAsia="Calibri" w:hAnsi="Garamond" w:cs="Times New Roman"/>
      <w:szCs w:val="22"/>
      <w:lang w:val="en-CA"/>
    </w:rPr>
  </w:style>
  <w:style w:type="table" w:styleId="TableGrid">
    <w:name w:val="Table Grid"/>
    <w:basedOn w:val="TableNormal"/>
    <w:uiPriority w:val="59"/>
    <w:rsid w:val="002E7094"/>
    <w:rPr>
      <w:rFonts w:ascii="Garamond" w:eastAsia="Calibri" w:hAnsi="Garamond" w:cs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7094"/>
    <w:rPr>
      <w:i/>
      <w:iCs/>
    </w:rPr>
  </w:style>
  <w:style w:type="paragraph" w:styleId="NoSpacing">
    <w:name w:val="No Spacing"/>
    <w:uiPriority w:val="1"/>
    <w:qFormat/>
    <w:rsid w:val="002E7094"/>
    <w:rPr>
      <w:rFonts w:ascii="Garamond" w:eastAsia="Calibri" w:hAnsi="Garamond" w:cs="Times New Roman"/>
      <w:szCs w:val="22"/>
      <w:lang w:val="en-CA"/>
    </w:rPr>
  </w:style>
  <w:style w:type="character" w:customStyle="1" w:styleId="medium-font">
    <w:name w:val="medium-font"/>
    <w:basedOn w:val="DefaultParagraphFont"/>
    <w:rsid w:val="002E7094"/>
  </w:style>
  <w:style w:type="character" w:customStyle="1" w:styleId="bold">
    <w:name w:val="bold"/>
    <w:basedOn w:val="DefaultParagraphFont"/>
    <w:rsid w:val="002E7094"/>
  </w:style>
  <w:style w:type="paragraph" w:customStyle="1" w:styleId="en">
    <w:name w:val="en"/>
    <w:basedOn w:val="Normal"/>
    <w:rsid w:val="002E7094"/>
    <w:pPr>
      <w:spacing w:before="100" w:beforeAutospacing="1" w:afterAutospacing="1"/>
    </w:pPr>
    <w:rPr>
      <w:rFonts w:ascii="Times New Roman" w:eastAsia="Times New Roman" w:hAnsi="Times New Roman"/>
      <w:szCs w:val="24"/>
      <w:lang w:val="en-US"/>
    </w:rPr>
  </w:style>
  <w:style w:type="paragraph" w:customStyle="1" w:styleId="plabel">
    <w:name w:val="plabel"/>
    <w:basedOn w:val="Normal"/>
    <w:rsid w:val="002E7094"/>
    <w:pPr>
      <w:spacing w:before="100" w:beforeAutospacing="1" w:afterAutospacing="1"/>
    </w:pPr>
    <w:rPr>
      <w:rFonts w:ascii="Times New Roman" w:eastAsia="Times New Roman" w:hAnsi="Times New Roman"/>
      <w:szCs w:val="24"/>
      <w:lang w:val="en-US"/>
    </w:rPr>
  </w:style>
  <w:style w:type="character" w:customStyle="1" w:styleId="report">
    <w:name w:val="report"/>
    <w:basedOn w:val="DefaultParagraphFont"/>
    <w:rsid w:val="002E7094"/>
  </w:style>
  <w:style w:type="character" w:customStyle="1" w:styleId="italic">
    <w:name w:val="italic"/>
    <w:basedOn w:val="DefaultParagraphFont"/>
    <w:rsid w:val="002E7094"/>
  </w:style>
  <w:style w:type="character" w:customStyle="1" w:styleId="style11">
    <w:name w:val="style11"/>
    <w:basedOn w:val="DefaultParagraphFont"/>
    <w:rsid w:val="002E7094"/>
    <w:rPr>
      <w:sz w:val="27"/>
      <w:szCs w:val="27"/>
    </w:rPr>
  </w:style>
  <w:style w:type="paragraph" w:styleId="PlainText">
    <w:name w:val="Plain Text"/>
    <w:basedOn w:val="Normal"/>
    <w:link w:val="PlainTextChar"/>
    <w:rsid w:val="002E7094"/>
    <w:pPr>
      <w:spacing w:after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ainTextChar">
    <w:name w:val="Plain Text Char"/>
    <w:basedOn w:val="DefaultParagraphFont"/>
    <w:link w:val="PlainText"/>
    <w:rsid w:val="002E7094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label1">
    <w:name w:val="label1"/>
    <w:basedOn w:val="DefaultParagraphFont"/>
    <w:rsid w:val="002E7094"/>
    <w:rPr>
      <w:rFonts w:ascii="Arial" w:hAnsi="Arial" w:cs="Arial" w:hint="default"/>
      <w:b/>
      <w:bCs/>
      <w:sz w:val="18"/>
      <w:szCs w:val="18"/>
      <w:bdr w:val="none" w:sz="0" w:space="0" w:color="auto" w:frame="1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2E7094"/>
    <w:pPr>
      <w:spacing w:before="100" w:beforeAutospacing="1" w:afterAutospacing="1"/>
    </w:pPr>
    <w:rPr>
      <w:rFonts w:ascii="Times New Roman" w:eastAsia="Times New Roman" w:hAnsi="Times New Roman"/>
      <w:szCs w:val="24"/>
      <w:lang w:eastAsia="en-CA"/>
    </w:rPr>
  </w:style>
  <w:style w:type="character" w:customStyle="1" w:styleId="citation">
    <w:name w:val="citation"/>
    <w:basedOn w:val="DefaultParagraphFont"/>
    <w:rsid w:val="002E7094"/>
  </w:style>
  <w:style w:type="character" w:customStyle="1" w:styleId="td1">
    <w:name w:val="td1"/>
    <w:basedOn w:val="DefaultParagraphFont"/>
    <w:rsid w:val="002E7094"/>
  </w:style>
  <w:style w:type="paragraph" w:styleId="ListParagraph">
    <w:name w:val="List Paragraph"/>
    <w:basedOn w:val="Normal"/>
    <w:uiPriority w:val="34"/>
    <w:qFormat/>
    <w:rsid w:val="002E7094"/>
    <w:pPr>
      <w:spacing w:after="0"/>
      <w:ind w:left="720"/>
      <w:contextualSpacing/>
    </w:pPr>
    <w:rPr>
      <w:rFonts w:ascii="Times New Roman" w:hAnsi="Times New Roman"/>
      <w:szCs w:val="24"/>
    </w:rPr>
  </w:style>
  <w:style w:type="character" w:customStyle="1" w:styleId="st">
    <w:name w:val="st"/>
    <w:basedOn w:val="DefaultParagraphFont"/>
    <w:rsid w:val="002E7094"/>
  </w:style>
  <w:style w:type="character" w:customStyle="1" w:styleId="highlight">
    <w:name w:val="highlight"/>
    <w:basedOn w:val="DefaultParagraphFont"/>
    <w:rsid w:val="002E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Macintosh Word</Application>
  <DocSecurity>0</DocSecurity>
  <Lines>16</Lines>
  <Paragraphs>4</Paragraphs>
  <ScaleCrop>false</ScaleCrop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Nakash Ali Babwany</dc:creator>
  <cp:keywords/>
  <dc:description/>
  <cp:lastModifiedBy>Nakash Ali Babwany</cp:lastModifiedBy>
  <cp:revision>2</cp:revision>
  <dcterms:created xsi:type="dcterms:W3CDTF">2017-05-29T21:02:00Z</dcterms:created>
  <dcterms:modified xsi:type="dcterms:W3CDTF">2017-05-29T21:02:00Z</dcterms:modified>
</cp:coreProperties>
</file>