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D1942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Abd el-Kader, Ahmed Monir. </w:t>
      </w:r>
      <w:r w:rsidRPr="00660D1C">
        <w:rPr>
          <w:rFonts w:ascii="Gentium" w:hAnsi="Gentium"/>
          <w:i/>
        </w:rPr>
        <w:t>Al-Kahera Al-Fatimia: A Renewal Program for a Historical City</w:t>
      </w:r>
      <w:r w:rsidRPr="00660D1C">
        <w:rPr>
          <w:rFonts w:ascii="Gentium" w:hAnsi="Gentium"/>
        </w:rPr>
        <w:t xml:space="preserve">. Washington, DC: Catholic University of America Press, 1965. 169 pp. </w:t>
      </w:r>
    </w:p>
    <w:p w14:paraId="05AEE0FB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Abdolhoff, Christoph. “Buddhism and Ismailism: Intersections and Comparison.” In </w:t>
      </w:r>
      <w:r w:rsidRPr="00660D1C">
        <w:rPr>
          <w:rFonts w:ascii="Gentium" w:hAnsi="Gentium"/>
          <w:i/>
        </w:rPr>
        <w:t>Filosofija XX veka: Školy i koncepcii</w:t>
      </w:r>
      <w:r w:rsidRPr="00660D1C">
        <w:rPr>
          <w:rFonts w:ascii="Gentium" w:hAnsi="Gentium"/>
        </w:rPr>
        <w:t>, 3-6. St. Petersburg: Sankt-Peterburgskii gos. universitet, 2001. [In Russian]</w:t>
      </w:r>
    </w:p>
    <w:p w14:paraId="20F9B528" w14:textId="77777777" w:rsidR="00EA60B1" w:rsidRPr="00660D1C" w:rsidRDefault="00EA60B1" w:rsidP="00EA60B1">
      <w:pPr>
        <w:rPr>
          <w:rFonts w:ascii="Gentium" w:hAnsi="Gentium"/>
        </w:rPr>
      </w:pPr>
      <w:r>
        <w:rPr>
          <w:rFonts w:ascii="Gentium" w:hAnsi="Gentium"/>
        </w:rPr>
        <w:t>Abu Bakar</w:t>
      </w:r>
      <w:r w:rsidRPr="00660D1C">
        <w:rPr>
          <w:rFonts w:ascii="Gentium" w:hAnsi="Gentium"/>
        </w:rPr>
        <w:t xml:space="preserve">, Ibrahim. “The First Intellect in Kirmānī’s Thought.” </w:t>
      </w:r>
      <w:r w:rsidRPr="00660D1C">
        <w:rPr>
          <w:rFonts w:ascii="Gentium" w:hAnsi="Gentium"/>
          <w:i/>
        </w:rPr>
        <w:t xml:space="preserve">Islamiyyat </w:t>
      </w:r>
      <w:r w:rsidRPr="00660D1C">
        <w:rPr>
          <w:rFonts w:ascii="Gentium" w:hAnsi="Gentium"/>
        </w:rPr>
        <w:t>(Kuala Lumpur) 13 (1992): 13-19.</w:t>
      </w:r>
    </w:p>
    <w:p w14:paraId="26A78D4F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“The Aga Khan.” In </w:t>
      </w:r>
      <w:r w:rsidRPr="00660D1C">
        <w:rPr>
          <w:rFonts w:ascii="Gentium" w:hAnsi="Gentium"/>
          <w:i/>
        </w:rPr>
        <w:t>Eminent Mussalmans</w:t>
      </w:r>
      <w:r w:rsidRPr="00660D1C">
        <w:rPr>
          <w:rFonts w:ascii="Gentium" w:hAnsi="Gentium"/>
        </w:rPr>
        <w:t>, 177-208. Madras, India: G.A. Natesan, 1926. Reprint, Delhi: Neeraj Pub. House, 1981.</w:t>
      </w:r>
    </w:p>
    <w:p w14:paraId="04E4D802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“Aga Khan.” In </w:t>
      </w:r>
      <w:r w:rsidRPr="00660D1C">
        <w:rPr>
          <w:rFonts w:ascii="Gentium" w:hAnsi="Gentium"/>
          <w:i/>
        </w:rPr>
        <w:t>International Arab Figures</w:t>
      </w:r>
      <w:r w:rsidRPr="00660D1C">
        <w:rPr>
          <w:rFonts w:ascii="Gentium" w:hAnsi="Gentium"/>
        </w:rPr>
        <w:t xml:space="preserve">. Vol. 2 of </w:t>
      </w:r>
      <w:r w:rsidRPr="00660D1C">
        <w:rPr>
          <w:rFonts w:ascii="Gentium" w:hAnsi="Gentium"/>
          <w:i/>
        </w:rPr>
        <w:t>Reference Library of Arab America</w:t>
      </w:r>
      <w:r w:rsidRPr="00660D1C">
        <w:rPr>
          <w:rFonts w:ascii="Gentium" w:hAnsi="Gentium"/>
        </w:rPr>
        <w:t xml:space="preserve">. 4 vols. Edited by Frank V. Castronova, 18-21. Detroit, MI: Gale Group, 1999. </w:t>
      </w:r>
    </w:p>
    <w:p w14:paraId="5A3F8311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Agrawal, Binod C. “The Bohras: Identity Maintenance.” </w:t>
      </w:r>
      <w:r w:rsidRPr="00660D1C">
        <w:rPr>
          <w:rFonts w:ascii="Gentium" w:hAnsi="Gentium"/>
          <w:i/>
        </w:rPr>
        <w:t>Eastern Anthropologist</w:t>
      </w:r>
      <w:r w:rsidRPr="00660D1C">
        <w:rPr>
          <w:rFonts w:ascii="Gentium" w:hAnsi="Gentium"/>
        </w:rPr>
        <w:t xml:space="preserve"> 31:4 (1978): 597-601.  </w:t>
      </w:r>
    </w:p>
    <w:p w14:paraId="519401CF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>Albrile, Ezio. “Gli Ismaeliti e i ‘Mari di Luce’: Riflessioni sulla teologia dell’</w:t>
      </w:r>
      <w:r w:rsidRPr="00660D1C">
        <w:rPr>
          <w:rFonts w:ascii="Gentium" w:hAnsi="Gentium"/>
          <w:i/>
        </w:rPr>
        <w:t>Ummu</w:t>
      </w:r>
      <w:r w:rsidRPr="00660D1C">
        <w:rPr>
          <w:rFonts w:ascii="Calibri" w:hAnsi="Calibri" w:cs="Calibri"/>
          <w:i/>
        </w:rPr>
        <w:t>ʾ</w:t>
      </w:r>
      <w:r w:rsidRPr="00660D1C">
        <w:rPr>
          <w:rFonts w:ascii="Gentium" w:hAnsi="Gentium"/>
          <w:i/>
        </w:rPr>
        <w:t>l-Kitab</w:t>
      </w:r>
      <w:r w:rsidRPr="00660D1C">
        <w:rPr>
          <w:rFonts w:ascii="Gentium" w:hAnsi="Gentium"/>
        </w:rPr>
        <w:t xml:space="preserve">.” </w:t>
      </w:r>
      <w:r w:rsidRPr="00660D1C">
        <w:rPr>
          <w:rFonts w:ascii="Gentium" w:hAnsi="Gentium"/>
          <w:i/>
        </w:rPr>
        <w:t xml:space="preserve">Vie della Tradizione: Rassegna Quadrimestrale di Orientamenti Tradizionali </w:t>
      </w:r>
      <w:r w:rsidRPr="00660D1C">
        <w:rPr>
          <w:rFonts w:ascii="Gentium" w:hAnsi="Gentium"/>
        </w:rPr>
        <w:t>23 (1993): 186-202.</w:t>
      </w:r>
    </w:p>
    <w:p w14:paraId="36164BD9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Alexandrin, Elizabeth R. “Rāzī and His Mediaeval Opponents: Discussions Concerning </w:t>
      </w:r>
      <w:r w:rsidRPr="00660D1C">
        <w:rPr>
          <w:rFonts w:ascii="Gentium" w:hAnsi="Gentium"/>
          <w:i/>
        </w:rPr>
        <w:t xml:space="preserve">Tanāsukh </w:t>
      </w:r>
      <w:r w:rsidRPr="00660D1C">
        <w:rPr>
          <w:rFonts w:ascii="Gentium" w:hAnsi="Gentium"/>
        </w:rPr>
        <w:t>and the Afterlife.”</w:t>
      </w:r>
      <w:r>
        <w:rPr>
          <w:rFonts w:ascii="Gentium" w:hAnsi="Gentium"/>
        </w:rPr>
        <w:t xml:space="preserve"> </w:t>
      </w:r>
      <w:r w:rsidRPr="00660D1C">
        <w:rPr>
          <w:rFonts w:ascii="Gentium" w:hAnsi="Gentium"/>
          <w:i/>
        </w:rPr>
        <w:t>Cahiers de Studia</w:t>
      </w:r>
      <w:r w:rsidRPr="00660D1C">
        <w:rPr>
          <w:rFonts w:ascii="Gentium" w:hAnsi="Gentium"/>
        </w:rPr>
        <w:t xml:space="preserve"> </w:t>
      </w:r>
      <w:r w:rsidRPr="00660D1C">
        <w:rPr>
          <w:rFonts w:ascii="Gentium" w:hAnsi="Gentium"/>
          <w:i/>
        </w:rPr>
        <w:t>Iranica</w:t>
      </w:r>
      <w:r w:rsidRPr="00660D1C">
        <w:rPr>
          <w:rFonts w:ascii="Gentium" w:hAnsi="Gentium"/>
        </w:rPr>
        <w:t xml:space="preserve"> 26 (2002): 397-409.</w:t>
      </w:r>
    </w:p>
    <w:p w14:paraId="1068A205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Ali, Abdul. “Scientific Progress under the Fatimids of North Africa: An Assessment.” </w:t>
      </w:r>
      <w:r w:rsidRPr="00660D1C">
        <w:rPr>
          <w:rFonts w:ascii="Gentium" w:hAnsi="Gentium"/>
          <w:i/>
        </w:rPr>
        <w:t>Islamic Thought and Scientific Creativity</w:t>
      </w:r>
      <w:r w:rsidRPr="00660D1C">
        <w:rPr>
          <w:rFonts w:ascii="Gentium" w:hAnsi="Gentium"/>
        </w:rPr>
        <w:t xml:space="preserve"> 6:4 (1995): 71-80.</w:t>
      </w:r>
    </w:p>
    <w:p w14:paraId="191C59A8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Alidina, Sherali. “The Agha Khans.” </w:t>
      </w:r>
      <w:r w:rsidRPr="00660D1C">
        <w:rPr>
          <w:rFonts w:ascii="Gentium" w:hAnsi="Gentium"/>
          <w:i/>
        </w:rPr>
        <w:t>Pakistan</w:t>
      </w:r>
      <w:r w:rsidRPr="00660D1C">
        <w:rPr>
          <w:rFonts w:ascii="Gentium" w:hAnsi="Gentium"/>
        </w:rPr>
        <w:t xml:space="preserve"> </w:t>
      </w:r>
      <w:r w:rsidRPr="00660D1C">
        <w:rPr>
          <w:rFonts w:ascii="Gentium" w:hAnsi="Gentium"/>
          <w:i/>
        </w:rPr>
        <w:t>Quarterly</w:t>
      </w:r>
      <w:r w:rsidRPr="00660D1C">
        <w:rPr>
          <w:rFonts w:ascii="Gentium" w:hAnsi="Gentium"/>
        </w:rPr>
        <w:t xml:space="preserve"> 8:1 (1958): 49-53.</w:t>
      </w:r>
    </w:p>
    <w:p w14:paraId="6FA85294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___. “Mawlana Mohamed Ali Jauhar and the Late Aga Khan.” </w:t>
      </w:r>
      <w:r w:rsidRPr="00660D1C">
        <w:rPr>
          <w:rFonts w:ascii="Gentium" w:hAnsi="Gentium"/>
          <w:i/>
        </w:rPr>
        <w:t>Journal of the Pakistan</w:t>
      </w:r>
      <w:r w:rsidRPr="00660D1C">
        <w:rPr>
          <w:rFonts w:ascii="Gentium" w:hAnsi="Gentium"/>
        </w:rPr>
        <w:t xml:space="preserve"> </w:t>
      </w:r>
      <w:r w:rsidRPr="00660D1C">
        <w:rPr>
          <w:rFonts w:ascii="Gentium" w:hAnsi="Gentium"/>
          <w:i/>
        </w:rPr>
        <w:t>Historical Society</w:t>
      </w:r>
      <w:r w:rsidRPr="00660D1C">
        <w:rPr>
          <w:rFonts w:ascii="Gentium" w:hAnsi="Gentium"/>
        </w:rPr>
        <w:t xml:space="preserve"> 32:1 (1984): 22-30.</w:t>
      </w:r>
    </w:p>
    <w:p w14:paraId="2774DBB9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___. “The Contribution to Ismaili Studies by the ‘Shakespeare of Sind’, the ‘Shidi Sage’ in Sindhi Language.” </w:t>
      </w:r>
      <w:r w:rsidRPr="00660D1C">
        <w:rPr>
          <w:rFonts w:ascii="Gentium" w:hAnsi="Gentium"/>
          <w:i/>
        </w:rPr>
        <w:t>Sind Quarterly</w:t>
      </w:r>
      <w:r w:rsidRPr="00660D1C">
        <w:rPr>
          <w:rFonts w:ascii="Gentium" w:hAnsi="Gentium"/>
        </w:rPr>
        <w:t xml:space="preserve"> 13:1 (1985): 35-39.</w:t>
      </w:r>
    </w:p>
    <w:p w14:paraId="491E07AC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>Allam, Nimet I. “The Iconography of Fatimid Wood and Ivory Carvings.” M.A. thesis, Institute of Fine Arts, New York University, 1966. [U]</w:t>
      </w:r>
    </w:p>
    <w:p w14:paraId="2019258E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Allan, James W. “‘My Father is a Sun, and I am the Star’: Fatimid Symbols in Ayyubid and Mamluk Metalwork.” </w:t>
      </w:r>
      <w:r w:rsidRPr="00660D1C">
        <w:rPr>
          <w:rFonts w:ascii="Gentium" w:hAnsi="Gentium"/>
          <w:i/>
        </w:rPr>
        <w:t xml:space="preserve">Journal of the David Collection </w:t>
      </w:r>
      <w:r w:rsidRPr="00660D1C">
        <w:rPr>
          <w:rFonts w:ascii="Gentium" w:hAnsi="Gentium"/>
        </w:rPr>
        <w:t>1 (2003): 25-47.</w:t>
      </w:r>
    </w:p>
    <w:p w14:paraId="7FC28AC7" w14:textId="77777777" w:rsidR="00EA60B1" w:rsidRPr="00EF76AC" w:rsidRDefault="00EA60B1" w:rsidP="00EA60B1">
      <w:pPr>
        <w:rPr>
          <w:rFonts w:ascii="Gentium" w:hAnsi="Gentium"/>
        </w:rPr>
      </w:pPr>
      <w:r w:rsidRPr="00EF76AC">
        <w:rPr>
          <w:rFonts w:ascii="Gentium" w:hAnsi="Gentium"/>
        </w:rPr>
        <w:t xml:space="preserve">Allana, Ghulam Ali. “The Development of Libraries during the Fatimid Caliphate in Egypt: 969 A.D. to 1021 A.D. (I).” </w:t>
      </w:r>
      <w:r w:rsidRPr="00EF76AC">
        <w:rPr>
          <w:rFonts w:ascii="Gentium" w:hAnsi="Gentium"/>
          <w:i/>
        </w:rPr>
        <w:t>Sind Quarterly</w:t>
      </w:r>
      <w:r w:rsidRPr="00EF76AC">
        <w:rPr>
          <w:rFonts w:ascii="Gentium" w:hAnsi="Gentium"/>
        </w:rPr>
        <w:t xml:space="preserve"> 14:2 (1986): 51-56.</w:t>
      </w:r>
    </w:p>
    <w:p w14:paraId="6552FE75" w14:textId="77777777" w:rsidR="00EA60B1" w:rsidRPr="00EF76A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>___. “</w:t>
      </w:r>
      <w:r w:rsidRPr="00EF76AC">
        <w:rPr>
          <w:rFonts w:ascii="Gentium" w:hAnsi="Gentium"/>
        </w:rPr>
        <w:t xml:space="preserve">The Development of Libraries during the Fatimid Caliphate in Egypt: 969 A.D. to 1021 A.D. (II).” </w:t>
      </w:r>
      <w:r w:rsidRPr="00EF76AC">
        <w:rPr>
          <w:rFonts w:ascii="Gentium" w:hAnsi="Gentium"/>
          <w:i/>
        </w:rPr>
        <w:t xml:space="preserve">Sind Quarterly </w:t>
      </w:r>
      <w:r w:rsidRPr="00EF76AC">
        <w:rPr>
          <w:rFonts w:ascii="Gentium" w:hAnsi="Gentium"/>
        </w:rPr>
        <w:t>14:4 (1986): 31-37.</w:t>
      </w:r>
    </w:p>
    <w:p w14:paraId="3BF8CC9C" w14:textId="77777777" w:rsidR="00EA60B1" w:rsidRDefault="00EA60B1" w:rsidP="00EA60B1">
      <w:pPr>
        <w:rPr>
          <w:rFonts w:ascii="Gentium" w:hAnsi="Gentium"/>
        </w:rPr>
      </w:pPr>
      <w:r w:rsidRPr="00EF76AC">
        <w:rPr>
          <w:rFonts w:ascii="Gentium" w:hAnsi="Gentium"/>
        </w:rPr>
        <w:lastRenderedPageBreak/>
        <w:t xml:space="preserve">Allana, G. [Gulam] (1906-1985). </w:t>
      </w:r>
      <w:r w:rsidRPr="00EF76AC">
        <w:rPr>
          <w:rFonts w:ascii="Gentium" w:hAnsi="Gentium"/>
          <w:i/>
        </w:rPr>
        <w:t>His Highness Aga</w:t>
      </w:r>
      <w:r w:rsidRPr="00EF76AC">
        <w:rPr>
          <w:rFonts w:ascii="Gentium" w:hAnsi="Gentium"/>
        </w:rPr>
        <w:t xml:space="preserve"> </w:t>
      </w:r>
      <w:r w:rsidRPr="00EF76AC">
        <w:rPr>
          <w:rFonts w:ascii="Gentium" w:hAnsi="Gentium"/>
          <w:i/>
        </w:rPr>
        <w:t>Khan</w:t>
      </w:r>
      <w:r w:rsidRPr="00EF76AC">
        <w:rPr>
          <w:rFonts w:ascii="Gentium" w:hAnsi="Gentium"/>
        </w:rPr>
        <w:t xml:space="preserve"> </w:t>
      </w:r>
      <w:r w:rsidRPr="00EF76AC">
        <w:rPr>
          <w:rFonts w:ascii="Gentium" w:hAnsi="Gentium"/>
          <w:i/>
        </w:rPr>
        <w:t>III: A Brief Survey of His Life and Work</w:t>
      </w:r>
      <w:r w:rsidRPr="00EF76AC">
        <w:rPr>
          <w:rFonts w:ascii="Gentium" w:hAnsi="Gentium"/>
        </w:rPr>
        <w:t>. Karachi: Hamdard National Foundation, 1973. 40 pp.</w:t>
      </w:r>
    </w:p>
    <w:p w14:paraId="52CE4B0C" w14:textId="77777777" w:rsidR="00EA60B1" w:rsidRPr="00EF76AC" w:rsidRDefault="00EA60B1" w:rsidP="00EA60B1">
      <w:pPr>
        <w:rPr>
          <w:rFonts w:ascii="Gentium" w:hAnsi="Gentium"/>
        </w:rPr>
      </w:pPr>
      <w:r w:rsidRPr="00EF76AC">
        <w:rPr>
          <w:rFonts w:ascii="Gentium" w:hAnsi="Gentium"/>
        </w:rPr>
        <w:t>Allibhai, Gulshan. “Service Agencies in the Host Community: The Case of Ismaili Muslim Asian Indians in Dallas.” M.S.S.W. thesis, Univer</w:t>
      </w:r>
      <w:r>
        <w:rPr>
          <w:rFonts w:ascii="Gentium" w:hAnsi="Gentium"/>
        </w:rPr>
        <w:t xml:space="preserve">sity of Texas, Arlington, 1996. </w:t>
      </w:r>
      <w:r w:rsidRPr="00EF76AC">
        <w:rPr>
          <w:rFonts w:ascii="Gentium" w:hAnsi="Gentium"/>
        </w:rPr>
        <w:t>x + 84 pp.</w:t>
      </w:r>
    </w:p>
    <w:p w14:paraId="4F21E50C" w14:textId="77777777" w:rsidR="00EA60B1" w:rsidRPr="00EF76AC" w:rsidRDefault="00EA60B1" w:rsidP="00EA60B1">
      <w:pPr>
        <w:rPr>
          <w:rFonts w:ascii="Gentium" w:hAnsi="Gentium"/>
        </w:rPr>
      </w:pPr>
      <w:r w:rsidRPr="00EF76AC">
        <w:rPr>
          <w:rFonts w:ascii="Gentium" w:hAnsi="Gentium"/>
        </w:rPr>
        <w:t xml:space="preserve">Amabe, Fukuzo. “The Revolts of the </w:t>
      </w:r>
      <w:r w:rsidRPr="00EF76AC">
        <w:rPr>
          <w:rFonts w:ascii="Calibri" w:hAnsi="Calibri" w:cs="Calibri"/>
        </w:rPr>
        <w:t>ʿ</w:t>
      </w:r>
      <w:r w:rsidRPr="00EF76AC">
        <w:rPr>
          <w:rFonts w:ascii="Gentium" w:hAnsi="Gentium"/>
        </w:rPr>
        <w:t>Irāqi Qarmatians.”</w:t>
      </w:r>
      <w:r>
        <w:rPr>
          <w:rFonts w:ascii="Gentium" w:hAnsi="Gentium"/>
        </w:rPr>
        <w:t xml:space="preserve"> </w:t>
      </w:r>
      <w:r w:rsidRPr="00EF76AC">
        <w:rPr>
          <w:rFonts w:ascii="Gentium" w:hAnsi="Gentium"/>
          <w:i/>
        </w:rPr>
        <w:t>Annals of Japan Association for Middle East Studies</w:t>
      </w:r>
      <w:r w:rsidRPr="00EF76AC">
        <w:rPr>
          <w:rFonts w:ascii="Gentium" w:hAnsi="Gentium"/>
        </w:rPr>
        <w:t xml:space="preserve"> 3:1 (1988): 153-174. [In Japanese]</w:t>
      </w:r>
    </w:p>
    <w:p w14:paraId="625CE775" w14:textId="77777777" w:rsidR="00EA60B1" w:rsidRPr="00EF76AC" w:rsidRDefault="00EA60B1" w:rsidP="00EA60B1">
      <w:pPr>
        <w:rPr>
          <w:rFonts w:ascii="Gentium" w:hAnsi="Gentium"/>
        </w:rPr>
      </w:pPr>
      <w:r w:rsidRPr="00BE3A78">
        <w:rPr>
          <w:rFonts w:ascii="Gentium" w:hAnsi="Gentium"/>
          <w:color w:val="000000"/>
        </w:rPr>
        <w:t>Amitai-Preiss, Nitzan. “A Fatimid Gold Bead from Caesarea.”</w:t>
      </w:r>
      <w:r>
        <w:rPr>
          <w:rFonts w:ascii="Gentium" w:hAnsi="Gentium"/>
          <w:color w:val="000000"/>
        </w:rPr>
        <w:t xml:space="preserve"> </w:t>
      </w:r>
      <w:r w:rsidRPr="00BE3A78">
        <w:rPr>
          <w:rFonts w:ascii="Gentium" w:hAnsi="Gentium"/>
          <w:i/>
          <w:color w:val="000000"/>
        </w:rPr>
        <w:t>Atiqot</w:t>
      </w:r>
      <w:r w:rsidRPr="00BE3A78">
        <w:rPr>
          <w:rFonts w:ascii="Gentium" w:hAnsi="Gentium"/>
          <w:color w:val="000000"/>
        </w:rPr>
        <w:t xml:space="preserve"> 21 (1992): 171-172.</w:t>
      </w:r>
      <w:r w:rsidRPr="00EF76AC">
        <w:rPr>
          <w:rFonts w:ascii="Gentium" w:hAnsi="Gentium"/>
        </w:rPr>
        <w:t xml:space="preserve"> </w:t>
      </w:r>
    </w:p>
    <w:p w14:paraId="21285523" w14:textId="77777777" w:rsidR="00EA60B1" w:rsidRDefault="00EA60B1" w:rsidP="00EA60B1">
      <w:pPr>
        <w:rPr>
          <w:rFonts w:ascii="Gentium" w:hAnsi="Gentium"/>
          <w:color w:val="000000"/>
        </w:rPr>
      </w:pPr>
      <w:r w:rsidRPr="00EF76AC">
        <w:rPr>
          <w:rFonts w:ascii="Gentium" w:hAnsi="Gentium"/>
          <w:color w:val="000000"/>
        </w:rPr>
        <w:t xml:space="preserve">Andrea, Alfred J. “Assassins,” “Fatimids.” In </w:t>
      </w:r>
      <w:r w:rsidRPr="00EF76AC">
        <w:rPr>
          <w:rFonts w:ascii="Gentium" w:hAnsi="Gentium"/>
          <w:i/>
          <w:color w:val="000000"/>
        </w:rPr>
        <w:t>Encyclopedia of the Crusades</w:t>
      </w:r>
      <w:r w:rsidRPr="00EF76AC">
        <w:rPr>
          <w:rFonts w:ascii="Gentium" w:hAnsi="Gentium"/>
          <w:color w:val="000000"/>
        </w:rPr>
        <w:t>, 27-29; 105. Westport, Conn: Greenwood Press, 2003.</w:t>
      </w:r>
    </w:p>
    <w:p w14:paraId="2356ED31" w14:textId="77777777" w:rsidR="00EA60B1" w:rsidRPr="00D243D2" w:rsidRDefault="00EA60B1" w:rsidP="00EA60B1">
      <w:pPr>
        <w:rPr>
          <w:rFonts w:ascii="Gentium" w:hAnsi="Gentium"/>
          <w:color w:val="FF0000"/>
        </w:rPr>
      </w:pPr>
      <w:r w:rsidRPr="00187A35">
        <w:rPr>
          <w:rFonts w:ascii="Gentium" w:hAnsi="Gentium"/>
          <w:color w:val="000000"/>
        </w:rPr>
        <w:t xml:space="preserve">Andreyev, Sergei. “Some Aspects of Pamirian Mythology.” In </w:t>
      </w:r>
      <w:r w:rsidRPr="00187A35">
        <w:rPr>
          <w:rFonts w:ascii="Gentium" w:hAnsi="Gentium"/>
          <w:i/>
          <w:color w:val="000000"/>
        </w:rPr>
        <w:t>BRISMES Proceedings of the 1991 International Conference on Middle Eastern Studies: SOAS, London 10-12 July 1991</w:t>
      </w:r>
      <w:r w:rsidRPr="00187A35">
        <w:rPr>
          <w:rFonts w:ascii="Gentium" w:hAnsi="Gentium"/>
          <w:color w:val="000000"/>
        </w:rPr>
        <w:t>, 40-50. Exeter: British Society for Middle Eastern Studies, 1991.</w:t>
      </w:r>
    </w:p>
    <w:p w14:paraId="58D64398" w14:textId="77777777" w:rsidR="00EA60B1" w:rsidRPr="00660D1C" w:rsidRDefault="00EA60B1" w:rsidP="00EA60B1">
      <w:pPr>
        <w:rPr>
          <w:rFonts w:ascii="Gentium" w:hAnsi="Gentium"/>
        </w:rPr>
      </w:pPr>
      <w:r w:rsidRPr="004B644F">
        <w:rPr>
          <w:rFonts w:ascii="Gentium" w:hAnsi="Gentium"/>
          <w:color w:val="000000"/>
        </w:rPr>
        <w:t>El-</w:t>
      </w:r>
      <w:r w:rsidRPr="00660D1C">
        <w:rPr>
          <w:rFonts w:ascii="Gentium" w:hAnsi="Gentium"/>
        </w:rPr>
        <w:t xml:space="preserve">Arini, Mohsen. “The Azhar Library: State of the Art.” </w:t>
      </w:r>
      <w:r w:rsidRPr="00660D1C">
        <w:rPr>
          <w:rFonts w:ascii="Gentium" w:hAnsi="Gentium"/>
          <w:i/>
        </w:rPr>
        <w:t>Pakistan Library Bulletin</w:t>
      </w:r>
      <w:r w:rsidRPr="00660D1C">
        <w:rPr>
          <w:rFonts w:ascii="Gentium" w:hAnsi="Gentium"/>
        </w:rPr>
        <w:t xml:space="preserve"> 25:3-4 (1994): 10-22.</w:t>
      </w:r>
    </w:p>
    <w:p w14:paraId="2EEC1368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Armstrong, H.C. “His Highness The Aga Khan.” In </w:t>
      </w:r>
      <w:r w:rsidRPr="00660D1C">
        <w:rPr>
          <w:rFonts w:ascii="Gentium" w:hAnsi="Gentium"/>
          <w:i/>
        </w:rPr>
        <w:t>Men of Turmoil: Biographies by Leading Authorities of the Dominating Personalities of Our Day</w:t>
      </w:r>
      <w:r w:rsidRPr="00660D1C">
        <w:rPr>
          <w:rFonts w:ascii="Gentium" w:hAnsi="Gentium"/>
        </w:rPr>
        <w:t xml:space="preserve">, 73-80. New York: Minton Balch, 1935. Reprint, Freeport, N.Y.: Books for Libraries Press, 1969. [Published in England as </w:t>
      </w:r>
      <w:r w:rsidRPr="00660D1C">
        <w:rPr>
          <w:rFonts w:ascii="Gentium" w:hAnsi="Gentium"/>
          <w:i/>
        </w:rPr>
        <w:t>Great Contemporaries: Essays by Various Hands</w:t>
      </w:r>
      <w:r w:rsidRPr="00660D1C">
        <w:rPr>
          <w:rFonts w:ascii="Gentium" w:hAnsi="Gentium"/>
        </w:rPr>
        <w:t>. London: Cassell, 1935].</w:t>
      </w:r>
    </w:p>
    <w:p w14:paraId="31B159EB" w14:textId="77777777" w:rsidR="00EA60B1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>Arnaldez, Roger. “Influences néoplatoniciennes dans la pensée d’Abu Ya</w:t>
      </w:r>
      <w:r w:rsidRPr="00660D1C">
        <w:rPr>
          <w:rFonts w:ascii="Calibri" w:hAnsi="Calibri" w:cs="Calibri"/>
        </w:rPr>
        <w:t>ʿ</w:t>
      </w:r>
      <w:r w:rsidRPr="00660D1C">
        <w:rPr>
          <w:rFonts w:ascii="Gentium" w:hAnsi="Gentium"/>
        </w:rPr>
        <w:t xml:space="preserve">qub </w:t>
      </w:r>
      <w:r w:rsidRPr="004B644F">
        <w:rPr>
          <w:rFonts w:ascii="Gentium" w:hAnsi="Gentium"/>
        </w:rPr>
        <w:t>Al-</w:t>
      </w:r>
      <w:r w:rsidRPr="00660D1C">
        <w:rPr>
          <w:rFonts w:ascii="Gentium" w:hAnsi="Gentium"/>
        </w:rPr>
        <w:t xml:space="preserve">Siğistani.” In </w:t>
      </w:r>
      <w:r w:rsidRPr="00660D1C">
        <w:rPr>
          <w:rFonts w:ascii="Gentium" w:hAnsi="Gentium"/>
          <w:i/>
        </w:rPr>
        <w:t>Actes de colloque Pensée Arabe et culture grecque: Organisé pour célébrer le millénaire de la naissance d’Ibn Sina et le vingt-troisième siècle après la mort d’Aristote, les 7-10 Mai 1980</w:t>
      </w:r>
      <w:r w:rsidRPr="00660D1C">
        <w:rPr>
          <w:rFonts w:ascii="Gentium" w:hAnsi="Gentium"/>
        </w:rPr>
        <w:t>, 540–548. Colloques et seminaries 5. Rabat: Université Mohammed V, 1985.</w:t>
      </w:r>
    </w:p>
    <w:p w14:paraId="7BD35DBD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Asani, Ali S. “Some Guidelines for Cataloguing Khojki Manuscripts.” In </w:t>
      </w:r>
      <w:r>
        <w:rPr>
          <w:rFonts w:ascii="Gentium" w:hAnsi="Gentium"/>
          <w:i/>
        </w:rPr>
        <w:t>SOS</w:t>
      </w:r>
      <w:r w:rsidRPr="00660D1C">
        <w:rPr>
          <w:rFonts w:ascii="Gentium" w:hAnsi="Gentium"/>
        </w:rPr>
        <w:t>, 101-104.</w:t>
      </w:r>
      <w:r w:rsidRPr="00660D1C">
        <w:rPr>
          <w:rFonts w:ascii="Gentium" w:hAnsi="Gentium"/>
        </w:rPr>
        <w:tab/>
      </w:r>
    </w:p>
    <w:p w14:paraId="76C025E6" w14:textId="77777777" w:rsidR="00EA60B1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___. “Mèditation silencieuse chez les Ismaèliens.” </w:t>
      </w:r>
      <w:r w:rsidRPr="00660D1C">
        <w:rPr>
          <w:rFonts w:ascii="Gentium" w:hAnsi="Gentium"/>
          <w:i/>
        </w:rPr>
        <w:t xml:space="preserve">Initiations </w:t>
      </w:r>
      <w:r w:rsidRPr="00660D1C">
        <w:rPr>
          <w:rFonts w:ascii="Gentium" w:hAnsi="Gentium"/>
        </w:rPr>
        <w:t>(</w:t>
      </w:r>
      <w:r w:rsidRPr="00660D1C">
        <w:rPr>
          <w:rFonts w:ascii="Gentium" w:hAnsi="Gentium"/>
          <w:color w:val="000000"/>
        </w:rPr>
        <w:t>Brussels</w:t>
      </w:r>
      <w:r w:rsidRPr="00660D1C">
        <w:rPr>
          <w:rFonts w:ascii="Gentium" w:hAnsi="Gentium"/>
        </w:rPr>
        <w:t>) 5-6 (1991): 129-131.</w:t>
      </w:r>
    </w:p>
    <w:p w14:paraId="447AEDB4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>___. “</w:t>
      </w:r>
      <w:r w:rsidRPr="00660D1C">
        <w:rPr>
          <w:rFonts w:ascii="Gentium" w:hAnsi="Gentium"/>
          <w:i/>
        </w:rPr>
        <w:t>Ginan</w:t>
      </w:r>
      <w:r w:rsidRPr="00660D1C">
        <w:rPr>
          <w:rFonts w:ascii="Gentium" w:hAnsi="Gentium"/>
        </w:rPr>
        <w:t>: Isma</w:t>
      </w:r>
      <w:r w:rsidRPr="00660D1C">
        <w:rPr>
          <w:rFonts w:ascii="Calibri" w:hAnsi="Calibri" w:cs="Calibri"/>
        </w:rPr>
        <w:t>ʿ</w:t>
      </w:r>
      <w:r w:rsidRPr="00660D1C">
        <w:rPr>
          <w:rFonts w:ascii="Gentium" w:hAnsi="Gentium"/>
        </w:rPr>
        <w:t xml:space="preserve">ili Petition of a Yearning Soul.” In </w:t>
      </w:r>
      <w:r w:rsidRPr="00660D1C">
        <w:rPr>
          <w:rFonts w:ascii="Gentium" w:hAnsi="Gentium"/>
          <w:i/>
          <w:iCs/>
        </w:rPr>
        <w:t>Windows on the House of Islam: Muslim Sources on Spirituality and Religious Life</w:t>
      </w:r>
      <w:r w:rsidRPr="00660D1C">
        <w:rPr>
          <w:rFonts w:ascii="Gentium" w:hAnsi="Gentium"/>
          <w:iCs/>
        </w:rPr>
        <w:t xml:space="preserve">. Edited by John </w:t>
      </w:r>
      <w:r w:rsidRPr="00660D1C">
        <w:rPr>
          <w:rFonts w:ascii="Gentium" w:hAnsi="Gentium"/>
        </w:rPr>
        <w:t>Renard, 103-107, 396. Berkeley: University of California Press, 1998.</w:t>
      </w:r>
    </w:p>
    <w:p w14:paraId="3AFDE3B0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</w:rPr>
        <w:t xml:space="preserve">___. “Ginān.” In </w:t>
      </w:r>
      <w:r w:rsidRPr="00660D1C">
        <w:rPr>
          <w:rFonts w:ascii="Gentium" w:hAnsi="Gentium"/>
          <w:i/>
          <w:iCs/>
          <w:color w:val="000000"/>
        </w:rPr>
        <w:t>South Asian Folklore: An Encyclopedia</w:t>
      </w:r>
      <w:r w:rsidRPr="00660D1C">
        <w:rPr>
          <w:rFonts w:ascii="Gentium" w:hAnsi="Gentium"/>
          <w:iCs/>
          <w:color w:val="000000"/>
        </w:rPr>
        <w:t>.</w:t>
      </w:r>
      <w:r w:rsidRPr="00660D1C">
        <w:rPr>
          <w:rFonts w:ascii="Gentium" w:hAnsi="Gentium"/>
          <w:i/>
          <w:iCs/>
          <w:color w:val="000000"/>
        </w:rPr>
        <w:t xml:space="preserve"> </w:t>
      </w:r>
      <w:r w:rsidRPr="00660D1C">
        <w:rPr>
          <w:rFonts w:ascii="Gentium" w:hAnsi="Gentium"/>
          <w:color w:val="000000"/>
        </w:rPr>
        <w:t xml:space="preserve">Edited by Peter J. Claus, Sarah Diamond, and Margaret Ann Mills, </w:t>
      </w:r>
      <w:r w:rsidRPr="00660D1C">
        <w:rPr>
          <w:rFonts w:ascii="Gentium" w:hAnsi="Gentium"/>
        </w:rPr>
        <w:t xml:space="preserve">250-251. </w:t>
      </w:r>
      <w:r w:rsidRPr="00660D1C">
        <w:rPr>
          <w:rFonts w:ascii="Gentium" w:hAnsi="Gentium"/>
          <w:color w:val="000000"/>
        </w:rPr>
        <w:t>New York: Routledge, 2003.</w:t>
      </w:r>
    </w:p>
    <w:p w14:paraId="3914B3D9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Ashtor, Eliyahu. “Ibn Killis, Abu al-Faraj Ya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qub Ibn Yūsuf.” In </w:t>
      </w:r>
      <w:r w:rsidRPr="00660D1C">
        <w:rPr>
          <w:rFonts w:ascii="Gentium" w:hAnsi="Gentium"/>
          <w:i/>
          <w:color w:val="000000"/>
        </w:rPr>
        <w:t>Encyclopaedia Judaica</w:t>
      </w:r>
      <w:r w:rsidRPr="00660D1C">
        <w:rPr>
          <w:rFonts w:ascii="Gentium" w:hAnsi="Gentium"/>
          <w:color w:val="000000"/>
        </w:rPr>
        <w:t>. 1</w:t>
      </w:r>
      <w:r w:rsidRPr="00660D1C">
        <w:rPr>
          <w:rFonts w:ascii="Gentium" w:hAnsi="Gentium"/>
          <w:color w:val="000000"/>
          <w:vertAlign w:val="superscript"/>
        </w:rPr>
        <w:t>st</w:t>
      </w:r>
      <w:r w:rsidRPr="00660D1C">
        <w:rPr>
          <w:rFonts w:ascii="Gentium" w:hAnsi="Gentium"/>
          <w:color w:val="000000"/>
        </w:rPr>
        <w:t xml:space="preserve"> ed. 16 vols. 8:1188. Jerusalem: Encyclopaedia Judaica, 1971-1972.</w:t>
      </w:r>
    </w:p>
    <w:p w14:paraId="6A446EA9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Asmuss, Käte. “Die bātinitische Sekte nach der Darstellung von Dailamī.” D.Phil. d</w:t>
      </w:r>
      <w:r>
        <w:rPr>
          <w:rFonts w:ascii="Gentium" w:hAnsi="Gentium"/>
          <w:color w:val="000000"/>
        </w:rPr>
        <w:t xml:space="preserve">iss., Universität Berlin, 1948. </w:t>
      </w:r>
      <w:r w:rsidRPr="00660D1C">
        <w:rPr>
          <w:rFonts w:ascii="Gentium" w:hAnsi="Gentium"/>
          <w:color w:val="000000"/>
        </w:rPr>
        <w:t>88 pp.</w:t>
      </w:r>
    </w:p>
    <w:p w14:paraId="5E5639A3" w14:textId="77777777" w:rsidR="00EA60B1" w:rsidRDefault="00EA60B1" w:rsidP="00EA60B1">
      <w:pPr>
        <w:rPr>
          <w:rFonts w:ascii="Gentium" w:hAnsi="Gentium"/>
          <w:color w:val="000000"/>
        </w:rPr>
      </w:pPr>
      <w:r>
        <w:rPr>
          <w:rFonts w:ascii="Gentium" w:hAnsi="Gentium"/>
          <w:color w:val="000000"/>
        </w:rPr>
        <w:t xml:space="preserve">Axelrod, </w:t>
      </w:r>
      <w:r w:rsidRPr="00660D1C">
        <w:rPr>
          <w:rFonts w:ascii="Gentium" w:hAnsi="Gentium"/>
          <w:color w:val="000000"/>
        </w:rPr>
        <w:t xml:space="preserve">Alan. “Assassins.” In </w:t>
      </w:r>
      <w:r w:rsidRPr="00660D1C">
        <w:rPr>
          <w:rFonts w:ascii="Gentium" w:hAnsi="Gentium"/>
          <w:i/>
          <w:color w:val="000000"/>
        </w:rPr>
        <w:t>The International Encyclopedia of Secret Societies and Fraternal Orders</w:t>
      </w:r>
      <w:r w:rsidRPr="00660D1C">
        <w:rPr>
          <w:rFonts w:ascii="Gentium" w:hAnsi="Gentium"/>
          <w:color w:val="000000"/>
        </w:rPr>
        <w:t>, 23-24. New York: Facts on File, 1997.</w:t>
      </w:r>
    </w:p>
    <w:p w14:paraId="2CEDFFCD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Ayalon, David. “Some Remarks on the Fāṭimid Eunuchs.” Chap. 10 in </w:t>
      </w:r>
      <w:r w:rsidRPr="00660D1C">
        <w:rPr>
          <w:rFonts w:ascii="Gentium" w:hAnsi="Gentium"/>
          <w:i/>
          <w:color w:val="000000"/>
        </w:rPr>
        <w:t>Eunuchs, Caliphs and Sultans: A Study in Power Relationships</w:t>
      </w:r>
      <w:r w:rsidRPr="00660D1C">
        <w:rPr>
          <w:rFonts w:ascii="Gentium" w:hAnsi="Gentium"/>
          <w:color w:val="000000"/>
        </w:rPr>
        <w:t>, 139-143. Jerusalem: Magnes Press, The Hebrew University, 1999.</w:t>
      </w:r>
    </w:p>
    <w:p w14:paraId="417B304B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Aziz, Abualy Alibhai. </w:t>
      </w:r>
      <w:r w:rsidRPr="00660D1C">
        <w:rPr>
          <w:rFonts w:ascii="Gentium" w:hAnsi="Gentium"/>
          <w:i/>
          <w:color w:val="000000"/>
        </w:rPr>
        <w:t>Ismàili Tariqàh (Part 1)</w:t>
      </w:r>
      <w:r w:rsidRPr="00660D1C">
        <w:rPr>
          <w:rFonts w:ascii="Gentium" w:hAnsi="Gentium"/>
          <w:color w:val="000000"/>
        </w:rPr>
        <w:t>. Toronto, ON: Islamic Literary and Cultural Association, 1985. 241 pp.</w:t>
      </w:r>
    </w:p>
    <w:p w14:paraId="2DF87867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“On the Origin of the Khojki Script.” In </w:t>
      </w:r>
      <w:r>
        <w:rPr>
          <w:rFonts w:ascii="Gentium" w:hAnsi="Gentium"/>
          <w:i/>
          <w:color w:val="000000"/>
        </w:rPr>
        <w:t>SOS</w:t>
      </w:r>
      <w:r w:rsidRPr="00660D1C">
        <w:rPr>
          <w:rFonts w:ascii="Gentium" w:hAnsi="Gentium"/>
          <w:color w:val="000000"/>
        </w:rPr>
        <w:t>, 47-48.</w:t>
      </w:r>
    </w:p>
    <w:p w14:paraId="302FC203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Style w:val="medium-font"/>
          <w:rFonts w:ascii="Gentium" w:hAnsi="Gentium"/>
        </w:rPr>
        <w:t>___. “</w:t>
      </w:r>
      <w:r w:rsidRPr="00660D1C">
        <w:rPr>
          <w:rFonts w:ascii="Gentium" w:hAnsi="Gentium"/>
        </w:rPr>
        <w:t xml:space="preserve">Some Unpublished Ginans in Punjabi.” In </w:t>
      </w:r>
      <w:r>
        <w:rPr>
          <w:rFonts w:ascii="Gentium" w:hAnsi="Gentium"/>
          <w:i/>
        </w:rPr>
        <w:t>SOS</w:t>
      </w:r>
      <w:r w:rsidRPr="00660D1C">
        <w:rPr>
          <w:rFonts w:ascii="Gentium" w:hAnsi="Gentium"/>
        </w:rPr>
        <w:t>, 106-115b.</w:t>
      </w:r>
    </w:p>
    <w:p w14:paraId="3332C894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Style w:val="medium-font"/>
          <w:rFonts w:ascii="Gentium" w:hAnsi="Gentium"/>
        </w:rPr>
        <w:t>___. “</w:t>
      </w:r>
      <w:r w:rsidRPr="00660D1C">
        <w:rPr>
          <w:rFonts w:ascii="Gentium" w:hAnsi="Gentium"/>
        </w:rPr>
        <w:t xml:space="preserve">The Extent of Our Ginanic Literature.” In </w:t>
      </w:r>
      <w:r>
        <w:rPr>
          <w:rFonts w:ascii="Gentium" w:hAnsi="Gentium"/>
          <w:i/>
        </w:rPr>
        <w:t>SOS</w:t>
      </w:r>
      <w:r w:rsidRPr="00660D1C">
        <w:rPr>
          <w:rFonts w:ascii="Gentium" w:hAnsi="Gentium"/>
        </w:rPr>
        <w:t>, 138-141.</w:t>
      </w:r>
    </w:p>
    <w:p w14:paraId="3E45A74A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>___. “Miracles and Gnosis: Pir Satgur Noor and Ginans of Ismaili Satpanth.” Ph.D. diss., School of Consciousness Studies and Traditions, Senior University International</w:t>
      </w:r>
      <w:r>
        <w:rPr>
          <w:rFonts w:ascii="Gentium" w:hAnsi="Gentium"/>
        </w:rPr>
        <w:t xml:space="preserve">, </w:t>
      </w:r>
      <w:r w:rsidRPr="00AA1437">
        <w:rPr>
          <w:rFonts w:ascii="Gentium" w:hAnsi="Gentium"/>
        </w:rPr>
        <w:t>British Columbia and Wyoming,</w:t>
      </w:r>
      <w:r w:rsidRPr="00660D1C">
        <w:rPr>
          <w:rFonts w:ascii="Gentium" w:hAnsi="Gentium"/>
        </w:rPr>
        <w:t xml:space="preserve"> 2001.</w:t>
      </w:r>
      <w:r w:rsidRPr="00511843">
        <w:t xml:space="preserve"> </w:t>
      </w:r>
      <w:r w:rsidRPr="00511843">
        <w:rPr>
          <w:rFonts w:ascii="Gentium" w:hAnsi="Gentium"/>
        </w:rPr>
        <w:t>xiv + 180 pp.</w:t>
      </w:r>
    </w:p>
    <w:p w14:paraId="112F8D57" w14:textId="77777777" w:rsidR="00EA60B1" w:rsidRPr="00660D1C" w:rsidRDefault="00EA60B1" w:rsidP="00EA60B1">
      <w:r w:rsidRPr="00660D1C">
        <w:rPr>
          <w:rFonts w:ascii="Gentium" w:hAnsi="Gentium"/>
        </w:rPr>
        <w:t>Bacharach, Jere L. “</w:t>
      </w:r>
      <w:r w:rsidRPr="00660D1C">
        <w:rPr>
          <w:rFonts w:ascii="Calibri" w:hAnsi="Calibri" w:cs="Calibri"/>
        </w:rPr>
        <w:t>ʿ</w:t>
      </w:r>
      <w:r w:rsidRPr="00660D1C">
        <w:rPr>
          <w:rFonts w:ascii="Gentium" w:hAnsi="Gentium"/>
        </w:rPr>
        <w:t>Azīz bi</w:t>
      </w:r>
      <w:r w:rsidRPr="00660D1C">
        <w:rPr>
          <w:rFonts w:ascii="Calibri" w:hAnsi="Calibri" w:cs="Calibri"/>
        </w:rPr>
        <w:t>ʾ</w:t>
      </w:r>
      <w:r w:rsidRPr="00660D1C">
        <w:rPr>
          <w:rFonts w:ascii="Gentium" w:hAnsi="Gentium"/>
        </w:rPr>
        <w:t xml:space="preserve">llāh, Nizār Abū Manṣūr, al-.” In </w:t>
      </w:r>
      <w:r w:rsidRPr="00660D1C">
        <w:rPr>
          <w:rFonts w:ascii="Gentium" w:hAnsi="Gentium"/>
          <w:i/>
        </w:rPr>
        <w:t>Dictionary of the Middle Ages</w:t>
      </w:r>
      <w:r w:rsidRPr="00660D1C">
        <w:rPr>
          <w:rFonts w:ascii="Gentium" w:hAnsi="Gentium"/>
        </w:rPr>
        <w:t>. 13 vols. Edited by Joseph R. Strayer, 2:28. New York: Scribner, 1982-1989.</w:t>
      </w:r>
      <w:r w:rsidRPr="00660D1C">
        <w:t xml:space="preserve"> </w:t>
      </w:r>
    </w:p>
    <w:p w14:paraId="684DF2B5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Baffioni, Carmela. “The ‘Friends of God’ in the </w:t>
      </w:r>
      <w:r w:rsidRPr="00660D1C">
        <w:rPr>
          <w:rFonts w:ascii="Gentium" w:hAnsi="Gentium"/>
          <w:i/>
        </w:rPr>
        <w:t>Rasā</w:t>
      </w:r>
      <w:r w:rsidRPr="00660D1C">
        <w:rPr>
          <w:rFonts w:ascii="Calibri" w:hAnsi="Calibri" w:cs="Calibri"/>
          <w:i/>
        </w:rPr>
        <w:t>ʾ</w:t>
      </w:r>
      <w:r w:rsidRPr="00660D1C">
        <w:rPr>
          <w:rFonts w:ascii="Gentium" w:hAnsi="Gentium"/>
          <w:i/>
        </w:rPr>
        <w:t>il Iḫwān aṣ-Ṣafā</w:t>
      </w:r>
      <w:r w:rsidRPr="00660D1C">
        <w:rPr>
          <w:rFonts w:ascii="Calibri" w:hAnsi="Calibri" w:cs="Calibri"/>
          <w:i/>
        </w:rPr>
        <w:t>ʾ</w:t>
      </w:r>
      <w:r w:rsidRPr="00660D1C">
        <w:rPr>
          <w:rFonts w:ascii="Gentium" w:hAnsi="Gentium"/>
        </w:rPr>
        <w:t>.</w:t>
      </w:r>
      <w:r w:rsidRPr="007B3C90">
        <w:rPr>
          <w:rFonts w:ascii="Gentium" w:hAnsi="Gentium"/>
        </w:rPr>
        <w:t>”</w:t>
      </w:r>
      <w:r w:rsidRPr="00660D1C">
        <w:rPr>
          <w:rFonts w:ascii="Gentium" w:hAnsi="Gentium"/>
        </w:rPr>
        <w:t xml:space="preserve"> </w:t>
      </w:r>
      <w:r w:rsidRPr="00660D1C">
        <w:rPr>
          <w:rFonts w:ascii="Gentium" w:hAnsi="Gentium"/>
          <w:i/>
        </w:rPr>
        <w:t>The Arabist: Budapest Studies in Arabic</w:t>
      </w:r>
      <w:r w:rsidRPr="00660D1C">
        <w:rPr>
          <w:rFonts w:ascii="Gentium" w:hAnsi="Gentium"/>
        </w:rPr>
        <w:t xml:space="preserve"> 26-27 (2003): 17-24.</w:t>
      </w:r>
    </w:p>
    <w:p w14:paraId="1164FB20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___. “Ideological Debate and Political Encounter in the Iḫwān </w:t>
      </w:r>
      <w:r w:rsidRPr="00660D1C">
        <w:rPr>
          <w:rFonts w:ascii="Gentium" w:hAnsi="Gentium"/>
          <w:color w:val="000000"/>
        </w:rPr>
        <w:t>a</w:t>
      </w:r>
      <w:r w:rsidRPr="00660D1C">
        <w:rPr>
          <w:rFonts w:ascii="Gentium" w:hAnsi="Gentium"/>
        </w:rPr>
        <w:t>l-Ṣafā</w:t>
      </w:r>
      <w:r w:rsidRPr="00660D1C">
        <w:rPr>
          <w:rFonts w:ascii="Calibri" w:hAnsi="Calibri" w:cs="Calibri"/>
        </w:rPr>
        <w:t>ʾ</w:t>
      </w:r>
      <w:r w:rsidRPr="00660D1C">
        <w:rPr>
          <w:rFonts w:ascii="Gentium" w:hAnsi="Gentium"/>
        </w:rPr>
        <w:t xml:space="preserve">.” In </w:t>
      </w:r>
      <w:r w:rsidRPr="00D920B5">
        <w:rPr>
          <w:rFonts w:ascii="Gentium" w:hAnsi="Gentium"/>
          <w:i/>
        </w:rPr>
        <w:t>MCCAM</w:t>
      </w:r>
      <w:r w:rsidRPr="00660D1C">
        <w:rPr>
          <w:rFonts w:ascii="Gentium" w:hAnsi="Gentium"/>
        </w:rPr>
        <w:t>, 33-41.</w:t>
      </w:r>
    </w:p>
    <w:p w14:paraId="6A02A748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>___</w:t>
      </w:r>
      <w:r>
        <w:rPr>
          <w:rFonts w:ascii="Gentium" w:hAnsi="Gentium"/>
        </w:rPr>
        <w:t>.</w:t>
      </w:r>
      <w:r w:rsidRPr="00660D1C">
        <w:rPr>
          <w:rFonts w:ascii="Gentium" w:hAnsi="Gentium"/>
        </w:rPr>
        <w:t xml:space="preserve"> “The Angelology System in the Iḫwān al-Ṣafā</w:t>
      </w:r>
      <w:r w:rsidRPr="00660D1C">
        <w:rPr>
          <w:rFonts w:ascii="Calibri" w:hAnsi="Calibri" w:cs="Calibri"/>
        </w:rPr>
        <w:t>ʾ</w:t>
      </w:r>
      <w:r w:rsidRPr="00660D1C">
        <w:rPr>
          <w:rFonts w:ascii="Gentium" w:hAnsi="Gentium"/>
        </w:rPr>
        <w:t xml:space="preserve">.” In </w:t>
      </w:r>
      <w:r w:rsidRPr="00660D1C">
        <w:rPr>
          <w:rFonts w:ascii="Gentium" w:hAnsi="Gentium"/>
          <w:i/>
        </w:rPr>
        <w:t>Arabistika i Isljamoznanie</w:t>
      </w:r>
      <w:r w:rsidRPr="00660D1C">
        <w:rPr>
          <w:rFonts w:ascii="Gentium" w:hAnsi="Gentium"/>
        </w:rPr>
        <w:t>. 2 vols. Edited by Simeon Evstatiev et al., 2:435-442. Sofija: Univ. Izdat. ‘Sv. Kl. Oxridski,’ 2003.</w:t>
      </w:r>
    </w:p>
    <w:p w14:paraId="02D858E4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Bagheri, Mohammad. “Mathematical Problems of the Famous Iranian Poet Nāṣer-e Khosrow.” </w:t>
      </w:r>
      <w:r w:rsidRPr="00660D1C">
        <w:rPr>
          <w:rFonts w:ascii="Gentium" w:hAnsi="Gentium"/>
          <w:i/>
        </w:rPr>
        <w:t>Historia Mathematica</w:t>
      </w:r>
      <w:r w:rsidRPr="00660D1C">
        <w:rPr>
          <w:rFonts w:ascii="Gentium" w:hAnsi="Gentium"/>
        </w:rPr>
        <w:t xml:space="preserve"> 24:2 (1997): 193-196.</w:t>
      </w:r>
    </w:p>
    <w:p w14:paraId="40D6CD3D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>Balog, Paul. “A Hoard of 1/16-th Dirham Fractions of the Fāṭimid Caliph al-Ḥ</w:t>
      </w:r>
      <w:r>
        <w:rPr>
          <w:rFonts w:ascii="Gentium" w:hAnsi="Gentium"/>
        </w:rPr>
        <w:t>ākim Bi-Amr I</w:t>
      </w:r>
      <w:r w:rsidRPr="00660D1C">
        <w:rPr>
          <w:rFonts w:ascii="Gentium" w:hAnsi="Gentium"/>
        </w:rPr>
        <w:t xml:space="preserve">llāh (386-411 AH = 996-I020 AD) in the Vatican Coin Collection.” </w:t>
      </w:r>
      <w:r w:rsidRPr="00660D1C">
        <w:rPr>
          <w:rFonts w:ascii="Gentium" w:hAnsi="Gentium"/>
          <w:i/>
        </w:rPr>
        <w:t xml:space="preserve">Revista Italiana di Numismatica </w:t>
      </w:r>
      <w:r w:rsidRPr="00660D1C">
        <w:rPr>
          <w:rFonts w:ascii="Gentium" w:hAnsi="Gentium"/>
        </w:rPr>
        <w:t>20:74 (I972): 145-151.</w:t>
      </w:r>
    </w:p>
    <w:p w14:paraId="0B8C6FA9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___. “Sicilian Type Radiate Dirhem of al-Mustanṣir Billāh Struck in Aleppo.” </w:t>
      </w:r>
      <w:r w:rsidRPr="00660D1C">
        <w:rPr>
          <w:rFonts w:ascii="Gentium" w:hAnsi="Gentium"/>
          <w:i/>
        </w:rPr>
        <w:t xml:space="preserve">La Rivista Numismatica e Antichità Classiche </w:t>
      </w:r>
      <w:r w:rsidRPr="00660D1C">
        <w:rPr>
          <w:rFonts w:ascii="Gentium" w:hAnsi="Gentium"/>
        </w:rPr>
        <w:t>5 (1976): 377-380.</w:t>
      </w:r>
    </w:p>
    <w:p w14:paraId="25A4705A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___. “Contributions to the Arabic Metrology and Coinage. II. A Fāṭimid Gold </w:t>
      </w:r>
      <w:r w:rsidRPr="00660D1C">
        <w:rPr>
          <w:rFonts w:ascii="Gentium" w:hAnsi="Gentium"/>
          <w:i/>
        </w:rPr>
        <w:t>Kharrūba</w:t>
      </w:r>
      <w:r w:rsidRPr="00660D1C">
        <w:rPr>
          <w:rFonts w:ascii="Gentium" w:hAnsi="Gentium"/>
        </w:rPr>
        <w:t xml:space="preserve"> from Sicily.” </w:t>
      </w:r>
      <w:r w:rsidRPr="00660D1C">
        <w:rPr>
          <w:rFonts w:ascii="Gentium" w:hAnsi="Gentium"/>
          <w:i/>
        </w:rPr>
        <w:t>Annali dell’Istituto Italiano di Numismatica</w:t>
      </w:r>
      <w:r w:rsidRPr="00660D1C">
        <w:rPr>
          <w:rFonts w:ascii="Gentium" w:hAnsi="Gentium"/>
        </w:rPr>
        <w:t xml:space="preserve"> 27-28 (1980-1981): 135-137.</w:t>
      </w:r>
    </w:p>
    <w:p w14:paraId="3076EAE3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___. “An Unusual Fāṭimid Glass Weight.” </w:t>
      </w:r>
      <w:r w:rsidRPr="00660D1C">
        <w:rPr>
          <w:rFonts w:ascii="Gentium" w:hAnsi="Gentium"/>
          <w:i/>
        </w:rPr>
        <w:t>American Numismatic Society Museum Notes</w:t>
      </w:r>
      <w:r w:rsidRPr="00660D1C">
        <w:rPr>
          <w:rFonts w:ascii="Gentium" w:hAnsi="Gentium"/>
        </w:rPr>
        <w:t xml:space="preserve"> 29 (1984): 181-184.</w:t>
      </w:r>
    </w:p>
    <w:p w14:paraId="5D1DD729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>Banks, Cheryl D. “The Social History of the Jews in Fatimid Egypt.” M.A. thesis, University of Denver, 1977. 350 pp.</w:t>
      </w:r>
    </w:p>
    <w:p w14:paraId="5CD431C9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>Bareket, Elinoar. “Rosh ha-Yehudim taḥat Shilton ha-Fatimim.” [</w:t>
      </w:r>
      <w:r w:rsidRPr="00660D1C">
        <w:rPr>
          <w:rFonts w:ascii="Gentium" w:hAnsi="Gentium"/>
          <w:i/>
        </w:rPr>
        <w:t>Ra</w:t>
      </w:r>
      <w:r w:rsidRPr="00660D1C">
        <w:rPr>
          <w:rFonts w:ascii="Calibri" w:hAnsi="Calibri" w:cs="Calibri"/>
          <w:i/>
        </w:rPr>
        <w:t>ʾ</w:t>
      </w:r>
      <w:r w:rsidRPr="00660D1C">
        <w:rPr>
          <w:rFonts w:ascii="Gentium" w:hAnsi="Gentium"/>
          <w:i/>
        </w:rPr>
        <w:t>is al-Yahud</w:t>
      </w:r>
      <w:r w:rsidRPr="00660D1C">
        <w:rPr>
          <w:rFonts w:ascii="Gentium" w:hAnsi="Gentium"/>
        </w:rPr>
        <w:t xml:space="preserve"> in Egypt under the Fatimids: A Reconsideration]  </w:t>
      </w:r>
      <w:r w:rsidRPr="00660D1C">
        <w:rPr>
          <w:rFonts w:ascii="Gentium" w:hAnsi="Gentium"/>
          <w:i/>
        </w:rPr>
        <w:t>Zmanim: A Historical Quarterly</w:t>
      </w:r>
      <w:r>
        <w:rPr>
          <w:rFonts w:ascii="Gentium" w:hAnsi="Gentium"/>
        </w:rPr>
        <w:t xml:space="preserve"> 64 (1998): </w:t>
      </w:r>
      <w:r w:rsidRPr="00660D1C">
        <w:rPr>
          <w:rFonts w:ascii="Gentium" w:hAnsi="Gentium"/>
        </w:rPr>
        <w:t>34–44. [In Hebrew]</w:t>
      </w:r>
    </w:p>
    <w:p w14:paraId="5386C974" w14:textId="77777777" w:rsidR="00EA60B1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>Bariani, Laura. “Sitt al-Mulk: Signora del Regno, Signora del Potere (359-415/970-1024-25).” Esercitazione di Licenza, Pontificio Istituto di Studi Arabi e d’Isla</w:t>
      </w:r>
      <w:r>
        <w:rPr>
          <w:rFonts w:ascii="Gentium" w:hAnsi="Gentium"/>
        </w:rPr>
        <w:t xml:space="preserve">mistica, Roma, 1990. </w:t>
      </w:r>
      <w:r w:rsidRPr="00EF76AC">
        <w:rPr>
          <w:rFonts w:ascii="Gentium" w:hAnsi="Gentium"/>
        </w:rPr>
        <w:t xml:space="preserve">x + </w:t>
      </w:r>
      <w:r>
        <w:rPr>
          <w:rFonts w:ascii="Gentium" w:hAnsi="Gentium"/>
        </w:rPr>
        <w:t xml:space="preserve">134 pp. </w:t>
      </w:r>
    </w:p>
    <w:p w14:paraId="74EB5462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Barrucand, Marianne. “Les monuments fatimides et leur decoration à l’époque de la fondation de la mosquée de Bāb Mardūm: La question des héritages classiques.” In </w:t>
      </w:r>
      <w:r w:rsidRPr="00660D1C">
        <w:rPr>
          <w:rFonts w:ascii="Gentium" w:hAnsi="Gentium"/>
          <w:i/>
        </w:rPr>
        <w:t>Entre el Califato y la Taifa: Mil años del Cristo de la Luz; Actas del Congreso Internacional, Toledo, 1999</w:t>
      </w:r>
      <w:r w:rsidRPr="00660D1C">
        <w:rPr>
          <w:rFonts w:ascii="Gentium" w:hAnsi="Gentium"/>
        </w:rPr>
        <w:t>, 153-167. Toledo: Asociación de Amigos del Toledo Islámico, 2000.</w:t>
      </w:r>
    </w:p>
    <w:p w14:paraId="03112D5D" w14:textId="77777777" w:rsidR="00EA60B1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>___. “Les chapiteaux de remploi de la mosquée al-Azhar et l’émergence d’un type de chapiteau médiéval en Égypte.”</w:t>
      </w:r>
      <w:r>
        <w:rPr>
          <w:rFonts w:ascii="Gentium" w:hAnsi="Gentium"/>
        </w:rPr>
        <w:t xml:space="preserve"> </w:t>
      </w:r>
      <w:r w:rsidRPr="00660D1C">
        <w:rPr>
          <w:rFonts w:ascii="Gentium" w:hAnsi="Gentium"/>
          <w:i/>
        </w:rPr>
        <w:t>Annales Islamologiques</w:t>
      </w:r>
      <w:r w:rsidRPr="00660D1C">
        <w:rPr>
          <w:rFonts w:ascii="Gentium" w:hAnsi="Gentium"/>
        </w:rPr>
        <w:t xml:space="preserve"> 36 (2002): 37-75.</w:t>
      </w:r>
    </w:p>
    <w:p w14:paraId="450602B4" w14:textId="77777777" w:rsidR="00EA60B1" w:rsidRDefault="00EA60B1" w:rsidP="00EA60B1">
      <w:pPr>
        <w:rPr>
          <w:rFonts w:ascii="Gentium" w:hAnsi="Gentium"/>
        </w:rPr>
      </w:pPr>
      <w:r w:rsidRPr="00C53AF6">
        <w:rPr>
          <w:rFonts w:ascii="Gentium" w:hAnsi="Gentium"/>
        </w:rPr>
        <w:t xml:space="preserve">Basu, Salil K., and Prativa Gupta. “Trend of Menarche and Menopause among the Inbred Muslim Shia Dawoodi Bohras of Udaipur, Rajasthan.” </w:t>
      </w:r>
      <w:r w:rsidRPr="00C53AF6">
        <w:rPr>
          <w:rFonts w:ascii="Gentium" w:hAnsi="Gentium"/>
          <w:i/>
        </w:rPr>
        <w:t>South Asian Anthropologist</w:t>
      </w:r>
      <w:r w:rsidRPr="00C53AF6">
        <w:rPr>
          <w:rFonts w:ascii="Gentium" w:hAnsi="Gentium"/>
        </w:rPr>
        <w:t xml:space="preserve"> 3:2 (1982): 35-38.</w:t>
      </w:r>
    </w:p>
    <w:p w14:paraId="12A29CE5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>Beinhauer-Köhler, Bärbel. “Zwischen Nāṭiq, Waṣi und Imām-Kalif: Fāṭima in der Ismā</w:t>
      </w:r>
      <w:r w:rsidRPr="00660D1C">
        <w:rPr>
          <w:rFonts w:ascii="Calibri" w:hAnsi="Calibri" w:cs="Calibri"/>
        </w:rPr>
        <w:t>ʿ</w:t>
      </w:r>
      <w:r w:rsidRPr="00660D1C">
        <w:rPr>
          <w:rFonts w:ascii="Gentium" w:hAnsi="Gentium"/>
        </w:rPr>
        <w:t xml:space="preserve">īlīya.” Chap. 6 in </w:t>
      </w:r>
      <w:r w:rsidRPr="00660D1C">
        <w:rPr>
          <w:rFonts w:ascii="Gentium" w:hAnsi="Gentium"/>
          <w:i/>
        </w:rPr>
        <w:t>Fāṭima bint Muḥammad</w:t>
      </w:r>
      <w:r w:rsidRPr="00660D1C">
        <w:rPr>
          <w:rFonts w:ascii="Gentium" w:hAnsi="Gentium"/>
        </w:rPr>
        <w:t xml:space="preserve">: </w:t>
      </w:r>
      <w:r w:rsidRPr="00660D1C">
        <w:rPr>
          <w:rFonts w:ascii="Gentium" w:hAnsi="Gentium"/>
          <w:i/>
        </w:rPr>
        <w:t>Metamorphosen einer frühislamischen Frauengestalt</w:t>
      </w:r>
      <w:r w:rsidRPr="00660D1C">
        <w:rPr>
          <w:rFonts w:ascii="Gentium" w:hAnsi="Gentium"/>
        </w:rPr>
        <w:t>, 137-175. Wiesbaden: Harrassowitz, 2002.</w:t>
      </w:r>
    </w:p>
    <w:p w14:paraId="0369BE15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Bellafiore, Giuseppe. “Architettura e cultura delle cittá fatimite in Sicilia.” </w:t>
      </w:r>
      <w:r w:rsidRPr="00660D1C">
        <w:rPr>
          <w:rFonts w:ascii="Gentium" w:hAnsi="Gentium"/>
          <w:i/>
        </w:rPr>
        <w:t>Storia della Cittá</w:t>
      </w:r>
      <w:r w:rsidRPr="00660D1C">
        <w:rPr>
          <w:rFonts w:ascii="Gentium" w:hAnsi="Gentium"/>
        </w:rPr>
        <w:t xml:space="preserve"> 17 (1980): 3-10.</w:t>
      </w:r>
    </w:p>
    <w:p w14:paraId="0AADEAA6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Bellafiore, Susanna. </w:t>
      </w:r>
      <w:r w:rsidRPr="00660D1C">
        <w:rPr>
          <w:rFonts w:ascii="Gentium" w:hAnsi="Gentium"/>
          <w:i/>
        </w:rPr>
        <w:t>Architettura palaziale fatimita a Palermo e al Cairo</w:t>
      </w:r>
      <w:r w:rsidRPr="00660D1C">
        <w:rPr>
          <w:rFonts w:ascii="Gentium" w:hAnsi="Gentium"/>
        </w:rPr>
        <w:t>. Palermo: [Luxograph], 1982. 81 pp. [U]</w:t>
      </w:r>
    </w:p>
    <w:p w14:paraId="4D0F8C90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Ben-Dov, Meir. “Fatimid Silver Jewellery from the Temple Mount Excavations.” </w:t>
      </w:r>
      <w:r w:rsidRPr="00660D1C">
        <w:rPr>
          <w:rFonts w:ascii="Gentium" w:hAnsi="Gentium"/>
          <w:i/>
        </w:rPr>
        <w:t>Qadmoniot</w:t>
      </w:r>
      <w:r w:rsidRPr="00660D1C">
        <w:rPr>
          <w:rFonts w:ascii="Gentium" w:hAnsi="Gentium"/>
        </w:rPr>
        <w:t xml:space="preserve"> 16:2-3 (1983): 88-91. [In Hebrew]</w:t>
      </w:r>
    </w:p>
    <w:p w14:paraId="68905B3C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Berg, Gabrielle van den. “The Classical Persian </w:t>
      </w:r>
      <w:r w:rsidRPr="00660D1C">
        <w:rPr>
          <w:rFonts w:ascii="Gentium" w:hAnsi="Gentium"/>
          <w:i/>
        </w:rPr>
        <w:t>ghazal</w:t>
      </w:r>
      <w:r w:rsidRPr="00660D1C">
        <w:rPr>
          <w:rFonts w:ascii="Gentium" w:hAnsi="Gentium"/>
        </w:rPr>
        <w:t xml:space="preserve"> and Rumi in the Oral Poetry of the Ismailis of Tajik Badakhshan.” In </w:t>
      </w:r>
      <w:r w:rsidRPr="00660D1C">
        <w:rPr>
          <w:rFonts w:ascii="Gentium" w:hAnsi="Gentium"/>
          <w:i/>
        </w:rPr>
        <w:t>“Mais Comment Peut-on Être Persan?” Éléments Iraniens En Orient &amp; Occident</w:t>
      </w:r>
      <w:r w:rsidRPr="00660D1C">
        <w:rPr>
          <w:rFonts w:ascii="Gentium" w:hAnsi="Gentium"/>
        </w:rPr>
        <w:t>. Lettres Orientales 7. Edited by C. van Ruymbeke, 3-13. Leuven: Peeters, 2003.</w:t>
      </w:r>
    </w:p>
    <w:p w14:paraId="0508EE5C" w14:textId="77777777" w:rsidR="00EA60B1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Berrettini, Stefano. “Note sugli Ismailiti in Siria oggi.” </w:t>
      </w:r>
      <w:r w:rsidRPr="00660D1C">
        <w:rPr>
          <w:rFonts w:ascii="Gentium" w:hAnsi="Gentium"/>
          <w:i/>
        </w:rPr>
        <w:t>Alifbâ: Rivista di Informazione e Cultura sul Mondo Arabo Islamico</w:t>
      </w:r>
      <w:r w:rsidRPr="00660D1C">
        <w:rPr>
          <w:rFonts w:ascii="Gentium" w:hAnsi="Gentium"/>
        </w:rPr>
        <w:t xml:space="preserve"> 8:14-15 (1991): 57-62.</w:t>
      </w:r>
    </w:p>
    <w:p w14:paraId="42ACDF91" w14:textId="77777777" w:rsidR="00EA60B1" w:rsidRDefault="00EA60B1" w:rsidP="00EA60B1">
      <w:pPr>
        <w:rPr>
          <w:rFonts w:ascii="Gentium" w:hAnsi="Gentium"/>
        </w:rPr>
      </w:pPr>
      <w:r w:rsidRPr="00726127">
        <w:rPr>
          <w:rFonts w:ascii="Gentium" w:hAnsi="Gentium"/>
        </w:rPr>
        <w:t>Bhimani, Sali</w:t>
      </w:r>
      <w:r>
        <w:rPr>
          <w:rFonts w:ascii="Gentium" w:hAnsi="Gentium"/>
        </w:rPr>
        <w:t>ma A. “How Teachers Reflect on t</w:t>
      </w:r>
      <w:r w:rsidRPr="00726127">
        <w:rPr>
          <w:rFonts w:ascii="Gentium" w:hAnsi="Gentium"/>
        </w:rPr>
        <w:t>heir C</w:t>
      </w:r>
      <w:r>
        <w:rPr>
          <w:rFonts w:ascii="Gentium" w:hAnsi="Gentium"/>
        </w:rPr>
        <w:t xml:space="preserve">lassroom Practices and </w:t>
      </w:r>
      <w:r w:rsidRPr="004B644F">
        <w:rPr>
          <w:rFonts w:ascii="Gentium" w:hAnsi="Gentium"/>
          <w:color w:val="000000"/>
        </w:rPr>
        <w:t xml:space="preserve">what </w:t>
      </w:r>
      <w:r>
        <w:rPr>
          <w:rFonts w:ascii="Gentium" w:hAnsi="Gentium"/>
        </w:rPr>
        <w:t>is their Conception of t</w:t>
      </w:r>
      <w:r w:rsidRPr="00726127">
        <w:rPr>
          <w:rFonts w:ascii="Gentium" w:hAnsi="Gentium"/>
        </w:rPr>
        <w:t>heir Professional Development.” M.Sc. thesis, Department of Educational Studies, University of Oxford, 1999. 96 pp.</w:t>
      </w:r>
    </w:p>
    <w:p w14:paraId="7D099497" w14:textId="77777777" w:rsidR="00EA60B1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Bianquis, Thierry. “Fatimids,” “Hākim, Al - (985-1021).” In </w:t>
      </w:r>
      <w:r w:rsidRPr="00660D1C">
        <w:rPr>
          <w:rFonts w:ascii="Gentium" w:hAnsi="Gentium"/>
          <w:i/>
        </w:rPr>
        <w:t>Encyclopedia of the Middle Ages</w:t>
      </w:r>
      <w:r w:rsidRPr="00660D1C">
        <w:rPr>
          <w:rFonts w:ascii="Gentium" w:hAnsi="Gentium"/>
        </w:rPr>
        <w:t>. 2 vols. Edited by André Vauchez, R. B. Dobson, and Michael Lapidge, 1:535; 1:654. Paris: Cerf, 2000.</w:t>
      </w:r>
    </w:p>
    <w:p w14:paraId="739659AA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Bierman, Irene A. “Fatimid Art.” In </w:t>
      </w:r>
      <w:r w:rsidRPr="00660D1C">
        <w:rPr>
          <w:rFonts w:ascii="Gentium" w:hAnsi="Gentium"/>
          <w:i/>
        </w:rPr>
        <w:t>Dictionary of the Middle Ages</w:t>
      </w:r>
      <w:r w:rsidRPr="00660D1C">
        <w:rPr>
          <w:rFonts w:ascii="Gentium" w:hAnsi="Gentium"/>
        </w:rPr>
        <w:t>. 13 vols. Edited by Joseph R. Strayer, 5:2</w:t>
      </w:r>
      <w:r>
        <w:rPr>
          <w:rFonts w:ascii="Gentium" w:hAnsi="Gentium"/>
        </w:rPr>
        <w:t>1-24. New York: Scribner, 1982-</w:t>
      </w:r>
      <w:r w:rsidRPr="00660D1C">
        <w:rPr>
          <w:rFonts w:ascii="Gentium" w:hAnsi="Gentium"/>
        </w:rPr>
        <w:t>1989.</w:t>
      </w:r>
    </w:p>
    <w:p w14:paraId="69FAD5DA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___. “Fatimid Practice: A Parallax of Judgment.” In </w:t>
      </w:r>
      <w:r w:rsidRPr="00660D1C">
        <w:rPr>
          <w:rFonts w:ascii="Gentium" w:hAnsi="Gentium"/>
          <w:i/>
        </w:rPr>
        <w:t>Writing Identity in Medieval Cairo</w:t>
      </w:r>
      <w:r w:rsidRPr="00660D1C">
        <w:rPr>
          <w:rFonts w:ascii="Gentium" w:hAnsi="Gentium"/>
        </w:rPr>
        <w:t>. UCLA Near East Centre Colloquium Series. Edited by Irene A. Bierman, 1-22. Los Angeles: Center for Near Eastern Studies, UCLA, 1995.</w:t>
      </w:r>
    </w:p>
    <w:p w14:paraId="56EAF937" w14:textId="77777777" w:rsidR="00EA60B1" w:rsidRPr="00660D1C" w:rsidRDefault="00EA60B1" w:rsidP="00EA60B1">
      <w:pPr>
        <w:rPr>
          <w:rFonts w:ascii="Gentium" w:hAnsi="Gentium"/>
        </w:rPr>
      </w:pPr>
      <w:r w:rsidRPr="00660D1C">
        <w:t xml:space="preserve"> </w:t>
      </w:r>
      <w:r w:rsidRPr="00660D1C">
        <w:rPr>
          <w:rFonts w:ascii="Gentium" w:hAnsi="Gentium"/>
        </w:rPr>
        <w:t xml:space="preserve">___. “Writing Signs of the Fatimid State.” </w:t>
      </w:r>
      <w:r w:rsidRPr="00660D1C">
        <w:rPr>
          <w:rFonts w:ascii="Gentium" w:hAnsi="Gentium"/>
          <w:i/>
        </w:rPr>
        <w:t>Journal of Druze Studies</w:t>
      </w:r>
      <w:r w:rsidRPr="00660D1C">
        <w:rPr>
          <w:rFonts w:ascii="Gentium" w:hAnsi="Gentium"/>
        </w:rPr>
        <w:t xml:space="preserve"> 1:1 (2000): 13-26.</w:t>
      </w:r>
    </w:p>
    <w:p w14:paraId="0F6797D6" w14:textId="77777777" w:rsidR="00EA60B1" w:rsidRPr="00E145A9" w:rsidRDefault="00EA60B1" w:rsidP="00EA60B1">
      <w:pPr>
        <w:rPr>
          <w:rFonts w:ascii="Gentium" w:hAnsi="Gentium"/>
          <w:szCs w:val="24"/>
        </w:rPr>
      </w:pPr>
      <w:r w:rsidRPr="00E145A9">
        <w:rPr>
          <w:rFonts w:ascii="Gentium" w:hAnsi="Gentium"/>
          <w:szCs w:val="24"/>
        </w:rPr>
        <w:t xml:space="preserve">Björnesjö, Sophia. “Approche archéologique d’une céramique ‘de luxe’: </w:t>
      </w:r>
      <w:r w:rsidRPr="00E145A9">
        <w:rPr>
          <w:rFonts w:ascii="Gentium" w:hAnsi="Gentium"/>
          <w:color w:val="000000"/>
          <w:szCs w:val="24"/>
        </w:rPr>
        <w:t>L</w:t>
      </w:r>
      <w:r w:rsidRPr="00E145A9">
        <w:rPr>
          <w:rFonts w:ascii="Gentium" w:hAnsi="Gentium"/>
          <w:szCs w:val="24"/>
        </w:rPr>
        <w:t xml:space="preserve">a céramique á lustre métallique dans l’Egypte fatimide.” In </w:t>
      </w:r>
      <w:r w:rsidRPr="00E145A9">
        <w:rPr>
          <w:rFonts w:ascii="Gentium" w:hAnsi="Gentium"/>
          <w:i/>
          <w:szCs w:val="24"/>
        </w:rPr>
        <w:t>La céramique médiévale en Méditerranée: Actes du VI</w:t>
      </w:r>
      <w:r w:rsidRPr="00E145A9">
        <w:rPr>
          <w:rFonts w:ascii="Gentium" w:hAnsi="Gentium"/>
          <w:i/>
          <w:szCs w:val="24"/>
          <w:vertAlign w:val="superscript"/>
        </w:rPr>
        <w:t>E</w:t>
      </w:r>
      <w:r w:rsidRPr="00E145A9">
        <w:rPr>
          <w:rFonts w:ascii="Gentium" w:hAnsi="Gentium"/>
          <w:i/>
          <w:szCs w:val="24"/>
        </w:rPr>
        <w:t xml:space="preserve"> Congrès de l’AIECM2, Aix-en-Provence (13-18 novembre 1995)</w:t>
      </w:r>
      <w:r w:rsidRPr="00E145A9">
        <w:rPr>
          <w:rFonts w:ascii="Gentium" w:hAnsi="Gentium"/>
          <w:szCs w:val="24"/>
        </w:rPr>
        <w:t>. Edited by Gabrielle Démians d’Archimbaud, 271-275. Aix-en-Provence: Narration, 1997.</w:t>
      </w:r>
    </w:p>
    <w:p w14:paraId="1438B2F4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Blois, François de. “The Oldest Known Fāṭimid Manuscript from Yemen.” </w:t>
      </w:r>
      <w:r w:rsidRPr="00660D1C">
        <w:rPr>
          <w:rFonts w:ascii="Gentium" w:hAnsi="Gentium"/>
          <w:i/>
        </w:rPr>
        <w:t xml:space="preserve">Proceedings of the Seminar for Arabian Studies </w:t>
      </w:r>
      <w:r w:rsidRPr="00660D1C">
        <w:rPr>
          <w:rFonts w:ascii="Gentium" w:hAnsi="Gentium"/>
        </w:rPr>
        <w:t>14 (1984): 1-7.</w:t>
      </w:r>
    </w:p>
    <w:p w14:paraId="5E35F5AF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Bloom, Jonathan M. “Azhar, al-,” “Badr al-Jamāli.” In </w:t>
      </w:r>
      <w:r w:rsidRPr="00660D1C">
        <w:rPr>
          <w:rFonts w:ascii="Gentium" w:hAnsi="Gentium"/>
          <w:i/>
        </w:rPr>
        <w:t>Dictionary of the Middle Ages</w:t>
      </w:r>
      <w:r w:rsidRPr="00660D1C">
        <w:rPr>
          <w:rFonts w:ascii="Gentium" w:hAnsi="Gentium"/>
        </w:rPr>
        <w:t>. 13 vols. Edited by Joseph R. Strayer, 2:27-28; 2:44. New York: Scribner, 1982-1989.</w:t>
      </w:r>
    </w:p>
    <w:p w14:paraId="571F1982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___. “Fatimid.” In </w:t>
      </w:r>
      <w:r w:rsidRPr="00660D1C">
        <w:rPr>
          <w:rFonts w:ascii="Gentium" w:hAnsi="Gentium"/>
          <w:i/>
        </w:rPr>
        <w:t>The Dictionary of Art</w:t>
      </w:r>
      <w:r>
        <w:rPr>
          <w:rFonts w:ascii="Gentium" w:hAnsi="Gentium"/>
        </w:rPr>
        <w:t>. 34 vols. Edited by Jane Turner,</w:t>
      </w:r>
      <w:r w:rsidRPr="00660D1C">
        <w:rPr>
          <w:rFonts w:ascii="Gentium" w:hAnsi="Gentium"/>
        </w:rPr>
        <w:t xml:space="preserve"> 10:832-833. New York: Grove, 1996.</w:t>
      </w:r>
    </w:p>
    <w:p w14:paraId="5F226F62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___. “Walled Cities in Islamic North Africa and Egypt with Particular Reference to the Fatimids (909-1171).” In </w:t>
      </w:r>
      <w:r w:rsidRPr="00660D1C">
        <w:rPr>
          <w:rFonts w:ascii="Gentium" w:hAnsi="Gentium"/>
          <w:i/>
        </w:rPr>
        <w:t>City Walls: The Urban Enceinte in Global Perspective</w:t>
      </w:r>
      <w:r w:rsidRPr="00660D1C">
        <w:rPr>
          <w:rFonts w:ascii="Gentium" w:hAnsi="Gentium"/>
        </w:rPr>
        <w:t>. Studies in Comparative Early Modern History. Edited by James D. Tracy, 219-246. New York: Cambridge University Press, 2000.</w:t>
      </w:r>
    </w:p>
    <w:p w14:paraId="4717F6AA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Bortels, Ingrid. “De luister van de Fatimidische luster in Egypte: Studie en vertaling van een fragment uit Zaky Muḥammad Ḥasan’s </w:t>
      </w:r>
      <w:r w:rsidRPr="00660D1C">
        <w:rPr>
          <w:rFonts w:ascii="Gentium" w:hAnsi="Gentium"/>
          <w:i/>
        </w:rPr>
        <w:t>Funūn</w:t>
      </w:r>
      <w:r w:rsidRPr="00660D1C">
        <w:rPr>
          <w:rFonts w:ascii="Gentium" w:hAnsi="Gentium"/>
        </w:rPr>
        <w:t xml:space="preserve"> </w:t>
      </w:r>
      <w:r w:rsidRPr="00660D1C">
        <w:rPr>
          <w:rFonts w:ascii="Gentium" w:hAnsi="Gentium"/>
          <w:i/>
        </w:rPr>
        <w:t>al-Fāṭimīyīn</w:t>
      </w:r>
      <w:r w:rsidRPr="00660D1C">
        <w:rPr>
          <w:rFonts w:ascii="Gentium" w:hAnsi="Gentium"/>
        </w:rPr>
        <w:t xml:space="preserve">.” Licentiaat (M.A.) diss., Katholieke </w:t>
      </w:r>
      <w:r>
        <w:rPr>
          <w:rFonts w:ascii="Gentium" w:hAnsi="Gentium"/>
        </w:rPr>
        <w:t xml:space="preserve">Universiteit Leuven, 2000-2001. </w:t>
      </w:r>
      <w:r w:rsidRPr="00660D1C">
        <w:rPr>
          <w:rFonts w:ascii="Gentium" w:hAnsi="Gentium"/>
        </w:rPr>
        <w:t>128 pp. [In Dutch]</w:t>
      </w:r>
    </w:p>
    <w:p w14:paraId="7D5EBF75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Borthwick, Bruce. “The Ismailis and Islamization in Pakistan.” In </w:t>
      </w:r>
      <w:r w:rsidRPr="00660D1C">
        <w:rPr>
          <w:rFonts w:ascii="Gentium" w:hAnsi="Gentium"/>
          <w:i/>
        </w:rPr>
        <w:t>Islam and Democracy in Pakistan</w:t>
      </w:r>
      <w:r w:rsidRPr="00660D1C">
        <w:rPr>
          <w:rFonts w:ascii="Gentium" w:hAnsi="Gentium"/>
        </w:rPr>
        <w:t>. Historical Studies (Pakistan) Series 13. Edited by Muhammad Aslam Syed, 169-205. Islamabad, Pakistan: National Institute of Historical and Cultural Research, 1995.</w:t>
      </w:r>
    </w:p>
    <w:p w14:paraId="36E3D454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Bose, Mihir. </w:t>
      </w:r>
      <w:r w:rsidRPr="00660D1C">
        <w:rPr>
          <w:rFonts w:ascii="Gentium" w:hAnsi="Gentium"/>
          <w:i/>
        </w:rPr>
        <w:t>The Aga Khans</w:t>
      </w:r>
      <w:r w:rsidRPr="00660D1C">
        <w:rPr>
          <w:rFonts w:ascii="Gentium" w:hAnsi="Gentium"/>
        </w:rPr>
        <w:t xml:space="preserve">. Kingswood: World’s Work, 1984. 399 pp., + 16 plates.  </w:t>
      </w:r>
    </w:p>
    <w:p w14:paraId="5D5578D9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Böwering, Gerhard. “Identity Problems of an Islamic Sect.” In </w:t>
      </w:r>
      <w:r w:rsidRPr="00660D1C">
        <w:rPr>
          <w:rFonts w:ascii="Gentium" w:hAnsi="Gentium"/>
          <w:i/>
        </w:rPr>
        <w:t>Identity and Division in Cults and Sects in South Asia</w:t>
      </w:r>
      <w:r w:rsidRPr="00660D1C">
        <w:rPr>
          <w:rFonts w:ascii="Gentium" w:hAnsi="Gentium"/>
        </w:rPr>
        <w:t xml:space="preserve">. Proceedings of the South Asia Seminar I, 1980-1981. Edited by David A. Utz and Peter Gaeffke, 114-120. Philadelphia: Department of South Asia Regional Studies, 1984. </w:t>
      </w:r>
    </w:p>
    <w:p w14:paraId="330A10F9" w14:textId="77777777" w:rsidR="00EA60B1" w:rsidRPr="00660D1C" w:rsidRDefault="00EA60B1" w:rsidP="00EA60B1">
      <w:pPr>
        <w:rPr>
          <w:rFonts w:ascii="Gentium" w:hAnsi="Gentium"/>
        </w:rPr>
      </w:pPr>
      <w:r w:rsidRPr="0017363B">
        <w:rPr>
          <w:rFonts w:ascii="Gentium" w:hAnsi="Gentium"/>
          <w:szCs w:val="24"/>
        </w:rPr>
        <w:t xml:space="preserve">Bramoullé, David. “Espaces et structures de l’échange sur les littoraux orientaux du monde fatimide.” In </w:t>
      </w:r>
      <w:r w:rsidRPr="0017363B">
        <w:rPr>
          <w:rFonts w:ascii="Gentium" w:hAnsi="Gentium"/>
          <w:i/>
          <w:szCs w:val="24"/>
        </w:rPr>
        <w:t>Chrétiens et musulmans en Méditerranée médiévale (VIII</w:t>
      </w:r>
      <w:r w:rsidRPr="0017363B">
        <w:rPr>
          <w:rFonts w:ascii="Gentium" w:hAnsi="Gentium"/>
          <w:i/>
          <w:szCs w:val="24"/>
          <w:vertAlign w:val="superscript"/>
        </w:rPr>
        <w:t>e</w:t>
      </w:r>
      <w:r w:rsidRPr="0017363B">
        <w:rPr>
          <w:rFonts w:ascii="Gentium" w:hAnsi="Gentium"/>
          <w:i/>
          <w:szCs w:val="24"/>
        </w:rPr>
        <w:t>-XIII</w:t>
      </w:r>
      <w:r w:rsidRPr="0017363B">
        <w:rPr>
          <w:rFonts w:ascii="Gentium" w:hAnsi="Gentium"/>
          <w:i/>
          <w:szCs w:val="24"/>
          <w:vertAlign w:val="superscript"/>
        </w:rPr>
        <w:t>e</w:t>
      </w:r>
      <w:r w:rsidRPr="0017363B">
        <w:rPr>
          <w:rFonts w:ascii="Gentium" w:hAnsi="Gentium"/>
          <w:i/>
          <w:szCs w:val="24"/>
        </w:rPr>
        <w:t xml:space="preserve"> siècle): Échanges et contacts</w:t>
      </w:r>
      <w:r w:rsidRPr="0017363B">
        <w:rPr>
          <w:rFonts w:ascii="Gentium" w:hAnsi="Gentium"/>
          <w:szCs w:val="24"/>
        </w:rPr>
        <w:t>. Civilisation médiévale 15. Edited by Nicolas Prouteau and Philippe Sénac, 79-92. Poitiers: Centre d’études supérieures de civilisation médiévale, 2003.</w:t>
      </w:r>
    </w:p>
    <w:p w14:paraId="2439E8C4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Braune, Michael. “Untersuchungen zur mittelalterlichen Befestigung in Nordwest-Syrien: Die Assassinenburg Masyâf.” </w:t>
      </w:r>
      <w:r w:rsidRPr="00660D1C">
        <w:rPr>
          <w:rFonts w:ascii="Gentium" w:hAnsi="Gentium"/>
          <w:i/>
        </w:rPr>
        <w:t>Damaszener Mitteilungen</w:t>
      </w:r>
      <w:r w:rsidRPr="00660D1C">
        <w:rPr>
          <w:rFonts w:ascii="Gentium" w:hAnsi="Gentium"/>
        </w:rPr>
        <w:t xml:space="preserve"> 7 (1993): 297–326., + 10 plates (68-78).  </w:t>
      </w:r>
    </w:p>
    <w:p w14:paraId="5CA3658B" w14:textId="77777777" w:rsidR="00EA60B1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>Bredi, Daniela. “Continuity and Change in Women</w:t>
      </w:r>
      <w:r>
        <w:rPr>
          <w:rFonts w:ascii="Gentium" w:hAnsi="Gentium"/>
        </w:rPr>
        <w:t>’s Role in Indo-Muslim Society S</w:t>
      </w:r>
      <w:r w:rsidRPr="00660D1C">
        <w:rPr>
          <w:rFonts w:ascii="Gentium" w:hAnsi="Gentium"/>
        </w:rPr>
        <w:t xml:space="preserve">een through a Few Female Members of the Tyabji Family.” </w:t>
      </w:r>
      <w:r w:rsidRPr="00660D1C">
        <w:rPr>
          <w:rFonts w:ascii="Gentium" w:hAnsi="Gentium"/>
          <w:i/>
        </w:rPr>
        <w:t>Annali di Ca’ Foscari</w:t>
      </w:r>
      <w:r w:rsidRPr="00660D1C">
        <w:rPr>
          <w:rFonts w:ascii="Gentium" w:hAnsi="Gentium"/>
        </w:rPr>
        <w:t xml:space="preserve"> 42:3 (2003): 223-241.</w:t>
      </w:r>
    </w:p>
    <w:p w14:paraId="037B6422" w14:textId="77777777" w:rsidR="00EA60B1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Bresc, Henri. “Les Fatimides, les Croisés et l’habitat fortifié.” In </w:t>
      </w:r>
      <w:r w:rsidRPr="00660D1C">
        <w:rPr>
          <w:rFonts w:ascii="Gentium" w:hAnsi="Gentium"/>
          <w:i/>
        </w:rPr>
        <w:t>Habitats fortifiés et organisation de l’espace en Méditerranée médiévale: Table ronde tenue à Lyon les 4 et 5 mai 1982</w:t>
      </w:r>
      <w:r w:rsidRPr="00660D1C">
        <w:rPr>
          <w:rFonts w:ascii="Gentium" w:hAnsi="Gentium"/>
        </w:rPr>
        <w:t>. Travaux de la Maison de l’Orient 4. Edited by Andrés Bazzana, Pierre Guichard, and J. M. Poisson, 29-34. Lyon: Maison de l’Orient, 1983.</w:t>
      </w:r>
    </w:p>
    <w:p w14:paraId="2FBD2FA3" w14:textId="77777777" w:rsidR="00EA60B1" w:rsidRPr="002A38A2" w:rsidRDefault="00EA60B1" w:rsidP="00EA60B1">
      <w:pPr>
        <w:rPr>
          <w:rFonts w:ascii="Gentium" w:hAnsi="Gentium"/>
        </w:rPr>
      </w:pPr>
      <w:r w:rsidRPr="00925621">
        <w:rPr>
          <w:rFonts w:ascii="Gentium" w:hAnsi="Gentium"/>
          <w:color w:val="000000"/>
        </w:rPr>
        <w:t xml:space="preserve">El Briga, C. “Fatimites.” In </w:t>
      </w:r>
      <w:r w:rsidRPr="00925621">
        <w:rPr>
          <w:rFonts w:ascii="Gentium" w:hAnsi="Gentium"/>
          <w:i/>
          <w:color w:val="000000"/>
        </w:rPr>
        <w:t>Encyclopédie Berbère</w:t>
      </w:r>
      <w:r w:rsidRPr="00925621">
        <w:rPr>
          <w:rFonts w:ascii="Gentium" w:hAnsi="Gentium"/>
          <w:color w:val="000000"/>
        </w:rPr>
        <w:t>. 36+ vols. Edited by Gabriel Camps et al., 18</w:t>
      </w:r>
      <w:r>
        <w:rPr>
          <w:rFonts w:ascii="Gentium" w:hAnsi="Gentium"/>
          <w:color w:val="000000"/>
        </w:rPr>
        <w:t>:</w:t>
      </w:r>
      <w:r w:rsidRPr="00925621">
        <w:rPr>
          <w:rFonts w:ascii="Gentium" w:hAnsi="Gentium"/>
          <w:color w:val="000000"/>
        </w:rPr>
        <w:t>2732-2736. Aix-en-Provence, France: EDISUD, 1984-.</w:t>
      </w:r>
    </w:p>
    <w:p w14:paraId="07D95E67" w14:textId="77777777" w:rsidR="00EA60B1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Brisch, Klaus. “Beobachtungen zu einer kleinen Holztafel mit Miḥrāb: Ein Beitrag zur Frömmigkeitsgeschichte im fatimidischen Ägypten.” In </w:t>
      </w:r>
      <w:r w:rsidRPr="00660D1C">
        <w:rPr>
          <w:rFonts w:ascii="Gentium" w:hAnsi="Gentium"/>
          <w:i/>
        </w:rPr>
        <w:t>Einblicke-Einsichten-Aussichten: Aus der Arbeit der Staatlichen Museen Preußischer Kulturbesitz in Berlin</w:t>
      </w:r>
      <w:r w:rsidRPr="00660D1C">
        <w:rPr>
          <w:rFonts w:ascii="Gentium" w:hAnsi="Gentium"/>
        </w:rPr>
        <w:t>, 59-69. Jahrbuch Preußischer Kulturbesitz, Sonderband 1. Berlin: Mann, 1983.</w:t>
      </w:r>
    </w:p>
    <w:p w14:paraId="39075542" w14:textId="77777777" w:rsidR="00EA60B1" w:rsidRPr="00660D1C" w:rsidRDefault="00EA60B1" w:rsidP="00EA60B1">
      <w:pPr>
        <w:rPr>
          <w:rFonts w:ascii="Gentium" w:hAnsi="Gentium"/>
        </w:rPr>
      </w:pPr>
      <w:r w:rsidRPr="00542BF8">
        <w:rPr>
          <w:rFonts w:ascii="Gentium" w:hAnsi="Gentium"/>
          <w:color w:val="000000"/>
        </w:rPr>
        <w:t>Brown,</w:t>
      </w:r>
      <w:r w:rsidRPr="00660D1C">
        <w:rPr>
          <w:rFonts w:ascii="Gentium" w:hAnsi="Gentium"/>
        </w:rPr>
        <w:t xml:space="preserve"> Helen Mitchell. “Early Silver Coinage of the Fatimids.” </w:t>
      </w:r>
      <w:r w:rsidRPr="00660D1C">
        <w:rPr>
          <w:rFonts w:ascii="Gentium" w:hAnsi="Gentium"/>
          <w:i/>
        </w:rPr>
        <w:t xml:space="preserve">Rivista Italiana di Numismática e Scienze Affini </w:t>
      </w:r>
      <w:r w:rsidRPr="00660D1C">
        <w:rPr>
          <w:rFonts w:ascii="Gentium" w:hAnsi="Gentium"/>
        </w:rPr>
        <w:t>86 (1984): 61-73.</w:t>
      </w:r>
    </w:p>
    <w:p w14:paraId="695E9586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Bürgel, J. Christoph. “Güngör Dilmen and His Play </w:t>
      </w:r>
      <w:r w:rsidRPr="00660D1C">
        <w:rPr>
          <w:rFonts w:ascii="Gentium" w:hAnsi="Gentium"/>
          <w:i/>
        </w:rPr>
        <w:t>Hasan Sabbah</w:t>
      </w:r>
      <w:r w:rsidRPr="00660D1C">
        <w:rPr>
          <w:rFonts w:ascii="Gentium" w:hAnsi="Gentium"/>
        </w:rPr>
        <w:t xml:space="preserve">.” In </w:t>
      </w:r>
      <w:r w:rsidRPr="00660D1C">
        <w:rPr>
          <w:rFonts w:ascii="Gentium" w:hAnsi="Gentium"/>
          <w:i/>
        </w:rPr>
        <w:t>Cultural Horizons: A Festschrift in Honor of Talat S. Halman</w:t>
      </w:r>
      <w:r w:rsidRPr="00660D1C">
        <w:rPr>
          <w:rFonts w:ascii="Gentium" w:hAnsi="Gentium"/>
        </w:rPr>
        <w:t>. 2 vols. Edited by Jayne L. Warner, 1:538-544. N.Y.: Syracuse University Press, 2001.</w:t>
      </w:r>
    </w:p>
    <w:p w14:paraId="6C9B19A2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>Buyukkara, M. Ali. “The Fāṭimid Imāms and ‘The People of the Book’ (</w:t>
      </w:r>
      <w:r w:rsidRPr="00660D1C">
        <w:rPr>
          <w:rFonts w:ascii="Gentium" w:hAnsi="Gentium"/>
          <w:i/>
        </w:rPr>
        <w:t>Ahl al-Kitāb</w:t>
      </w:r>
      <w:r w:rsidRPr="00660D1C">
        <w:rPr>
          <w:rFonts w:ascii="Gentium" w:hAnsi="Gentium"/>
        </w:rPr>
        <w:t xml:space="preserve">).” </w:t>
      </w:r>
      <w:r w:rsidRPr="00660D1C">
        <w:rPr>
          <w:rFonts w:ascii="Gentium" w:hAnsi="Gentium"/>
          <w:i/>
        </w:rPr>
        <w:t>Hamdard Islamicus</w:t>
      </w:r>
      <w:r w:rsidRPr="00660D1C">
        <w:rPr>
          <w:rFonts w:ascii="Gentium" w:hAnsi="Gentium"/>
        </w:rPr>
        <w:t xml:space="preserve"> 25:2 (2002): 51-57.</w:t>
      </w:r>
    </w:p>
    <w:p w14:paraId="15334188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Cadenat, Pierre. “Découverte à Tihert-Tagdempt d’un </w:t>
      </w:r>
      <w:r w:rsidRPr="00424EDE">
        <w:rPr>
          <w:rFonts w:ascii="Gentium" w:hAnsi="Gentium"/>
        </w:rPr>
        <w:t>‘Dénéral’ d’époque</w:t>
      </w:r>
      <w:r w:rsidRPr="00660D1C">
        <w:rPr>
          <w:rFonts w:ascii="Gentium" w:hAnsi="Gentium"/>
        </w:rPr>
        <w:t xml:space="preserve"> fatimide.” </w:t>
      </w:r>
      <w:r w:rsidRPr="00660D1C">
        <w:rPr>
          <w:rFonts w:ascii="Gentium" w:hAnsi="Gentium"/>
          <w:i/>
        </w:rPr>
        <w:t>Revue Africaine</w:t>
      </w:r>
      <w:r w:rsidRPr="00660D1C">
        <w:rPr>
          <w:rFonts w:ascii="Gentium" w:hAnsi="Gentium"/>
        </w:rPr>
        <w:t xml:space="preserve"> 103:</w:t>
      </w:r>
      <w:r w:rsidRPr="005765BA">
        <w:rPr>
          <w:rFonts w:ascii="Gentium" w:hAnsi="Gentium"/>
        </w:rPr>
        <w:t>460-461</w:t>
      </w:r>
      <w:r w:rsidRPr="00660D1C">
        <w:rPr>
          <w:rFonts w:ascii="Gentium" w:hAnsi="Gentium"/>
        </w:rPr>
        <w:t xml:space="preserve"> (1959): 346-347.</w:t>
      </w:r>
      <w:r w:rsidRPr="00660D1C">
        <w:rPr>
          <w:rFonts w:ascii="Gentium" w:hAnsi="Gentium"/>
        </w:rPr>
        <w:tab/>
      </w:r>
    </w:p>
    <w:p w14:paraId="6A65C49D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Caiger-Smith, Alan. “Egyptian Lustre of the Fatimid Period.” </w:t>
      </w:r>
      <w:r w:rsidRPr="00660D1C">
        <w:rPr>
          <w:rFonts w:ascii="Gentium" w:hAnsi="Gentium"/>
          <w:i/>
        </w:rPr>
        <w:t>Ur</w:t>
      </w:r>
      <w:r w:rsidRPr="00660D1C">
        <w:rPr>
          <w:rFonts w:ascii="Gentium" w:hAnsi="Gentium"/>
        </w:rPr>
        <w:t xml:space="preserve"> 2 (1985): 42-46.</w:t>
      </w:r>
    </w:p>
    <w:p w14:paraId="5D349C71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Calasso, Giovanna. “Les tâches du voyageur: Décrire, mesurer, compter, chez Ibn Jubayr, Nāṣer-e Khosrow et Ibn Baṭṭūṭa.” </w:t>
      </w:r>
      <w:r w:rsidRPr="00660D1C">
        <w:rPr>
          <w:rFonts w:ascii="Gentium" w:hAnsi="Gentium"/>
          <w:i/>
        </w:rPr>
        <w:t>Rivista degli Studi Orientali</w:t>
      </w:r>
      <w:r w:rsidRPr="00660D1C">
        <w:rPr>
          <w:rFonts w:ascii="Gentium" w:hAnsi="Gentium"/>
        </w:rPr>
        <w:t xml:space="preserve"> 73:1-4 (1999): 69-104.</w:t>
      </w:r>
    </w:p>
    <w:p w14:paraId="466279FC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Calderini, Simonetta. “Cosmology and Authority in Medieval Ismailism.” </w:t>
      </w:r>
      <w:r w:rsidRPr="00660D1C">
        <w:rPr>
          <w:rFonts w:ascii="Gentium" w:hAnsi="Gentium"/>
          <w:i/>
        </w:rPr>
        <w:t>Diskus: The On-Disk Journal of International Religious Studies</w:t>
      </w:r>
      <w:r w:rsidRPr="00660D1C">
        <w:rPr>
          <w:rFonts w:ascii="Gentium" w:hAnsi="Gentium"/>
        </w:rPr>
        <w:t xml:space="preserve"> 4:1 (1996): 11-22.</w:t>
      </w:r>
    </w:p>
    <w:p w14:paraId="4AEE97B5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Camón Aznar, José. “Las piezas de cristal de roca y arte fāṭimī encontrados en España: Lote del Monasterio de Celanova.” </w:t>
      </w:r>
      <w:r w:rsidRPr="00660D1C">
        <w:rPr>
          <w:rFonts w:ascii="Gentium" w:hAnsi="Gentium"/>
          <w:i/>
        </w:rPr>
        <w:t>al-Andalus</w:t>
      </w:r>
      <w:r w:rsidRPr="00660D1C">
        <w:rPr>
          <w:rFonts w:ascii="Gentium" w:hAnsi="Gentium"/>
        </w:rPr>
        <w:t xml:space="preserve"> 4:2 (1936-1939): 396-405.</w:t>
      </w:r>
    </w:p>
    <w:p w14:paraId="3E3EC874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Carboni, Stefano. “Fatimidi.” In </w:t>
      </w:r>
      <w:r w:rsidRPr="00660D1C">
        <w:rPr>
          <w:rFonts w:ascii="Gentium" w:hAnsi="Gentium"/>
          <w:i/>
        </w:rPr>
        <w:t>Enciclopedia dell’Arte Medievale</w:t>
      </w:r>
      <w:r w:rsidRPr="00660D1C">
        <w:rPr>
          <w:rFonts w:ascii="Gentium" w:hAnsi="Gentium"/>
        </w:rPr>
        <w:t>. 12 vols. 6:95-102. Roma: Istituto della Enciclopedia Italiana, 1991-2002.</w:t>
      </w:r>
    </w:p>
    <w:p w14:paraId="099CF1D8" w14:textId="77777777" w:rsidR="00EA60B1" w:rsidRPr="00660D1C" w:rsidRDefault="00EA60B1" w:rsidP="00EA60B1">
      <w:pPr>
        <w:rPr>
          <w:rFonts w:ascii="Gentium" w:hAnsi="Gentium"/>
        </w:rPr>
      </w:pPr>
      <w:r w:rsidRPr="00542BF8">
        <w:rPr>
          <w:rFonts w:ascii="Gentium" w:hAnsi="Gentium"/>
        </w:rPr>
        <w:t xml:space="preserve">Carney, </w:t>
      </w:r>
      <w:r w:rsidRPr="00542BF8">
        <w:rPr>
          <w:rFonts w:ascii="Calibri" w:hAnsi="Calibri" w:cs="Calibri"/>
        </w:rPr>
        <w:t>ʿ</w:t>
      </w:r>
      <w:r w:rsidRPr="00542BF8">
        <w:rPr>
          <w:rFonts w:ascii="Gentium" w:hAnsi="Gentium"/>
        </w:rPr>
        <w:t>Abd al-Hakeem (Seth).</w:t>
      </w:r>
      <w:r w:rsidRPr="00660D1C">
        <w:rPr>
          <w:rFonts w:ascii="Gentium" w:hAnsi="Gentium"/>
        </w:rPr>
        <w:t xml:space="preserve"> “The </w:t>
      </w:r>
      <w:r w:rsidRPr="00660D1C">
        <w:rPr>
          <w:rFonts w:ascii="Gentium" w:hAnsi="Gentium"/>
          <w:i/>
        </w:rPr>
        <w:t>Theos Agnostos</w:t>
      </w:r>
      <w:r w:rsidRPr="00660D1C">
        <w:rPr>
          <w:rFonts w:ascii="Gentium" w:hAnsi="Gentium"/>
        </w:rPr>
        <w:t xml:space="preserve">: Ismaili and Shaykhi Perspectives.” </w:t>
      </w:r>
      <w:r w:rsidRPr="00660D1C">
        <w:rPr>
          <w:rFonts w:ascii="Gentium" w:hAnsi="Gentium"/>
          <w:i/>
        </w:rPr>
        <w:t>Journal for Islamic Studies</w:t>
      </w:r>
      <w:r w:rsidRPr="00660D1C">
        <w:rPr>
          <w:rFonts w:ascii="Gentium" w:hAnsi="Gentium"/>
        </w:rPr>
        <w:t xml:space="preserve"> 23 (2003): 3-35.</w:t>
      </w:r>
    </w:p>
    <w:p w14:paraId="64F6ADEE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Carson, Andrew D., and Nazar M. Altai. “1000 Years before Parsons: Vocational Psychology in Classical Islam.” </w:t>
      </w:r>
      <w:r w:rsidRPr="00660D1C">
        <w:rPr>
          <w:rFonts w:ascii="Gentium" w:hAnsi="Gentium"/>
          <w:i/>
        </w:rPr>
        <w:t>Career Development Quarterly</w:t>
      </w:r>
      <w:r w:rsidRPr="00660D1C">
        <w:rPr>
          <w:rFonts w:ascii="Gentium" w:hAnsi="Gentium"/>
        </w:rPr>
        <w:t xml:space="preserve"> 43:2 (1994): 197-206.</w:t>
      </w:r>
    </w:p>
    <w:p w14:paraId="667B61B8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Casamar Pérez, Manuel, and Fernando Valdés Fernández. “Saqueo o comercio: La difusión del arte fatimí en la Península Ibérica.” </w:t>
      </w:r>
      <w:r w:rsidRPr="00660D1C">
        <w:rPr>
          <w:rFonts w:ascii="Gentium" w:hAnsi="Gentium"/>
          <w:i/>
        </w:rPr>
        <w:t>Codex Aqvilarensis: Cuadernos de Investigación del Monasterio de Santa María la Real</w:t>
      </w:r>
      <w:r w:rsidRPr="00660D1C">
        <w:rPr>
          <w:rFonts w:ascii="Gentium" w:hAnsi="Gentium"/>
        </w:rPr>
        <w:t xml:space="preserve"> 14 (1999): 133-160.</w:t>
      </w:r>
    </w:p>
    <w:p w14:paraId="2660BD04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Casto, Don, III. “Marijuana and the Assassins, </w:t>
      </w:r>
      <w:r w:rsidRPr="001859D3">
        <w:rPr>
          <w:rFonts w:ascii="Gentium" w:hAnsi="Gentium"/>
        </w:rPr>
        <w:t>an</w:t>
      </w:r>
      <w:r w:rsidRPr="00660D1C">
        <w:rPr>
          <w:rFonts w:ascii="Gentium" w:hAnsi="Gentium"/>
        </w:rPr>
        <w:t xml:space="preserve"> Etymological Investigation.” </w:t>
      </w:r>
      <w:r w:rsidRPr="00660D1C">
        <w:rPr>
          <w:rFonts w:ascii="Gentium" w:hAnsi="Gentium"/>
          <w:i/>
        </w:rPr>
        <w:t xml:space="preserve">British Journal of Addiction </w:t>
      </w:r>
      <w:r w:rsidRPr="00660D1C">
        <w:rPr>
          <w:rFonts w:ascii="Gentium" w:hAnsi="Gentium"/>
        </w:rPr>
        <w:t>65:3 (1970): 219-225.</w:t>
      </w:r>
    </w:p>
    <w:p w14:paraId="68400EE1" w14:textId="77777777" w:rsidR="00EA60B1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Chambers, Frank M. “More About the Word </w:t>
      </w:r>
      <w:r w:rsidRPr="00660D1C">
        <w:rPr>
          <w:rFonts w:ascii="Gentium" w:hAnsi="Gentium"/>
          <w:i/>
        </w:rPr>
        <w:t>Assassin</w:t>
      </w:r>
      <w:r w:rsidRPr="00660D1C">
        <w:rPr>
          <w:rFonts w:ascii="Gentium" w:hAnsi="Gentium"/>
        </w:rPr>
        <w:t xml:space="preserve"> in Provençal.” </w:t>
      </w:r>
      <w:r w:rsidRPr="00660D1C">
        <w:rPr>
          <w:rFonts w:ascii="Gentium" w:hAnsi="Gentium"/>
          <w:i/>
        </w:rPr>
        <w:t>Modern Language Notes</w:t>
      </w:r>
      <w:r w:rsidRPr="00660D1C">
        <w:rPr>
          <w:rFonts w:ascii="Gentium" w:hAnsi="Gentium"/>
        </w:rPr>
        <w:t xml:space="preserve"> 65:5 (1950): 343-344.</w:t>
      </w:r>
    </w:p>
    <w:p w14:paraId="7C87B210" w14:textId="77777777" w:rsidR="00EA60B1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>Cilardo, Agostino. “Some Peculiarities of the Law of Inheritance: The Formation of Imāmī and Ismā</w:t>
      </w:r>
      <w:r w:rsidRPr="00660D1C">
        <w:rPr>
          <w:rFonts w:ascii="Calibri" w:hAnsi="Calibri" w:cs="Calibri"/>
        </w:rPr>
        <w:t>ʿ</w:t>
      </w:r>
      <w:r w:rsidRPr="00660D1C">
        <w:rPr>
          <w:rFonts w:ascii="Gentium" w:hAnsi="Gentium"/>
        </w:rPr>
        <w:t xml:space="preserve">īlī Law.” </w:t>
      </w:r>
      <w:r w:rsidRPr="00660D1C">
        <w:rPr>
          <w:rFonts w:ascii="Gentium" w:hAnsi="Gentium"/>
          <w:i/>
        </w:rPr>
        <w:t>Journal of Arabic and Islamic</w:t>
      </w:r>
      <w:r w:rsidRPr="00660D1C">
        <w:rPr>
          <w:rFonts w:ascii="Gentium" w:hAnsi="Gentium"/>
        </w:rPr>
        <w:t xml:space="preserve"> </w:t>
      </w:r>
      <w:r w:rsidRPr="00660D1C">
        <w:rPr>
          <w:rFonts w:ascii="Gentium" w:hAnsi="Gentium"/>
          <w:i/>
        </w:rPr>
        <w:t>Studies</w:t>
      </w:r>
      <w:r w:rsidRPr="00660D1C">
        <w:rPr>
          <w:rFonts w:ascii="Gentium" w:hAnsi="Gentium"/>
        </w:rPr>
        <w:t xml:space="preserve"> 3:7 (2000): 127-137.</w:t>
      </w:r>
    </w:p>
    <w:p w14:paraId="7CC71854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Cohen, Mark R. “On the Origins of the Office of Head of the Jews in the Fatimid Empire.” </w:t>
      </w:r>
      <w:r w:rsidRPr="000A6211">
        <w:rPr>
          <w:rFonts w:ascii="Gentium" w:hAnsi="Gentium"/>
          <w:i/>
        </w:rPr>
        <w:t>Association for Jewish Studies Review</w:t>
      </w:r>
      <w:r w:rsidRPr="00660D1C">
        <w:rPr>
          <w:rFonts w:ascii="Gentium" w:hAnsi="Gentium"/>
        </w:rPr>
        <w:t xml:space="preserve"> 4 (1979): 27-42.</w:t>
      </w:r>
    </w:p>
    <w:p w14:paraId="7CFD4CEB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Colpe, Carsten. “Vom </w:t>
      </w:r>
      <w:r w:rsidRPr="007C7080">
        <w:rPr>
          <w:rFonts w:ascii="Gentium" w:hAnsi="Gentium"/>
        </w:rPr>
        <w:t>‘</w:t>
      </w:r>
      <w:r w:rsidRPr="00660D1C">
        <w:rPr>
          <w:rFonts w:ascii="Gentium" w:hAnsi="Gentium"/>
        </w:rPr>
        <w:t>besonnenen</w:t>
      </w:r>
      <w:r w:rsidRPr="007C7080">
        <w:rPr>
          <w:rFonts w:ascii="Gentium" w:hAnsi="Gentium"/>
        </w:rPr>
        <w:t>’</w:t>
      </w:r>
      <w:r w:rsidRPr="00660D1C">
        <w:rPr>
          <w:rFonts w:ascii="Gentium" w:hAnsi="Gentium"/>
        </w:rPr>
        <w:t xml:space="preserve"> Platonismus zur ‘übertreibenden’ Isma</w:t>
      </w:r>
      <w:r w:rsidRPr="00660D1C">
        <w:rPr>
          <w:rFonts w:ascii="Calibri" w:hAnsi="Calibri" w:cs="Calibri"/>
        </w:rPr>
        <w:t>ʿ</w:t>
      </w:r>
      <w:r w:rsidRPr="00660D1C">
        <w:rPr>
          <w:rFonts w:ascii="Gentium" w:hAnsi="Gentium"/>
        </w:rPr>
        <w:t xml:space="preserve">iliya: Überlegungen zu einem ‘dritten Grad’ der Enthellenisierung des Orients.” In </w:t>
      </w:r>
      <w:r w:rsidRPr="00660D1C">
        <w:rPr>
          <w:rFonts w:ascii="Gentium" w:hAnsi="Gentium"/>
          <w:i/>
        </w:rPr>
        <w:t>Gnosisforschung und Religionsgeschichte</w:t>
      </w:r>
      <w:r w:rsidRPr="00660D1C">
        <w:rPr>
          <w:rFonts w:ascii="Gentium" w:hAnsi="Gentium"/>
        </w:rPr>
        <w:t>. Festschrift für Kurt Rudolph zum 65. Geburtstag. Edited by Holger Preißler, Hubert Seiwert, and Heinz Mürmel, 61-78. Marburg: Diagonal-Verlag, 1994.</w:t>
      </w:r>
    </w:p>
    <w:p w14:paraId="1C7CBDB2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Contadini, Anna. “Le arti del periodo fatimide.” In </w:t>
      </w:r>
      <w:r w:rsidRPr="00660D1C">
        <w:rPr>
          <w:rFonts w:ascii="Gentium" w:hAnsi="Gentium"/>
          <w:i/>
        </w:rPr>
        <w:t>Il Mediterraneo e l’arte nel Medioevo</w:t>
      </w:r>
      <w:r w:rsidRPr="00660D1C">
        <w:rPr>
          <w:rFonts w:ascii="Gentium" w:hAnsi="Gentium"/>
        </w:rPr>
        <w:t>. Edited by Roberto Cassanelli and Maria Andaloro, 119-138, 293-294. Milano: Jaca Book, 2000.</w:t>
      </w:r>
    </w:p>
    <w:p w14:paraId="788625E9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Cornu, Georgette. “Le ‘suaire’ de Cadouin, pièce de </w:t>
      </w:r>
      <w:r w:rsidRPr="00660D1C">
        <w:rPr>
          <w:rFonts w:ascii="Gentium" w:hAnsi="Gentium"/>
          <w:i/>
        </w:rPr>
        <w:t>ṭirāz</w:t>
      </w:r>
      <w:r w:rsidRPr="00660D1C">
        <w:rPr>
          <w:rFonts w:ascii="Gentium" w:hAnsi="Gentium"/>
        </w:rPr>
        <w:t xml:space="preserve"> fatimide.” </w:t>
      </w:r>
      <w:r w:rsidRPr="00660D1C">
        <w:rPr>
          <w:rFonts w:ascii="Gentium" w:hAnsi="Gentium"/>
          <w:i/>
        </w:rPr>
        <w:t>Archéologie Islamique</w:t>
      </w:r>
      <w:r w:rsidRPr="00660D1C">
        <w:rPr>
          <w:rFonts w:ascii="Gentium" w:hAnsi="Gentium"/>
        </w:rPr>
        <w:t xml:space="preserve"> 8-9 (1999): 29-36.</w:t>
      </w:r>
    </w:p>
    <w:p w14:paraId="4D694A17" w14:textId="77777777" w:rsidR="00EA60B1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>Cortese, Delia. “The Ismā</w:t>
      </w:r>
      <w:r w:rsidRPr="00660D1C">
        <w:rPr>
          <w:rFonts w:ascii="Calibri" w:hAnsi="Calibri" w:cs="Calibri"/>
        </w:rPr>
        <w:t>ʿ</w:t>
      </w:r>
      <w:r w:rsidRPr="00660D1C">
        <w:rPr>
          <w:rFonts w:ascii="Gentium" w:hAnsi="Gentium"/>
        </w:rPr>
        <w:t xml:space="preserve">īlī Resurrection of Alamūt: A Bid for Spiritual Awakening or a Statement of Political Authority?” In </w:t>
      </w:r>
      <w:r w:rsidRPr="00660D1C">
        <w:rPr>
          <w:rFonts w:ascii="Gentium" w:hAnsi="Gentium"/>
          <w:i/>
        </w:rPr>
        <w:t>Resurrection</w:t>
      </w:r>
      <w:r w:rsidRPr="00660D1C">
        <w:rPr>
          <w:rFonts w:ascii="Gentium" w:hAnsi="Gentium"/>
        </w:rPr>
        <w:t>. Journal for the Study of the New Testament 186. Edited by Stanley E. Porter, Michael A. Hayes, and David Tombs, 249-262. Sheffield, England: Sheffield Academic Press, 1999.</w:t>
      </w:r>
    </w:p>
    <w:p w14:paraId="5B4C244D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Costa, Ana. “‘A verdade é que não estamos habituados a ser mandados’: Representações identitárias dos jovens ismailis de Lisboa.” Monografia de licenciatura em Antropologia, Universidade Nova de </w:t>
      </w:r>
      <w:r>
        <w:rPr>
          <w:rFonts w:ascii="Gentium" w:hAnsi="Gentium"/>
        </w:rPr>
        <w:t xml:space="preserve">Lisboa, 2002. </w:t>
      </w:r>
      <w:r w:rsidRPr="00660D1C">
        <w:rPr>
          <w:rFonts w:ascii="Gentium" w:hAnsi="Gentium"/>
        </w:rPr>
        <w:t xml:space="preserve">[In Portuguese] [U] </w:t>
      </w:r>
    </w:p>
    <w:p w14:paraId="131996E9" w14:textId="77777777" w:rsidR="00EA60B1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>Coxilha, M.R. Galheto. “A dialéctica da identidade: Um estudo realizado sobre a comunidade ismaelita radicada em Portugal.” Monografia de licenciatura em Antropologia, Universidade Nova de Lisboa, 1995. 140 pp. [In Portuguese] [U]</w:t>
      </w:r>
    </w:p>
    <w:p w14:paraId="57BF2290" w14:textId="77777777" w:rsidR="00EA60B1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Craig, Hugh. “Assassins and Nihilists.” </w:t>
      </w:r>
      <w:r w:rsidRPr="00660D1C">
        <w:rPr>
          <w:rFonts w:ascii="Gentium" w:hAnsi="Gentium"/>
          <w:i/>
        </w:rPr>
        <w:t>Harper’s</w:t>
      </w:r>
      <w:r w:rsidRPr="00660D1C">
        <w:rPr>
          <w:rFonts w:ascii="Gentium" w:hAnsi="Gentium"/>
        </w:rPr>
        <w:t xml:space="preserve"> </w:t>
      </w:r>
      <w:r w:rsidRPr="00660D1C">
        <w:rPr>
          <w:rFonts w:ascii="Gentium" w:hAnsi="Gentium"/>
          <w:i/>
        </w:rPr>
        <w:t>New Monthly Magazine</w:t>
      </w:r>
      <w:r w:rsidRPr="00660D1C">
        <w:rPr>
          <w:rFonts w:ascii="Gentium" w:hAnsi="Gentium"/>
        </w:rPr>
        <w:t xml:space="preserve"> </w:t>
      </w:r>
      <w:r w:rsidRPr="00671227">
        <w:rPr>
          <w:rFonts w:ascii="Gentium" w:hAnsi="Gentium"/>
        </w:rPr>
        <w:t>63:375</w:t>
      </w:r>
      <w:r w:rsidRPr="00660D1C">
        <w:rPr>
          <w:rFonts w:ascii="Gentium" w:hAnsi="Gentium"/>
          <w:color w:val="FF0000"/>
        </w:rPr>
        <w:t xml:space="preserve"> </w:t>
      </w:r>
      <w:r w:rsidRPr="00660D1C">
        <w:rPr>
          <w:rFonts w:ascii="Gentium" w:hAnsi="Gentium"/>
        </w:rPr>
        <w:t>(1881): 440-444.</w:t>
      </w:r>
    </w:p>
    <w:p w14:paraId="5A9DD7CF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>Crane, Mary. “History of the Textile Ornamentation of Muslim Egypt in the Fāṭimid Period.” M.A. thesis, New York University, 1938. 159 pp., + 22 plates.</w:t>
      </w:r>
    </w:p>
    <w:p w14:paraId="746D16CF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Creswell, Keppel Archibald Cameron. “Fatimid Art: Architecture.” In </w:t>
      </w:r>
      <w:r w:rsidRPr="00660D1C">
        <w:rPr>
          <w:rFonts w:ascii="Gentium" w:hAnsi="Gentium"/>
          <w:i/>
        </w:rPr>
        <w:t>Encyclopedia of World Art</w:t>
      </w:r>
      <w:r w:rsidRPr="00660D1C">
        <w:rPr>
          <w:rFonts w:ascii="Gentium" w:hAnsi="Gentium"/>
        </w:rPr>
        <w:t>. 17 vols. Edited by Bernard Samuel Myers, 5:358-364. New York: McGraw-Hill, 1959-1987.</w:t>
      </w:r>
      <w:r w:rsidRPr="00660D1C">
        <w:rPr>
          <w:rFonts w:ascii="Gentium" w:hAnsi="Gentium"/>
        </w:rPr>
        <w:tab/>
      </w:r>
    </w:p>
    <w:p w14:paraId="1810F1A5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Cyran, Monica. “Re-Discovered Carved Panels of the Fatimid Palaces.” In </w:t>
      </w:r>
      <w:r w:rsidRPr="00660D1C">
        <w:rPr>
          <w:rFonts w:ascii="Gentium" w:hAnsi="Gentium"/>
          <w:i/>
        </w:rPr>
        <w:t>L’Égypte Fatimide son art et son histoire: Actes du colloque organisé à Paris les 28, 29 et 30 mai 1998</w:t>
      </w:r>
      <w:r w:rsidRPr="00660D1C">
        <w:rPr>
          <w:rFonts w:ascii="Gentium" w:hAnsi="Gentium"/>
        </w:rPr>
        <w:t>. Edited by Marianne Barrucand, 658-663. Paris: Presses de l’université de Paris-Sorbonne, 1999.</w:t>
      </w:r>
    </w:p>
    <w:p w14:paraId="5D1316E3" w14:textId="77777777" w:rsidR="00EA60B1" w:rsidRPr="00660D1C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</w:rPr>
        <w:t>D’Angelo, Franco. “La circolazione della moneta</w:t>
      </w:r>
      <w:r>
        <w:rPr>
          <w:rFonts w:ascii="Gentium" w:hAnsi="Gentium"/>
        </w:rPr>
        <w:t xml:space="preserve"> minuta fatimita.” </w:t>
      </w:r>
      <w:r w:rsidRPr="00660D1C">
        <w:rPr>
          <w:rFonts w:ascii="Gentium" w:hAnsi="Gentium"/>
        </w:rPr>
        <w:t xml:space="preserve">In </w:t>
      </w:r>
      <w:r w:rsidRPr="00660D1C">
        <w:rPr>
          <w:rFonts w:ascii="Gentium" w:hAnsi="Gentium"/>
          <w:i/>
        </w:rPr>
        <w:t>Tunisia Sicilia: Incontro di due culture</w:t>
      </w:r>
      <w:r w:rsidRPr="00660D1C">
        <w:rPr>
          <w:rFonts w:ascii="Gentium" w:hAnsi="Gentium"/>
        </w:rPr>
        <w:t>. Edited by Gabriella D’Agostino, 65-73. Palermo: Università di Palermo, 1995. [U]</w:t>
      </w:r>
    </w:p>
    <w:p w14:paraId="4061FB66" w14:textId="77777777" w:rsidR="00EA60B1" w:rsidRDefault="00EA60B1" w:rsidP="00EA60B1">
      <w:pPr>
        <w:rPr>
          <w:rFonts w:ascii="Gentium" w:hAnsi="Gentium" w:cs="Arial"/>
          <w:bCs/>
        </w:rPr>
      </w:pPr>
      <w:r w:rsidRPr="00660D1C">
        <w:rPr>
          <w:rFonts w:ascii="Gentium" w:hAnsi="Gentium" w:cs="Arial"/>
          <w:bCs/>
        </w:rPr>
        <w:t xml:space="preserve">Dahya, Badr. “The ‘Evil Eye’ in an Asian Community in East Africa.” In </w:t>
      </w:r>
      <w:r w:rsidRPr="00660D1C">
        <w:rPr>
          <w:rFonts w:ascii="Gentium" w:hAnsi="Gentium" w:cs="Arial"/>
          <w:bCs/>
          <w:i/>
        </w:rPr>
        <w:t>Proceedings of the EAISR Conference held at Kivukoni College, Dar-es-Salaam, Tanganyika, January 1963</w:t>
      </w:r>
      <w:r w:rsidRPr="00660D1C">
        <w:rPr>
          <w:rFonts w:ascii="Gentium" w:hAnsi="Gentium" w:cs="Arial"/>
          <w:bCs/>
        </w:rPr>
        <w:t xml:space="preserve">, Part C, </w:t>
      </w:r>
      <w:r w:rsidRPr="00660D1C">
        <w:rPr>
          <w:rFonts w:ascii="Gentium" w:hAnsi="Gentium" w:cs="Arial"/>
          <w:bCs/>
          <w:i/>
        </w:rPr>
        <w:t>Sociology Papers</w:t>
      </w:r>
      <w:r w:rsidRPr="00660D1C">
        <w:rPr>
          <w:rFonts w:ascii="Gentium" w:hAnsi="Gentium" w:cs="Arial"/>
          <w:bCs/>
        </w:rPr>
        <w:t xml:space="preserve">, 1-17. Kampala: East African Institute of Social Research, 1963. </w:t>
      </w:r>
    </w:p>
    <w:p w14:paraId="09F65857" w14:textId="77777777" w:rsidR="00EA60B1" w:rsidRPr="00660D1C" w:rsidRDefault="00EA60B1" w:rsidP="00EA60B1">
      <w:pPr>
        <w:rPr>
          <w:rFonts w:ascii="Gentium" w:hAnsi="Gentium" w:cs="Arial"/>
          <w:bCs/>
        </w:rPr>
      </w:pPr>
      <w:r>
        <w:rPr>
          <w:rFonts w:ascii="Gentium" w:hAnsi="Gentium"/>
          <w:color w:val="000000"/>
        </w:rPr>
        <w:t xml:space="preserve">___. </w:t>
      </w:r>
      <w:r w:rsidRPr="00660D1C">
        <w:rPr>
          <w:rFonts w:ascii="Gentium" w:hAnsi="Gentium" w:cs="Arial"/>
          <w:bCs/>
        </w:rPr>
        <w:t xml:space="preserve">“Ethnicity and Modernity: The Case of Ismailis in Britain.” In </w:t>
      </w:r>
      <w:r w:rsidRPr="00660D1C">
        <w:rPr>
          <w:rFonts w:ascii="Gentium" w:hAnsi="Gentium" w:cs="Arial"/>
          <w:bCs/>
          <w:i/>
        </w:rPr>
        <w:t>The Racism Problematic: Contemporary Sociological Debates on Race and Ethnicity</w:t>
      </w:r>
      <w:r w:rsidRPr="00660D1C">
        <w:rPr>
          <w:rFonts w:ascii="Gentium" w:hAnsi="Gentium" w:cs="Arial"/>
          <w:bCs/>
        </w:rPr>
        <w:t>. Mellen Studies in Socio</w:t>
      </w:r>
      <w:r>
        <w:rPr>
          <w:rFonts w:ascii="Gentium" w:hAnsi="Gentium" w:cs="Arial"/>
          <w:bCs/>
        </w:rPr>
        <w:t xml:space="preserve">logy 11. Edited by Rohit Barot, </w:t>
      </w:r>
      <w:r w:rsidRPr="00660D1C">
        <w:rPr>
          <w:rFonts w:ascii="Gentium" w:hAnsi="Gentium" w:cs="Arial"/>
          <w:bCs/>
        </w:rPr>
        <w:t>106-138. Lewiston, N.Y.: The Edwin Mellen Press, 1996.</w:t>
      </w:r>
    </w:p>
    <w:p w14:paraId="4AA7C4BE" w14:textId="77777777" w:rsidR="00EA60B1" w:rsidRPr="00660D1C" w:rsidRDefault="00EA60B1" w:rsidP="00EA60B1">
      <w:pPr>
        <w:rPr>
          <w:rFonts w:ascii="Gentium" w:hAnsi="Gentium" w:cs="Arial"/>
          <w:bCs/>
        </w:rPr>
      </w:pPr>
      <w:r w:rsidRPr="00660D1C">
        <w:rPr>
          <w:rFonts w:ascii="Gentium" w:hAnsi="Gentium" w:cs="Arial"/>
          <w:bCs/>
        </w:rPr>
        <w:t xml:space="preserve">Damji, Tasleem, and Catherine M. Lee. “Gender Role Identity and Perceptions of Ismaili Muslim Men and Women.” </w:t>
      </w:r>
      <w:r w:rsidRPr="00660D1C">
        <w:rPr>
          <w:rFonts w:ascii="Gentium" w:hAnsi="Gentium" w:cs="Arial"/>
          <w:bCs/>
          <w:i/>
        </w:rPr>
        <w:t>Journal of Social Psychology</w:t>
      </w:r>
      <w:r w:rsidRPr="00660D1C">
        <w:rPr>
          <w:rFonts w:ascii="Gentium" w:hAnsi="Gentium" w:cs="Arial"/>
          <w:bCs/>
        </w:rPr>
        <w:t xml:space="preserve"> 135:2 (1995): 215-223.</w:t>
      </w:r>
    </w:p>
    <w:p w14:paraId="21337D46" w14:textId="77777777" w:rsidR="00EA60B1" w:rsidRPr="00660D1C" w:rsidRDefault="00EA60B1" w:rsidP="00EA60B1">
      <w:pPr>
        <w:rPr>
          <w:rFonts w:ascii="Gentium" w:hAnsi="Gentium" w:cs="Arial"/>
          <w:bCs/>
        </w:rPr>
      </w:pPr>
      <w:r w:rsidRPr="00660D1C">
        <w:rPr>
          <w:rFonts w:ascii="Gentium" w:hAnsi="Gentium" w:cs="Arial"/>
          <w:bCs/>
        </w:rPr>
        <w:t>Daredia, Nazim. “</w:t>
      </w:r>
      <w:r w:rsidRPr="00660D1C">
        <w:rPr>
          <w:rFonts w:ascii="Gentium" w:hAnsi="Gentium" w:cs="Arial"/>
          <w:bCs/>
          <w:i/>
        </w:rPr>
        <w:t>Pandavo no Parab</w:t>
      </w:r>
      <w:r w:rsidRPr="00660D1C">
        <w:rPr>
          <w:rFonts w:ascii="Gentium" w:hAnsi="Gentium" w:cs="Arial"/>
          <w:bCs/>
        </w:rPr>
        <w:t xml:space="preserve">.” In </w:t>
      </w:r>
      <w:r>
        <w:rPr>
          <w:rFonts w:ascii="Gentium" w:hAnsi="Gentium" w:cs="Arial"/>
          <w:bCs/>
          <w:i/>
        </w:rPr>
        <w:t>SOS</w:t>
      </w:r>
      <w:r w:rsidRPr="00660D1C">
        <w:rPr>
          <w:rFonts w:ascii="Gentium" w:hAnsi="Gentium" w:cs="Arial"/>
          <w:bCs/>
        </w:rPr>
        <w:t>, 127-127b.</w:t>
      </w:r>
    </w:p>
    <w:p w14:paraId="4F59AE83" w14:textId="77777777" w:rsidR="00EA60B1" w:rsidRPr="00660D1C" w:rsidRDefault="00EA60B1" w:rsidP="00EA60B1">
      <w:pPr>
        <w:rPr>
          <w:rFonts w:ascii="Gentium" w:hAnsi="Gentium" w:cs="Arial"/>
          <w:bCs/>
        </w:rPr>
      </w:pPr>
      <w:r w:rsidRPr="00660D1C">
        <w:rPr>
          <w:rFonts w:ascii="Gentium" w:hAnsi="Gentium" w:cs="Arial"/>
          <w:bCs/>
        </w:rPr>
        <w:t xml:space="preserve">Datoo, Al-Karim. “A Study of Religious and Cultural Education in Urban-Rural Contexts of the </w:t>
      </w:r>
      <w:r w:rsidRPr="00660D1C">
        <w:rPr>
          <w:rFonts w:ascii="Gentium" w:hAnsi="Gentium" w:cs="Arial"/>
          <w:bCs/>
          <w:i/>
        </w:rPr>
        <w:t>Ismaili Muslim</w:t>
      </w:r>
      <w:r w:rsidRPr="00660D1C">
        <w:rPr>
          <w:rFonts w:ascii="Gentium" w:hAnsi="Gentium" w:cs="Arial"/>
          <w:bCs/>
        </w:rPr>
        <w:t xml:space="preserve"> Community of Sindh, Pakistan.” M.Sc. thesis, Department of Educational Studies, University of Oxford, 1998. 119 pp. </w:t>
      </w:r>
    </w:p>
    <w:p w14:paraId="3E88A764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David, Abraham. “Paltiel.” In </w:t>
      </w:r>
      <w:r w:rsidRPr="00660D1C">
        <w:rPr>
          <w:rFonts w:ascii="Gentium" w:hAnsi="Gentium"/>
          <w:i/>
          <w:color w:val="000000"/>
        </w:rPr>
        <w:t>Encyclopaedia</w:t>
      </w:r>
      <w:r w:rsidRPr="00660D1C"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i/>
          <w:color w:val="000000"/>
        </w:rPr>
        <w:t>Judaica</w:t>
      </w:r>
      <w:r w:rsidRPr="00660D1C">
        <w:rPr>
          <w:rFonts w:ascii="Gentium" w:hAnsi="Gentium"/>
          <w:color w:val="000000"/>
        </w:rPr>
        <w:t>. 1</w:t>
      </w:r>
      <w:r w:rsidRPr="00660D1C">
        <w:rPr>
          <w:rFonts w:ascii="Gentium" w:hAnsi="Gentium"/>
          <w:color w:val="000000"/>
          <w:vertAlign w:val="superscript"/>
        </w:rPr>
        <w:t>st</w:t>
      </w:r>
      <w:r w:rsidRPr="00660D1C">
        <w:rPr>
          <w:rFonts w:ascii="Gentium" w:hAnsi="Gentium"/>
          <w:color w:val="000000"/>
        </w:rPr>
        <w:t xml:space="preserve"> ed. 16 vols. 13:50. Jerusalem: Encyclopaedia Judaica, 1971-1972.</w:t>
      </w:r>
    </w:p>
    <w:p w14:paraId="1B8A6BF7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Dawoodi Bohra Friendship Guild. </w:t>
      </w:r>
      <w:r w:rsidRPr="00660D1C">
        <w:rPr>
          <w:rFonts w:ascii="Gentium" w:hAnsi="Gentium"/>
          <w:i/>
          <w:color w:val="000000"/>
        </w:rPr>
        <w:t>Speaking Among Friends: The History and Faith of the Dawoodi Bohras</w:t>
      </w:r>
      <w:r w:rsidRPr="00660D1C">
        <w:rPr>
          <w:rFonts w:ascii="Gentium" w:hAnsi="Gentium"/>
          <w:color w:val="000000"/>
        </w:rPr>
        <w:t>. Bombay: [Leaders Press Private Limited], 1965. 30 pp., +</w:t>
      </w:r>
      <w:r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color w:val="000000"/>
        </w:rPr>
        <w:t>17 plates.</w:t>
      </w:r>
    </w:p>
    <w:p w14:paraId="285CA4E5" w14:textId="77777777" w:rsidR="00EA60B1" w:rsidRDefault="00EA60B1" w:rsidP="00EA60B1">
      <w:pPr>
        <w:rPr>
          <w:rFonts w:ascii="Gentium" w:hAnsi="Gentium"/>
          <w:color w:val="000000"/>
        </w:rPr>
      </w:pPr>
      <w:r w:rsidRPr="0052732D">
        <w:rPr>
          <w:rFonts w:ascii="Gentium" w:hAnsi="Gentium"/>
          <w:color w:val="000000"/>
        </w:rPr>
        <w:t>De Young,</w:t>
      </w:r>
      <w:r w:rsidRPr="00660D1C">
        <w:rPr>
          <w:rFonts w:ascii="Gentium" w:hAnsi="Gentium"/>
          <w:color w:val="000000"/>
        </w:rPr>
        <w:t xml:space="preserve"> Gregg. “Ikhwān al-Ṣafā</w:t>
      </w:r>
      <w:r w:rsidRPr="00660D1C">
        <w:rPr>
          <w:rFonts w:ascii="Calibri" w:hAnsi="Calibri" w:cs="Calibri"/>
          <w:color w:val="000000"/>
        </w:rPr>
        <w:t>ʾ</w:t>
      </w:r>
      <w:r w:rsidRPr="00660D1C">
        <w:rPr>
          <w:rFonts w:ascii="Gentium" w:hAnsi="Gentium"/>
          <w:color w:val="000000"/>
        </w:rPr>
        <w:t xml:space="preserve">.” In </w:t>
      </w:r>
      <w:r w:rsidRPr="00660D1C">
        <w:rPr>
          <w:rFonts w:ascii="Gentium" w:hAnsi="Gentium"/>
          <w:i/>
          <w:color w:val="000000"/>
        </w:rPr>
        <w:t>Encyclopaedia of the History of Science, Technology, and Medicine in Non-Western Cultures</w:t>
      </w:r>
      <w:r w:rsidRPr="00660D1C">
        <w:rPr>
          <w:rFonts w:ascii="Gentium" w:hAnsi="Gentium"/>
          <w:color w:val="000000"/>
        </w:rPr>
        <w:t xml:space="preserve">. Edited by Helaine Selin, 443-444. Dordrecht: Kluwer Academic, 1997. </w:t>
      </w:r>
    </w:p>
    <w:p w14:paraId="052EA795" w14:textId="77777777" w:rsidR="00EA60B1" w:rsidRPr="00660D1C" w:rsidRDefault="00EA60B1" w:rsidP="00EA60B1">
      <w:pPr>
        <w:rPr>
          <w:rFonts w:ascii="Gentium" w:hAnsi="Gentium"/>
          <w:color w:val="000000"/>
        </w:rPr>
      </w:pPr>
      <w:r>
        <w:rPr>
          <w:rFonts w:ascii="Gentium" w:hAnsi="Gentium"/>
          <w:color w:val="000000"/>
        </w:rPr>
        <w:t xml:space="preserve">___. </w:t>
      </w:r>
      <w:r w:rsidRPr="00660D1C">
        <w:rPr>
          <w:rFonts w:ascii="Gentium" w:hAnsi="Gentium"/>
          <w:color w:val="000000"/>
        </w:rPr>
        <w:t xml:space="preserve">“Euclidean Geometry in Two Medieval Islamic Encyclopaedias.” </w:t>
      </w:r>
      <w:r w:rsidRPr="00660D1C">
        <w:rPr>
          <w:rFonts w:ascii="Gentium" w:hAnsi="Gentium"/>
          <w:i/>
          <w:color w:val="000000"/>
        </w:rPr>
        <w:t>Al-Masāq</w:t>
      </w:r>
      <w:r w:rsidRPr="00660D1C">
        <w:rPr>
          <w:rFonts w:ascii="Gentium" w:hAnsi="Gentium"/>
          <w:color w:val="000000"/>
        </w:rPr>
        <w:t xml:space="preserve"> 14:1 (2002): 47-60.</w:t>
      </w:r>
    </w:p>
    <w:p w14:paraId="69DFB00E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Décobert, Christian. </w:t>
      </w:r>
      <w:r w:rsidRPr="007A0011">
        <w:rPr>
          <w:rFonts w:ascii="Gentium" w:hAnsi="Gentium"/>
        </w:rPr>
        <w:t>“Al</w:t>
      </w:r>
      <w:r w:rsidRPr="00660D1C">
        <w:rPr>
          <w:rFonts w:ascii="Gentium" w:hAnsi="Gentium"/>
          <w:color w:val="000000"/>
        </w:rPr>
        <w:t xml:space="preserve">-Hakim: Il califfo sanguinario.” In </w:t>
      </w:r>
      <w:r w:rsidRPr="00660D1C">
        <w:rPr>
          <w:rFonts w:ascii="Gentium" w:hAnsi="Gentium"/>
          <w:i/>
          <w:color w:val="000000"/>
        </w:rPr>
        <w:t>I Viaggi della storia: Le strade, i luoghi, le figure</w:t>
      </w:r>
      <w:r w:rsidRPr="00660D1C">
        <w:rPr>
          <w:rFonts w:ascii="Gentium" w:hAnsi="Gentium"/>
          <w:color w:val="000000"/>
        </w:rPr>
        <w:t>. Storia e Civiltà 23. Edited by Philippe Braunstein et al., 335-355. Bari: Edizioni Dedalo, 1988.</w:t>
      </w:r>
    </w:p>
    <w:p w14:paraId="4571FA61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Delluc, Brigitte, and Gilles Delluc. “Le suaire de Cadouin et son frère: Le voile de sainte Anne d’Apt (Vaucluse);</w:t>
      </w:r>
      <w:r w:rsidRPr="00660D1C">
        <w:rPr>
          <w:rFonts w:ascii="Gentium" w:hAnsi="Gentium"/>
          <w:color w:val="FF0000"/>
        </w:rPr>
        <w:t xml:space="preserve"> </w:t>
      </w:r>
      <w:r w:rsidRPr="00660D1C">
        <w:rPr>
          <w:rFonts w:ascii="Gentium" w:hAnsi="Gentium"/>
          <w:color w:val="000000"/>
        </w:rPr>
        <w:t xml:space="preserve">Deux pièces exceptionnelles d’archéologie textile.” </w:t>
      </w:r>
      <w:r w:rsidRPr="00660D1C">
        <w:rPr>
          <w:rFonts w:ascii="Gentium" w:hAnsi="Gentium"/>
          <w:i/>
          <w:color w:val="000000"/>
        </w:rPr>
        <w:t>Bulletin de la Société historique et archéologique du Périgord</w:t>
      </w:r>
      <w:r w:rsidRPr="00660D1C">
        <w:rPr>
          <w:rFonts w:ascii="Gentium" w:hAnsi="Gentium"/>
          <w:color w:val="000000"/>
        </w:rPr>
        <w:t xml:space="preserve"> 128:4 (2001): 607-626. </w:t>
      </w:r>
    </w:p>
    <w:p w14:paraId="409F274A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Denoix, Sylvie. “Les Fatimides (969-1170): Un nouveau modéle urbain, ou la ville princiére de Qâhira.” In </w:t>
      </w:r>
      <w:r w:rsidRPr="00660D1C">
        <w:rPr>
          <w:rFonts w:ascii="Gentium" w:hAnsi="Gentium"/>
          <w:i/>
          <w:color w:val="000000"/>
        </w:rPr>
        <w:t>Le Caire</w:t>
      </w:r>
      <w:r w:rsidRPr="00660D1C">
        <w:rPr>
          <w:rFonts w:ascii="Gentium" w:hAnsi="Gentium"/>
          <w:color w:val="000000"/>
        </w:rPr>
        <w:t xml:space="preserve">. Edited by André Raymond, 87-127, 479-480. Paris: </w:t>
      </w:r>
      <w:r w:rsidRPr="00F2498A">
        <w:rPr>
          <w:rFonts w:ascii="Gentium" w:hAnsi="Gentium"/>
        </w:rPr>
        <w:t>Citadelles &amp; Mazenod</w:t>
      </w:r>
      <w:r w:rsidRPr="00660D1C">
        <w:rPr>
          <w:rFonts w:ascii="Gentium" w:hAnsi="Gentium"/>
          <w:color w:val="000000"/>
        </w:rPr>
        <w:t>, 2000.</w:t>
      </w:r>
    </w:p>
    <w:p w14:paraId="34B329BC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Depaulis, Thierry. “Documents imprimés de l</w:t>
      </w:r>
      <w:r w:rsidRPr="00660D1C">
        <w:rPr>
          <w:rFonts w:ascii="Calibri" w:hAnsi="Calibri" w:cs="Calibri"/>
          <w:color w:val="000000"/>
        </w:rPr>
        <w:t>ˊ</w:t>
      </w:r>
      <w:r w:rsidRPr="00660D1C">
        <w:rPr>
          <w:rFonts w:ascii="Gentium" w:hAnsi="Gentium"/>
          <w:color w:val="000000"/>
        </w:rPr>
        <w:t>Égypte fatimide: Un chapitre méconnu de l</w:t>
      </w:r>
      <w:r w:rsidRPr="00660D1C">
        <w:rPr>
          <w:rFonts w:ascii="Calibri" w:hAnsi="Calibri" w:cs="Calibri"/>
          <w:color w:val="000000"/>
        </w:rPr>
        <w:t>ˊ</w:t>
      </w:r>
      <w:r w:rsidRPr="00660D1C">
        <w:rPr>
          <w:rFonts w:ascii="Gentium" w:hAnsi="Gentium"/>
          <w:color w:val="000000"/>
        </w:rPr>
        <w:t>histoire de l</w:t>
      </w:r>
      <w:r w:rsidRPr="00660D1C">
        <w:rPr>
          <w:rFonts w:ascii="Calibri" w:hAnsi="Calibri" w:cs="Calibri"/>
          <w:color w:val="000000"/>
        </w:rPr>
        <w:t>ˊ</w:t>
      </w:r>
      <w:r w:rsidRPr="00660D1C">
        <w:rPr>
          <w:rFonts w:ascii="Gentium" w:hAnsi="Gentium"/>
          <w:color w:val="000000"/>
        </w:rPr>
        <w:t xml:space="preserve">imprimerie.” </w:t>
      </w:r>
      <w:r w:rsidRPr="00660D1C">
        <w:rPr>
          <w:rFonts w:ascii="Gentium" w:hAnsi="Gentium"/>
          <w:i/>
          <w:color w:val="000000"/>
        </w:rPr>
        <w:t xml:space="preserve">Bulletin de la Société Archéologique, Historique et Artistique le Vieux Papier </w:t>
      </w:r>
      <w:r w:rsidRPr="00660D1C">
        <w:rPr>
          <w:rFonts w:ascii="Gentium" w:hAnsi="Gentium"/>
          <w:color w:val="000000"/>
        </w:rPr>
        <w:t>349:35 (1998): 133-136.</w:t>
      </w:r>
    </w:p>
    <w:p w14:paraId="5854E1B2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Desai, Madhavi. “Bohra Dwellings: Cultural Manifestations in Regional Architecture.” </w:t>
      </w:r>
      <w:r w:rsidRPr="00660D1C">
        <w:rPr>
          <w:rFonts w:ascii="Gentium" w:hAnsi="Gentium"/>
          <w:i/>
          <w:color w:val="000000"/>
        </w:rPr>
        <w:t>Architecture + Design</w:t>
      </w:r>
      <w:r w:rsidRPr="00660D1C">
        <w:rPr>
          <w:rFonts w:ascii="Gentium" w:hAnsi="Gentium"/>
          <w:color w:val="000000"/>
        </w:rPr>
        <w:t xml:space="preserve"> 5:5 (1989): 83-93.</w:t>
      </w:r>
    </w:p>
    <w:p w14:paraId="4B633FAE" w14:textId="77777777" w:rsidR="00EA60B1" w:rsidRDefault="00EA60B1" w:rsidP="00EA60B1">
      <w:pPr>
        <w:rPr>
          <w:rFonts w:ascii="Gentium" w:hAnsi="Gentium"/>
          <w:color w:val="000000"/>
        </w:rPr>
      </w:pPr>
      <w:r>
        <w:rPr>
          <w:rFonts w:ascii="Gentium" w:hAnsi="Gentium"/>
          <w:color w:val="000000"/>
        </w:rPr>
        <w:t xml:space="preserve">___. </w:t>
      </w:r>
      <w:r w:rsidRPr="00660D1C">
        <w:rPr>
          <w:rFonts w:ascii="Gentium" w:hAnsi="Gentium"/>
          <w:color w:val="000000"/>
        </w:rPr>
        <w:t xml:space="preserve">“Bohra Dwellings of Gujarat.” </w:t>
      </w:r>
      <w:r w:rsidRPr="00660D1C">
        <w:rPr>
          <w:rFonts w:ascii="Gentium" w:hAnsi="Gentium"/>
          <w:i/>
          <w:color w:val="000000"/>
        </w:rPr>
        <w:t xml:space="preserve">Journal of the Indian Institute of Architects </w:t>
      </w:r>
      <w:r w:rsidRPr="00660D1C">
        <w:rPr>
          <w:rFonts w:ascii="Gentium" w:hAnsi="Gentium"/>
          <w:color w:val="000000"/>
        </w:rPr>
        <w:t>57:3 (1992): 6-9.</w:t>
      </w:r>
    </w:p>
    <w:p w14:paraId="398EE422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Devji, Faisal</w:t>
      </w:r>
      <w:r w:rsidRPr="00C050D9">
        <w:t xml:space="preserve"> </w:t>
      </w:r>
      <w:r w:rsidRPr="00C050D9">
        <w:rPr>
          <w:rFonts w:ascii="Gentium" w:hAnsi="Gentium"/>
          <w:color w:val="000000"/>
        </w:rPr>
        <w:t>Fatehali.</w:t>
      </w:r>
      <w:r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color w:val="000000"/>
        </w:rPr>
        <w:t>“Conversion to Islam: The Khojas.” M.A. thesis, Department of History, University of Chicago, 1987. [U]</w:t>
      </w:r>
    </w:p>
    <w:p w14:paraId="39D2B1BC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DiMaggio, Jay. “Bohra.” In </w:t>
      </w:r>
      <w:r w:rsidRPr="00660D1C">
        <w:rPr>
          <w:rFonts w:ascii="Gentium" w:hAnsi="Gentium"/>
          <w:i/>
          <w:color w:val="000000"/>
        </w:rPr>
        <w:t>South Asia</w:t>
      </w:r>
      <w:r w:rsidRPr="00660D1C">
        <w:rPr>
          <w:rFonts w:ascii="Gentium" w:hAnsi="Gentium"/>
          <w:color w:val="000000"/>
        </w:rPr>
        <w:t xml:space="preserve">. Vol. 3 of </w:t>
      </w:r>
      <w:r w:rsidRPr="00660D1C">
        <w:rPr>
          <w:rFonts w:ascii="Gentium" w:hAnsi="Gentium"/>
          <w:i/>
          <w:color w:val="000000"/>
        </w:rPr>
        <w:t>Encyclopedia of World Cultures</w:t>
      </w:r>
      <w:r w:rsidRPr="00660D1C">
        <w:rPr>
          <w:rFonts w:ascii="Gentium" w:hAnsi="Gentium"/>
          <w:color w:val="000000"/>
        </w:rPr>
        <w:t>. Edited by Paul Hockings, 46-48. 11 vols. Boston, Mass: G.K. Hall, 1991-2002.</w:t>
      </w:r>
    </w:p>
    <w:p w14:paraId="62F95AC7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Dimand, Maurice S. “Eine koptische Goldstickerei aus der Fatimidenzeit.” In </w:t>
      </w:r>
      <w:r w:rsidRPr="00660D1C">
        <w:rPr>
          <w:rFonts w:ascii="Gentium" w:hAnsi="Gentium"/>
          <w:i/>
          <w:color w:val="000000"/>
        </w:rPr>
        <w:t>Josef Strzygowski-Festschrift: Zum 70. Geburtstag dargebracht von seinen Schülern</w:t>
      </w:r>
      <w:r w:rsidRPr="00660D1C">
        <w:rPr>
          <w:rFonts w:ascii="Gentium" w:hAnsi="Gentium"/>
          <w:color w:val="000000"/>
        </w:rPr>
        <w:t>, 38-39. Klagenfurt: Kollitsch, 1932.</w:t>
      </w:r>
    </w:p>
    <w:p w14:paraId="131C6A33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Disegni, Silvia. “Assassini e assassinio nel</w:t>
      </w:r>
      <w:r w:rsidRPr="00660D1C">
        <w:rPr>
          <w:rFonts w:ascii="Gentium" w:hAnsi="Gentium"/>
          <w:i/>
          <w:color w:val="000000"/>
        </w:rPr>
        <w:t xml:space="preserve"> Grand Dictionnaire Universel du XIX siècle</w:t>
      </w:r>
      <w:r w:rsidRPr="00660D1C">
        <w:rPr>
          <w:rFonts w:ascii="Gentium" w:hAnsi="Gentium"/>
          <w:color w:val="000000"/>
        </w:rPr>
        <w:t xml:space="preserve"> di Pierre Larousse (1863-1875).” In </w:t>
      </w:r>
      <w:r w:rsidRPr="00660D1C">
        <w:rPr>
          <w:rFonts w:ascii="Gentium" w:hAnsi="Gentium"/>
          <w:i/>
          <w:color w:val="000000"/>
        </w:rPr>
        <w:t>Il delitto narrato al popolo: Immagini di giustizia e stereotipi di criminalità in età moderna</w:t>
      </w:r>
      <w:r w:rsidRPr="00660D1C">
        <w:rPr>
          <w:rFonts w:ascii="Gentium" w:hAnsi="Gentium"/>
          <w:color w:val="000000"/>
        </w:rPr>
        <w:t>. Edited by Roberto De Romanis and Rosamaria Loretelli, 254-269. Nuovo prisma 12. Palermo: Sellerio, 1999.</w:t>
      </w:r>
    </w:p>
    <w:p w14:paraId="4422DB34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Djelloul, Néji, and Abderrazak Khéchine. </w:t>
      </w:r>
      <w:r w:rsidRPr="00660D1C">
        <w:rPr>
          <w:rFonts w:ascii="Gentium" w:hAnsi="Gentium"/>
          <w:i/>
          <w:color w:val="000000"/>
        </w:rPr>
        <w:t>Mahdia: Capitale des Fâtimides</w:t>
      </w:r>
      <w:r w:rsidRPr="00660D1C">
        <w:rPr>
          <w:rFonts w:ascii="Gentium" w:hAnsi="Gentium"/>
          <w:color w:val="000000"/>
        </w:rPr>
        <w:t>. [Sousse]: Contraste éditions, 2003. 80 pp.</w:t>
      </w:r>
    </w:p>
    <w:p w14:paraId="084027F8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Dobbin, Christine E. “From Gujarat to Zanzibar: The Ismaili Partnership in East Africa 1841-1939.” Chap. 5 in </w:t>
      </w:r>
      <w:r w:rsidRPr="00660D1C">
        <w:rPr>
          <w:rFonts w:ascii="Gentium" w:hAnsi="Gentium"/>
          <w:i/>
          <w:color w:val="000000"/>
        </w:rPr>
        <w:t>Asian Entrepreneurial Minorities: Conjoint Communities in the Making of the World-Economy 1570-1940</w:t>
      </w:r>
      <w:r>
        <w:rPr>
          <w:rFonts w:ascii="Gentium" w:hAnsi="Gentium"/>
          <w:color w:val="000000"/>
        </w:rPr>
        <w:t xml:space="preserve">, 109-130. </w:t>
      </w:r>
      <w:r w:rsidRPr="00660D1C">
        <w:rPr>
          <w:rFonts w:ascii="Gentium" w:hAnsi="Gentium"/>
          <w:color w:val="000000"/>
        </w:rPr>
        <w:t>Nordic Institute of Asian Studies Monograph Series 71. Richmond, Surrey: Curzon, 1996.</w:t>
      </w:r>
    </w:p>
    <w:p w14:paraId="204A12E9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Doménech Belda, Carolina. “El numerario fatimí en el šarq al-Andalus.” In </w:t>
      </w:r>
      <w:r w:rsidRPr="00660D1C">
        <w:rPr>
          <w:rFonts w:ascii="Gentium" w:hAnsi="Gentium"/>
          <w:i/>
          <w:color w:val="000000"/>
        </w:rPr>
        <w:t>Actas del X Congreso Nacional de Numismática (Albacete, 1998)</w:t>
      </w:r>
      <w:r w:rsidRPr="00660D1C">
        <w:rPr>
          <w:rFonts w:ascii="Gentium" w:hAnsi="Gentium"/>
          <w:color w:val="000000"/>
        </w:rPr>
        <w:t>, 481-490. Madrid: Museo Casa de la Moneda, 2002.</w:t>
      </w:r>
    </w:p>
    <w:p w14:paraId="54C448DD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Doorninck, Frederick H. </w:t>
      </w:r>
      <w:r w:rsidRPr="00584459">
        <w:rPr>
          <w:rFonts w:ascii="Gentium" w:hAnsi="Gentium"/>
        </w:rPr>
        <w:t>van, Jr.</w:t>
      </w:r>
      <w:r w:rsidRPr="00660D1C">
        <w:rPr>
          <w:rFonts w:ascii="Gentium" w:hAnsi="Gentium"/>
          <w:color w:val="000000"/>
        </w:rPr>
        <w:t xml:space="preserve"> “The Serçe Limani Shipwreck: An Eleventh-Century Cargo of Fatimid Glassware Cullet for Byzantine Glassmakers.” In </w:t>
      </w:r>
      <w:r w:rsidRPr="00660D1C">
        <w:rPr>
          <w:rFonts w:ascii="Gentium" w:hAnsi="Gentium"/>
          <w:i/>
          <w:color w:val="000000"/>
        </w:rPr>
        <w:t>First International Anatolian Glass Symposium, April 26</w:t>
      </w:r>
      <w:r w:rsidRPr="00660D1C">
        <w:rPr>
          <w:rFonts w:ascii="Gentium" w:hAnsi="Gentium"/>
          <w:i/>
          <w:color w:val="000000"/>
          <w:vertAlign w:val="superscript"/>
        </w:rPr>
        <w:t>th</w:t>
      </w:r>
      <w:r w:rsidRPr="00660D1C">
        <w:rPr>
          <w:rFonts w:ascii="Gentium" w:hAnsi="Gentium"/>
          <w:i/>
          <w:color w:val="000000"/>
        </w:rPr>
        <w:t>-27</w:t>
      </w:r>
      <w:r w:rsidRPr="00660D1C">
        <w:rPr>
          <w:rFonts w:ascii="Gentium" w:hAnsi="Gentium"/>
          <w:i/>
          <w:color w:val="000000"/>
          <w:vertAlign w:val="superscript"/>
        </w:rPr>
        <w:t>th</w:t>
      </w:r>
      <w:r w:rsidRPr="00660D1C">
        <w:rPr>
          <w:rFonts w:ascii="Gentium" w:hAnsi="Gentium"/>
          <w:i/>
          <w:color w:val="000000"/>
        </w:rPr>
        <w:t xml:space="preserve"> 1988</w:t>
      </w:r>
      <w:r w:rsidRPr="00660D1C">
        <w:rPr>
          <w:rFonts w:ascii="Gentium" w:hAnsi="Gentium"/>
          <w:color w:val="000000"/>
        </w:rPr>
        <w:t>, 58-63. Istanbul: TŞCFAŞ Information and Documentation Center, 1990.</w:t>
      </w:r>
    </w:p>
    <w:p w14:paraId="092C266C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“The Byzantine Ship at Serçe Limani: An Example of Small-Scale Maritime Commerce with Fatimid Syria in the Early Eleventh Century.” In </w:t>
      </w:r>
      <w:r w:rsidRPr="00660D1C">
        <w:rPr>
          <w:rFonts w:ascii="Gentium" w:hAnsi="Gentium"/>
          <w:i/>
          <w:color w:val="000000"/>
        </w:rPr>
        <w:t>Travel in the Byzantine World: Papers from the Thirty-Fourth Spring Symposium of Byzantine Studies, Birmingham, April 2000</w:t>
      </w:r>
      <w:r w:rsidRPr="00660D1C">
        <w:rPr>
          <w:rFonts w:ascii="Gentium" w:hAnsi="Gentium"/>
          <w:color w:val="000000"/>
        </w:rPr>
        <w:t>. Edited by Ruth Macrides, 137-148. Aldershot: Ashgate, 2002.</w:t>
      </w:r>
    </w:p>
    <w:p w14:paraId="7DCAB26E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Doshi, Balkrishna. “Vohra Houses in Gujarat.” </w:t>
      </w:r>
      <w:r w:rsidRPr="00660D1C">
        <w:rPr>
          <w:rFonts w:ascii="Gentium" w:hAnsi="Gentium"/>
          <w:i/>
          <w:color w:val="000000"/>
        </w:rPr>
        <w:t>Journal of the Islamic Environmental Design Research Centre</w:t>
      </w:r>
      <w:r w:rsidRPr="00660D1C">
        <w:rPr>
          <w:rFonts w:ascii="Gentium" w:hAnsi="Gentium"/>
          <w:color w:val="000000"/>
        </w:rPr>
        <w:t xml:space="preserve"> (1984): 52-63.</w:t>
      </w:r>
    </w:p>
    <w:p w14:paraId="642C24D0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“Expressing an Architectural Identity: Bohra Houses of Gujarat.” </w:t>
      </w:r>
      <w:r w:rsidRPr="00660D1C">
        <w:rPr>
          <w:rFonts w:ascii="Gentium" w:hAnsi="Gentium"/>
          <w:i/>
          <w:color w:val="000000"/>
        </w:rPr>
        <w:t xml:space="preserve">Mimar: Architecture in Development </w:t>
      </w:r>
      <w:r w:rsidRPr="00660D1C">
        <w:rPr>
          <w:rFonts w:ascii="Gentium" w:hAnsi="Gentium"/>
          <w:color w:val="000000"/>
        </w:rPr>
        <w:t>19 (1986): 34-40.</w:t>
      </w:r>
    </w:p>
    <w:p w14:paraId="0C8D2D56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Dossa, Parin A. “The Shi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>a-Isma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ili Muslim Community in British Columbia.” In </w:t>
      </w:r>
      <w:r w:rsidRPr="00660D1C">
        <w:rPr>
          <w:rFonts w:ascii="Gentium" w:hAnsi="Gentium"/>
          <w:i/>
          <w:color w:val="000000"/>
        </w:rPr>
        <w:t>Circle of Voices: A History of the Religious Communities of British Columbia</w:t>
      </w:r>
      <w:r w:rsidRPr="00660D1C">
        <w:rPr>
          <w:rFonts w:ascii="Gentium" w:hAnsi="Gentium"/>
          <w:color w:val="000000"/>
        </w:rPr>
        <w:t>. Edited by Charles P. Anderson, Tirthankar Bose, and Joseph I. Richardson, 232-239. Lantzville, B.C.: Oolichan Books, 1983.</w:t>
      </w:r>
    </w:p>
    <w:p w14:paraId="1F10F3B1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“Time, Age, and Ritual: The Dynamics of Interdependence/Independence among Canadian Elderly Ismailis.” In </w:t>
      </w:r>
      <w:r w:rsidRPr="00660D1C">
        <w:rPr>
          <w:rFonts w:ascii="Gentium" w:hAnsi="Gentium"/>
          <w:i/>
          <w:color w:val="000000"/>
        </w:rPr>
        <w:t>Immigrants and Refugees in Canada: A National Perspective on Ethnicity, Multiculturalism and Cross-Cultural Adjustment</w:t>
      </w:r>
      <w:r w:rsidRPr="00660D1C">
        <w:rPr>
          <w:rFonts w:ascii="Gentium" w:hAnsi="Gentium"/>
          <w:color w:val="000000"/>
        </w:rPr>
        <w:t>. Edited by Satya P. Sharma, Alexander M. Ervin, and Deirdre Meintel, 37-46. Saskatoon: University of Saskatchewan, 1991.</w:t>
      </w:r>
    </w:p>
    <w:p w14:paraId="686190A9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Ducellier, Alain. “Byzance face au monde musulman à l’époque des conversions slaves: L’exemple du khalifat fatimide.” </w:t>
      </w:r>
      <w:r w:rsidRPr="00660D1C">
        <w:rPr>
          <w:rFonts w:ascii="Gentium" w:hAnsi="Gentium"/>
          <w:i/>
          <w:color w:val="000000"/>
        </w:rPr>
        <w:t>Harvard</w:t>
      </w:r>
      <w:r w:rsidRPr="00660D1C"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i/>
          <w:color w:val="000000"/>
        </w:rPr>
        <w:t>Ukrainian Studies</w:t>
      </w:r>
      <w:r w:rsidRPr="00660D1C">
        <w:rPr>
          <w:rFonts w:ascii="Gentium" w:hAnsi="Gentium"/>
          <w:color w:val="000000"/>
        </w:rPr>
        <w:t xml:space="preserve"> </w:t>
      </w:r>
      <w:r w:rsidRPr="001859D3">
        <w:rPr>
          <w:rFonts w:ascii="Gentium" w:hAnsi="Gentium"/>
        </w:rPr>
        <w:t>12/13</w:t>
      </w:r>
      <w:r w:rsidRPr="00660D1C">
        <w:rPr>
          <w:rFonts w:ascii="Gentium" w:hAnsi="Gentium"/>
          <w:color w:val="000000"/>
        </w:rPr>
        <w:t xml:space="preserve"> (1988-1989): 373-386.</w:t>
      </w:r>
    </w:p>
    <w:p w14:paraId="01F7888D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Ebitz, David MacKinnon. “Fatimid Style and Byzantine Model in a Venetian Ivory Carving Workshop.” In </w:t>
      </w:r>
      <w:r w:rsidRPr="00660D1C">
        <w:rPr>
          <w:rFonts w:ascii="Gentium" w:hAnsi="Gentium"/>
          <w:i/>
          <w:color w:val="000000"/>
        </w:rPr>
        <w:t>The Meeting of Two Worlds: Cultural Exchange between East and West during the Period of the Crusades</w:t>
      </w:r>
      <w:r w:rsidRPr="00660D1C">
        <w:rPr>
          <w:rFonts w:ascii="Gentium" w:hAnsi="Gentium"/>
          <w:color w:val="000000"/>
        </w:rPr>
        <w:t>. Studies in Medieval Culture 21. Edited by Vladimir P. Goss and Christine Verzár Bornstein, 309-329. Kalamazoo, Mich: Medieval Institute Publications, Western Michigan University, 1986.</w:t>
      </w:r>
    </w:p>
    <w:p w14:paraId="103E44F2" w14:textId="77777777" w:rsidR="00EA60B1" w:rsidRPr="002F1EB9" w:rsidRDefault="00EA60B1" w:rsidP="00EA60B1">
      <w:pPr>
        <w:rPr>
          <w:rFonts w:ascii="Gentium" w:hAnsi="Gentium"/>
          <w:i/>
          <w:color w:val="000000"/>
        </w:rPr>
      </w:pPr>
      <w:r w:rsidRPr="00660D1C">
        <w:rPr>
          <w:rFonts w:ascii="Gentium" w:hAnsi="Gentium"/>
          <w:color w:val="000000"/>
        </w:rPr>
        <w:t xml:space="preserve">Ebtehaj, Mastan. “The Library of the Institute of Ismaili Studies.” </w:t>
      </w:r>
      <w:r w:rsidRPr="00660D1C">
        <w:rPr>
          <w:rFonts w:ascii="Gentium" w:hAnsi="Gentium"/>
          <w:i/>
          <w:color w:val="000000"/>
        </w:rPr>
        <w:t xml:space="preserve">South Asia Library Group </w:t>
      </w:r>
      <w:r w:rsidRPr="002F1EB9">
        <w:rPr>
          <w:rFonts w:ascii="Gentium" w:hAnsi="Gentium"/>
          <w:color w:val="000000"/>
        </w:rPr>
        <w:t>(</w:t>
      </w:r>
      <w:r w:rsidRPr="002F1EB9">
        <w:rPr>
          <w:rFonts w:ascii="Gentium" w:hAnsi="Gentium"/>
          <w:i/>
          <w:color w:val="000000"/>
        </w:rPr>
        <w:t>SALG</w:t>
      </w:r>
      <w:r w:rsidRPr="002F1EB9">
        <w:rPr>
          <w:rFonts w:ascii="Gentium" w:hAnsi="Gentium"/>
          <w:color w:val="000000"/>
        </w:rPr>
        <w:t>)</w:t>
      </w:r>
      <w:r>
        <w:rPr>
          <w:rFonts w:ascii="Gentium" w:hAnsi="Gentium"/>
          <w:i/>
          <w:color w:val="000000"/>
        </w:rPr>
        <w:t xml:space="preserve"> </w:t>
      </w:r>
      <w:r w:rsidRPr="00660D1C">
        <w:rPr>
          <w:rFonts w:ascii="Gentium" w:hAnsi="Gentium"/>
          <w:i/>
          <w:color w:val="000000"/>
        </w:rPr>
        <w:t xml:space="preserve">Newsletter </w:t>
      </w:r>
      <w:r w:rsidRPr="00660D1C">
        <w:rPr>
          <w:rFonts w:ascii="Gentium" w:hAnsi="Gentium"/>
          <w:color w:val="000000"/>
        </w:rPr>
        <w:t>44 (1997): 16-17.</w:t>
      </w:r>
    </w:p>
    <w:p w14:paraId="3FE7A27A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Eddé, Anne-Marie. “Assassins.” In </w:t>
      </w:r>
      <w:r w:rsidRPr="00660D1C">
        <w:rPr>
          <w:rFonts w:ascii="Gentium" w:hAnsi="Gentium"/>
          <w:i/>
          <w:color w:val="000000"/>
        </w:rPr>
        <w:t>Encyclopedia of the Middle Ages</w:t>
      </w:r>
      <w:r w:rsidRPr="00660D1C">
        <w:rPr>
          <w:rFonts w:ascii="Gentium" w:hAnsi="Gentium"/>
          <w:color w:val="000000"/>
        </w:rPr>
        <w:t>. 2 vols. Edited by André Vauchez, R. B. Dobson, and Michael Lapidge, 1:121. Paris: Cerf, 2000.</w:t>
      </w:r>
    </w:p>
    <w:p w14:paraId="3450F365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Egbert, Henrik. “Entrepreneurial Advantages and Disadvantages of Belonging.” </w:t>
      </w:r>
      <w:r w:rsidRPr="00660D1C">
        <w:rPr>
          <w:rFonts w:ascii="Gentium" w:hAnsi="Gentium"/>
          <w:i/>
          <w:color w:val="000000"/>
        </w:rPr>
        <w:t>GeoJournal</w:t>
      </w:r>
      <w:r w:rsidRPr="00660D1C">
        <w:rPr>
          <w:rFonts w:ascii="Gentium" w:hAnsi="Gentium"/>
          <w:color w:val="000000"/>
        </w:rPr>
        <w:t xml:space="preserve"> 46:2 (1998): 129-134.</w:t>
      </w:r>
    </w:p>
    <w:p w14:paraId="209631B3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Elahi, Sarwat S. “Khoja.” In </w:t>
      </w:r>
      <w:r w:rsidRPr="00660D1C">
        <w:rPr>
          <w:rFonts w:ascii="Gentium" w:hAnsi="Gentium"/>
          <w:i/>
          <w:color w:val="000000"/>
        </w:rPr>
        <w:t>South Asia</w:t>
      </w:r>
      <w:r w:rsidRPr="00660D1C">
        <w:rPr>
          <w:rFonts w:ascii="Gentium" w:hAnsi="Gentium"/>
          <w:color w:val="000000"/>
        </w:rPr>
        <w:t xml:space="preserve">. Vol. 3 of </w:t>
      </w:r>
      <w:r w:rsidRPr="00660D1C">
        <w:rPr>
          <w:rFonts w:ascii="Gentium" w:hAnsi="Gentium"/>
          <w:i/>
          <w:color w:val="000000"/>
        </w:rPr>
        <w:t>Encyclopedia of World Cultures</w:t>
      </w:r>
      <w:r w:rsidRPr="00660D1C">
        <w:rPr>
          <w:rFonts w:ascii="Gentium" w:hAnsi="Gentium"/>
          <w:color w:val="000000"/>
        </w:rPr>
        <w:t>. Edited by Paul Hockings, 127-128. 11 vols. Boston, Mass: G.K. Hall, 1991-2002.</w:t>
      </w:r>
    </w:p>
    <w:p w14:paraId="3CFD68DC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Elias, Mohamed. “Mark Twain and the Aga Khan: Mutual Impressions.” </w:t>
      </w:r>
      <w:r w:rsidRPr="00660D1C">
        <w:rPr>
          <w:rFonts w:ascii="Gentium" w:hAnsi="Gentium"/>
          <w:i/>
          <w:color w:val="000000"/>
        </w:rPr>
        <w:t>Indian Journal of</w:t>
      </w:r>
      <w:r w:rsidRPr="00660D1C"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i/>
          <w:color w:val="000000"/>
        </w:rPr>
        <w:t>American Studies</w:t>
      </w:r>
      <w:r w:rsidRPr="00660D1C">
        <w:rPr>
          <w:rFonts w:ascii="Gentium" w:hAnsi="Gentium"/>
          <w:color w:val="000000"/>
        </w:rPr>
        <w:t xml:space="preserve"> 8:1 (1978): 46-49.</w:t>
      </w:r>
    </w:p>
    <w:p w14:paraId="60AC88AD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Elsberg, H. A., and Rhuvon Guest. “The Veil of Saint Anne.” </w:t>
      </w:r>
      <w:r w:rsidRPr="00660D1C">
        <w:rPr>
          <w:rFonts w:ascii="Gentium" w:hAnsi="Gentium"/>
          <w:i/>
          <w:color w:val="000000"/>
        </w:rPr>
        <w:t>Burlington Magazine</w:t>
      </w:r>
      <w:r w:rsidRPr="00660D1C">
        <w:rPr>
          <w:rFonts w:ascii="Gentium" w:hAnsi="Gentium"/>
          <w:color w:val="000000"/>
        </w:rPr>
        <w:t xml:space="preserve"> </w:t>
      </w:r>
      <w:r w:rsidRPr="00424EDE">
        <w:rPr>
          <w:rFonts w:ascii="Gentium" w:hAnsi="Gentium"/>
        </w:rPr>
        <w:t>68:396</w:t>
      </w:r>
      <w:r w:rsidRPr="00660D1C">
        <w:rPr>
          <w:rFonts w:ascii="Gentium" w:hAnsi="Gentium"/>
          <w:color w:val="FF0000"/>
        </w:rPr>
        <w:t xml:space="preserve"> </w:t>
      </w:r>
      <w:r w:rsidRPr="00660D1C">
        <w:rPr>
          <w:rFonts w:ascii="Gentium" w:hAnsi="Gentium"/>
          <w:color w:val="000000"/>
        </w:rPr>
        <w:t>(1936): 140-147.</w:t>
      </w:r>
    </w:p>
    <w:p w14:paraId="56043CFF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Embree, Ainslie T. “Aga Khan.” In </w:t>
      </w:r>
      <w:r w:rsidRPr="00660D1C">
        <w:rPr>
          <w:rFonts w:ascii="Gentium" w:hAnsi="Gentium"/>
          <w:i/>
          <w:color w:val="000000"/>
        </w:rPr>
        <w:t>The McGraw-Hill Encyclopedia of World Biography: An International Reference Work</w:t>
      </w:r>
      <w:r w:rsidRPr="00660D1C">
        <w:rPr>
          <w:rFonts w:ascii="Gentium" w:hAnsi="Gentium"/>
          <w:color w:val="000000"/>
        </w:rPr>
        <w:t>. 12 vols. 1:63-66. New York: McGraw-Hill, 1973.</w:t>
      </w:r>
      <w:r w:rsidRPr="00671227">
        <w:rPr>
          <w:rFonts w:ascii="Gentium" w:hAnsi="Gentium"/>
        </w:rPr>
        <w:t xml:space="preserve"> 2</w:t>
      </w:r>
      <w:r w:rsidRPr="00671227">
        <w:rPr>
          <w:rFonts w:ascii="Gentium" w:hAnsi="Gentium"/>
          <w:vertAlign w:val="superscript"/>
        </w:rPr>
        <w:t>nd</w:t>
      </w:r>
      <w:r w:rsidRPr="00671227">
        <w:rPr>
          <w:rFonts w:ascii="Gentium" w:hAnsi="Gentium"/>
        </w:rPr>
        <w:t xml:space="preserve"> ed. </w:t>
      </w:r>
      <w:r w:rsidRPr="00660D1C">
        <w:rPr>
          <w:rFonts w:ascii="Gentium" w:hAnsi="Gentium"/>
          <w:color w:val="000000"/>
        </w:rPr>
        <w:t>29 vols. 1:74-76. Detroit: Gale Research, 1998.</w:t>
      </w:r>
    </w:p>
    <w:p w14:paraId="7BA4EEE8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Engineer, Asghar Ali. “Influence of Indian Thought on Syed Sadiq Ali - A Bohra </w:t>
      </w:r>
      <w:r w:rsidRPr="00424EDE">
        <w:rPr>
          <w:rFonts w:ascii="Gentium" w:hAnsi="Gentium"/>
        </w:rPr>
        <w:t>Saint.”</w:t>
      </w:r>
      <w:r w:rsidRPr="00660D1C"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i/>
          <w:color w:val="000000"/>
        </w:rPr>
        <w:t>Journal of Medieval Indian Literature</w:t>
      </w:r>
      <w:r w:rsidRPr="00660D1C">
        <w:rPr>
          <w:rFonts w:ascii="Gentium" w:hAnsi="Gentium"/>
          <w:color w:val="000000"/>
        </w:rPr>
        <w:t xml:space="preserve"> 1:1 (1977): 93-103.</w:t>
      </w:r>
    </w:p>
    <w:p w14:paraId="016E262F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“The Isma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ilis – Harbingers of Protest and Rationalist Movement in Islam.” In </w:t>
      </w:r>
      <w:r w:rsidRPr="00660D1C">
        <w:rPr>
          <w:rFonts w:ascii="Gentium" w:hAnsi="Gentium"/>
          <w:i/>
          <w:color w:val="000000"/>
        </w:rPr>
        <w:t>Reason and Tradition in Islamic Thought</w:t>
      </w:r>
      <w:r w:rsidRPr="00660D1C">
        <w:rPr>
          <w:rFonts w:ascii="Gentium" w:hAnsi="Gentium"/>
          <w:color w:val="000000"/>
        </w:rPr>
        <w:t>. Edited by Haq Mahmudul, 75-87. Aligarh: Institute of Islamic Studies, Aligarh Muslim University, 1992.</w:t>
      </w:r>
    </w:p>
    <w:p w14:paraId="79BB7BC3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</w:t>
      </w:r>
      <w:r w:rsidRPr="00660D1C">
        <w:rPr>
          <w:rFonts w:ascii="Gentium" w:hAnsi="Gentium"/>
          <w:i/>
          <w:color w:val="000000"/>
        </w:rPr>
        <w:t>Ikhwanus Safa</w:t>
      </w:r>
      <w:r w:rsidRPr="00660D1C">
        <w:rPr>
          <w:rFonts w:ascii="Gentium" w:hAnsi="Gentium"/>
          <w:color w:val="000000"/>
        </w:rPr>
        <w:t xml:space="preserve"> - A Rational and Liberal Approach to Islam.” Chap. 14 in </w:t>
      </w:r>
      <w:r w:rsidRPr="00660D1C">
        <w:rPr>
          <w:rFonts w:ascii="Gentium" w:hAnsi="Gentium"/>
          <w:i/>
          <w:color w:val="000000"/>
        </w:rPr>
        <w:t>Rational Approach to Islam</w:t>
      </w:r>
      <w:r w:rsidRPr="00660D1C">
        <w:rPr>
          <w:rFonts w:ascii="Gentium" w:hAnsi="Gentium"/>
          <w:color w:val="000000"/>
        </w:rPr>
        <w:t>, 157-167. New Delhi: Gyan Pub. House, 2001.</w:t>
      </w:r>
    </w:p>
    <w:p w14:paraId="2887EBDE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“Qur</w:t>
      </w:r>
      <w:r w:rsidRPr="00660D1C">
        <w:rPr>
          <w:rFonts w:ascii="Calibri" w:hAnsi="Calibri" w:cs="Calibri"/>
          <w:color w:val="000000"/>
        </w:rPr>
        <w:t>ʾ</w:t>
      </w:r>
      <w:r w:rsidRPr="00660D1C">
        <w:rPr>
          <w:rFonts w:ascii="Gentium" w:hAnsi="Gentium"/>
          <w:color w:val="000000"/>
        </w:rPr>
        <w:t>an and Isma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ili </w:t>
      </w:r>
      <w:r w:rsidRPr="001859D3">
        <w:rPr>
          <w:rFonts w:ascii="Gentium" w:hAnsi="Gentium"/>
          <w:i/>
          <w:color w:val="000000"/>
        </w:rPr>
        <w:t>ta</w:t>
      </w:r>
      <w:r w:rsidRPr="001859D3">
        <w:rPr>
          <w:rFonts w:ascii="Calibri" w:hAnsi="Calibri" w:cs="Calibri"/>
          <w:i/>
          <w:color w:val="000000"/>
        </w:rPr>
        <w:t>ʾ</w:t>
      </w:r>
      <w:r w:rsidRPr="001859D3">
        <w:rPr>
          <w:rFonts w:ascii="Gentium" w:hAnsi="Gentium"/>
          <w:i/>
          <w:color w:val="000000"/>
        </w:rPr>
        <w:t>wil</w:t>
      </w:r>
      <w:r w:rsidRPr="00660D1C">
        <w:rPr>
          <w:rFonts w:ascii="Gentium" w:hAnsi="Gentium"/>
          <w:color w:val="000000"/>
        </w:rPr>
        <w:t xml:space="preserve">.” Chap. 21 in </w:t>
      </w:r>
      <w:r w:rsidRPr="00660D1C">
        <w:rPr>
          <w:rFonts w:ascii="Gentium" w:hAnsi="Gentium"/>
          <w:i/>
          <w:color w:val="000000"/>
        </w:rPr>
        <w:t>Rational Approach to Islam</w:t>
      </w:r>
      <w:r w:rsidRPr="00660D1C">
        <w:rPr>
          <w:rFonts w:ascii="Gentium" w:hAnsi="Gentium"/>
          <w:color w:val="000000"/>
        </w:rPr>
        <w:t>, 231-240. New Delhi: Gyan Pub. House, 2001.</w:t>
      </w:r>
    </w:p>
    <w:p w14:paraId="0170649E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“The Intra-Community Violations of Rights - The Bohra Case.” Chap. 24 in </w:t>
      </w:r>
      <w:r w:rsidRPr="00660D1C">
        <w:rPr>
          <w:rFonts w:ascii="Gentium" w:hAnsi="Gentium"/>
          <w:i/>
          <w:color w:val="000000"/>
        </w:rPr>
        <w:t>Rational Approach to Islam</w:t>
      </w:r>
      <w:r w:rsidRPr="00660D1C">
        <w:rPr>
          <w:rFonts w:ascii="Gentium" w:hAnsi="Gentium"/>
          <w:color w:val="000000"/>
        </w:rPr>
        <w:t>, 261-269. New Delhi: Gyan Pub. House, 2001.</w:t>
      </w:r>
    </w:p>
    <w:p w14:paraId="4FD0A104" w14:textId="77777777" w:rsidR="00EA60B1" w:rsidRPr="0081715C" w:rsidRDefault="00EA60B1" w:rsidP="00EA60B1">
      <w:r w:rsidRPr="0081715C">
        <w:rPr>
          <w:rFonts w:ascii="Gentium" w:hAnsi="Gentium"/>
        </w:rPr>
        <w:t xml:space="preserve">___. “The Reformists and the Bohra Priesthood.” Chap. 16 in </w:t>
      </w:r>
      <w:r w:rsidRPr="0081715C">
        <w:rPr>
          <w:rFonts w:ascii="Gentium" w:hAnsi="Gentium"/>
          <w:i/>
        </w:rPr>
        <w:t>On Developing Theology of Peace in Islam</w:t>
      </w:r>
      <w:r w:rsidRPr="0081715C">
        <w:rPr>
          <w:rFonts w:ascii="Gentium" w:hAnsi="Gentium"/>
        </w:rPr>
        <w:t>, 166-176. New Delhi: S</w:t>
      </w:r>
      <w:r>
        <w:rPr>
          <w:rFonts w:ascii="Gentium" w:hAnsi="Gentium"/>
        </w:rPr>
        <w:t>terling Publishers Private Limited,</w:t>
      </w:r>
      <w:r w:rsidRPr="0081715C">
        <w:rPr>
          <w:rFonts w:ascii="Gentium" w:hAnsi="Gentium"/>
        </w:rPr>
        <w:t xml:space="preserve"> 2003.</w:t>
      </w:r>
      <w:r w:rsidRPr="0081715C">
        <w:t xml:space="preserve"> </w:t>
      </w:r>
    </w:p>
    <w:p w14:paraId="11BE0953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Erdmann, Kurt. “Drei figürliche Holzschnitzereien fatimidischer Zeit.” In </w:t>
      </w:r>
      <w:r w:rsidRPr="00660D1C">
        <w:rPr>
          <w:rFonts w:ascii="Gentium" w:hAnsi="Gentium"/>
          <w:i/>
          <w:color w:val="000000"/>
        </w:rPr>
        <w:t>Festschrift für Peter Metz</w:t>
      </w:r>
      <w:r w:rsidRPr="00660D1C">
        <w:rPr>
          <w:rFonts w:ascii="Gentium" w:hAnsi="Gentium"/>
          <w:color w:val="000000"/>
        </w:rPr>
        <w:t>. Edited by Ursula Schlegel and Claus Zoege von Manteuffel, 148-153. Berlin: De Gruyter, 1965.</w:t>
      </w:r>
    </w:p>
    <w:p w14:paraId="42785F30" w14:textId="77777777" w:rsidR="00EA60B1" w:rsidRPr="00660D1C" w:rsidRDefault="00EA60B1" w:rsidP="00EA60B1">
      <w:pPr>
        <w:rPr>
          <w:rFonts w:ascii="Gentium" w:hAnsi="Gentium"/>
          <w:color w:val="000000"/>
        </w:rPr>
      </w:pPr>
      <w:r>
        <w:rPr>
          <w:rFonts w:ascii="Gentium" w:hAnsi="Gentium"/>
          <w:color w:val="000000"/>
        </w:rPr>
        <w:t xml:space="preserve">El-Erian, Abdalla </w:t>
      </w:r>
      <w:r w:rsidRPr="00660D1C">
        <w:rPr>
          <w:rFonts w:ascii="Gentium" w:hAnsi="Gentium"/>
          <w:color w:val="000000"/>
        </w:rPr>
        <w:t>Ahmed. “An Approach to Urban Conservation in the Islamic City with Special Reference to the Historic Environment of Fatimite Cairo.” Ph.D. diss., University of Manchester, 1983. xiv + 451 pp.</w:t>
      </w:r>
    </w:p>
    <w:p w14:paraId="1EE88A75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Etschmann, Wolfgang. “Die Assassinen – eine radikale islamische Sekte im Hochmittelalter.” </w:t>
      </w:r>
      <w:r w:rsidRPr="00660D1C">
        <w:rPr>
          <w:rFonts w:ascii="Gentium" w:hAnsi="Gentium"/>
          <w:i/>
          <w:color w:val="000000"/>
        </w:rPr>
        <w:t>Österreichische Militärische Zeitschrift</w:t>
      </w:r>
      <w:r w:rsidRPr="00660D1C">
        <w:rPr>
          <w:rFonts w:ascii="Gentium" w:hAnsi="Gentium"/>
          <w:color w:val="000000"/>
        </w:rPr>
        <w:t xml:space="preserve"> 40:2 (2002): 171-173.</w:t>
      </w:r>
    </w:p>
    <w:p w14:paraId="5A14720F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Farag, Wesam. “The Aleppo Question: A Byzantine-Fatimid Conflict of Interests in Northern Syria in the Later Tenth Century A.D.” </w:t>
      </w:r>
      <w:r w:rsidRPr="00660D1C">
        <w:rPr>
          <w:rFonts w:ascii="Gentium" w:hAnsi="Gentium"/>
          <w:i/>
          <w:color w:val="000000"/>
        </w:rPr>
        <w:t>Byzantine and Modern Greek Studies</w:t>
      </w:r>
      <w:r w:rsidRPr="00660D1C">
        <w:rPr>
          <w:rFonts w:ascii="Gentium" w:hAnsi="Gentium"/>
          <w:color w:val="000000"/>
        </w:rPr>
        <w:t xml:space="preserve"> 14 (1990): 44-60.</w:t>
      </w:r>
    </w:p>
    <w:p w14:paraId="5D689532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Farrow, Edward S. “Assassins.” In </w:t>
      </w:r>
      <w:r w:rsidRPr="00660D1C">
        <w:rPr>
          <w:rFonts w:ascii="Gentium" w:hAnsi="Gentium"/>
          <w:i/>
          <w:color w:val="000000"/>
        </w:rPr>
        <w:t>Farrow’s Military Encyclopedia: A Dictionary of Military Knowledge</w:t>
      </w:r>
      <w:r w:rsidRPr="00660D1C">
        <w:rPr>
          <w:rFonts w:ascii="Gentium" w:hAnsi="Gentium"/>
          <w:color w:val="000000"/>
        </w:rPr>
        <w:t>.</w:t>
      </w:r>
      <w:r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color w:val="000000"/>
        </w:rPr>
        <w:t>3 vols. 1:112-113. New York: Edward S. Farrow, 1885.</w:t>
      </w:r>
    </w:p>
    <w:p w14:paraId="103080A6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Fenger, Mogens. “Fornyelsens vind: Ismaili-muslimerne i Pakistans nordlige bjerge.”</w:t>
      </w:r>
      <w:r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i/>
          <w:color w:val="000000"/>
        </w:rPr>
        <w:t>Jordens Folk</w:t>
      </w:r>
      <w:r w:rsidRPr="00660D1C">
        <w:rPr>
          <w:rFonts w:ascii="Gentium" w:hAnsi="Gentium"/>
          <w:color w:val="000000"/>
        </w:rPr>
        <w:t xml:space="preserve"> 21:3 (1986): 111-118. [In Danish]</w:t>
      </w:r>
    </w:p>
    <w:p w14:paraId="2FC41FD8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Ferré, André. “Fatimids and the Copts,” “Ḥākim Bi-Amr-Illāh Abū ‘Alī Manṣūr, al-.” In </w:t>
      </w:r>
      <w:r w:rsidRPr="00660D1C">
        <w:rPr>
          <w:rFonts w:ascii="Gentium" w:hAnsi="Gentium"/>
          <w:i/>
          <w:color w:val="000000"/>
        </w:rPr>
        <w:t>The Coptic Encyclopedia</w:t>
      </w:r>
      <w:r w:rsidRPr="00660D1C">
        <w:rPr>
          <w:rFonts w:ascii="Gentium" w:hAnsi="Gentium"/>
          <w:color w:val="000000"/>
        </w:rPr>
        <w:t>. 8 vols. Edited by Aziz Suryal Atiya, 4:1097-1100; 4:1200-1203. New York: Macmillan, 1991.</w:t>
      </w:r>
    </w:p>
    <w:p w14:paraId="12067C82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Finster, Barbara. “Survey Islamischer Bau- und Kunstdenkmäler im Yemen, Erster vorläufiger Bericht. III. Die Moschee der Arwā bint Aḥmad in Ğibla.” </w:t>
      </w:r>
      <w:r w:rsidRPr="00660D1C">
        <w:rPr>
          <w:rFonts w:ascii="Gentium" w:hAnsi="Gentium"/>
          <w:i/>
          <w:color w:val="000000"/>
        </w:rPr>
        <w:t xml:space="preserve">Archäologische Berichte aus dem Yemen </w:t>
      </w:r>
      <w:r w:rsidRPr="00660D1C">
        <w:rPr>
          <w:rFonts w:ascii="Gentium" w:hAnsi="Gentium"/>
          <w:color w:val="000000"/>
        </w:rPr>
        <w:t>1 (1982): 232-241.</w:t>
      </w:r>
    </w:p>
    <w:p w14:paraId="1DE3554E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“On Masjid al-Juyūshī on the Muqaṭṭam.” </w:t>
      </w:r>
      <w:r w:rsidRPr="00660D1C">
        <w:rPr>
          <w:rFonts w:ascii="Gentium" w:hAnsi="Gentium"/>
          <w:i/>
          <w:color w:val="000000"/>
        </w:rPr>
        <w:t>Archéologie Islamique</w:t>
      </w:r>
      <w:r w:rsidRPr="00660D1C">
        <w:rPr>
          <w:rFonts w:ascii="Gentium" w:hAnsi="Gentium"/>
          <w:color w:val="000000"/>
        </w:rPr>
        <w:t xml:space="preserve"> 10 (2000): 65-78.</w:t>
      </w:r>
    </w:p>
    <w:p w14:paraId="354C4F27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Fleischhauer, Wolfgang. “The </w:t>
      </w:r>
      <w:r w:rsidRPr="00660D1C">
        <w:rPr>
          <w:rFonts w:ascii="Gentium" w:hAnsi="Gentium"/>
          <w:i/>
          <w:color w:val="000000"/>
        </w:rPr>
        <w:t>Ackermann aus Böhmen</w:t>
      </w:r>
      <w:r w:rsidRPr="00660D1C">
        <w:rPr>
          <w:rFonts w:ascii="Gentium" w:hAnsi="Gentium"/>
          <w:color w:val="000000"/>
        </w:rPr>
        <w:t xml:space="preserve"> and the Old Man of the Mountain.” </w:t>
      </w:r>
      <w:r w:rsidRPr="00660D1C">
        <w:rPr>
          <w:rFonts w:ascii="Gentium" w:hAnsi="Gentium"/>
          <w:i/>
          <w:color w:val="000000"/>
        </w:rPr>
        <w:t>Monatshefte</w:t>
      </w:r>
      <w:r w:rsidRPr="00660D1C">
        <w:rPr>
          <w:rFonts w:ascii="Gentium" w:hAnsi="Gentium"/>
          <w:color w:val="000000"/>
        </w:rPr>
        <w:t xml:space="preserve"> 45:4 (1953): 189-201.</w:t>
      </w:r>
    </w:p>
    <w:p w14:paraId="4B855F63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Footman, David. “The Riddle of Hassan II.” </w:t>
      </w:r>
      <w:r w:rsidRPr="00660D1C">
        <w:rPr>
          <w:rFonts w:ascii="Gentium" w:hAnsi="Gentium"/>
          <w:i/>
          <w:color w:val="000000"/>
        </w:rPr>
        <w:t>History Today</w:t>
      </w:r>
      <w:r w:rsidRPr="00660D1C">
        <w:rPr>
          <w:rFonts w:ascii="Gentium" w:hAnsi="Gentium"/>
          <w:color w:val="000000"/>
        </w:rPr>
        <w:t xml:space="preserve"> 1:9 (1951): 65-70.</w:t>
      </w:r>
    </w:p>
    <w:p w14:paraId="56A93919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France, John. “Assassins.” In </w:t>
      </w:r>
      <w:r w:rsidRPr="00660D1C">
        <w:rPr>
          <w:rFonts w:ascii="Gentium" w:hAnsi="Gentium"/>
          <w:i/>
          <w:color w:val="000000"/>
        </w:rPr>
        <w:t>The Oxford Companion to Military History</w:t>
      </w:r>
      <w:r w:rsidRPr="00660D1C">
        <w:rPr>
          <w:rFonts w:ascii="Gentium" w:hAnsi="Gentium"/>
          <w:color w:val="000000"/>
        </w:rPr>
        <w:t>. Edited by Richard Holmes, 102. Oxford: Oxford University Press, 2001.</w:t>
      </w:r>
    </w:p>
    <w:p w14:paraId="35004FA5" w14:textId="77777777" w:rsidR="00EA60B1" w:rsidRDefault="00EA60B1" w:rsidP="00EA60B1">
      <w:pPr>
        <w:rPr>
          <w:rFonts w:ascii="Gentium" w:hAnsi="Gentium"/>
          <w:color w:val="000000"/>
        </w:rPr>
      </w:pPr>
      <w:r w:rsidRPr="00954D44">
        <w:rPr>
          <w:rFonts w:ascii="Gentium" w:hAnsi="Gentium"/>
          <w:color w:val="000000"/>
        </w:rPr>
        <w:t xml:space="preserve">Frantz-Murphy, Gladys. “Fātimids.” In </w:t>
      </w:r>
      <w:r w:rsidRPr="00954D44">
        <w:rPr>
          <w:rFonts w:ascii="Gentium" w:hAnsi="Gentium"/>
          <w:i/>
          <w:color w:val="000000"/>
        </w:rPr>
        <w:t>Trade, Travel, and Exploration in the Middle Ages: An Encyclopedia</w:t>
      </w:r>
      <w:r w:rsidRPr="00954D44">
        <w:rPr>
          <w:rFonts w:ascii="Gentium" w:hAnsi="Gentium"/>
          <w:color w:val="000000"/>
        </w:rPr>
        <w:t>. Edited by John B. Friedman and Kristen M. Figg, 193-195. New York: Garland Pub</w:t>
      </w:r>
      <w:r>
        <w:rPr>
          <w:rFonts w:ascii="Gentium" w:hAnsi="Gentium"/>
          <w:color w:val="000000"/>
        </w:rPr>
        <w:t>.</w:t>
      </w:r>
      <w:r w:rsidRPr="00954D44">
        <w:rPr>
          <w:rFonts w:ascii="Gentium" w:hAnsi="Gentium"/>
          <w:color w:val="000000"/>
        </w:rPr>
        <w:t>, 2000.</w:t>
      </w:r>
    </w:p>
    <w:p w14:paraId="67FC456E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Franz, Kurt. “Mobilization by Charisma? Ismā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īlī Missionaries and the Bedouin of the Syrian Steppe about 900 A.D.” </w:t>
      </w:r>
      <w:r w:rsidRPr="00660D1C">
        <w:rPr>
          <w:rFonts w:ascii="Gentium" w:hAnsi="Gentium"/>
          <w:i/>
          <w:color w:val="000000"/>
        </w:rPr>
        <w:t>Mitteilungen des SFB “Differenz und Integration”</w:t>
      </w:r>
      <w:r w:rsidRPr="00660D1C">
        <w:rPr>
          <w:rFonts w:ascii="Gentium" w:hAnsi="Gentium"/>
          <w:color w:val="000000"/>
        </w:rPr>
        <w:t xml:space="preserve"> 4:1 (2003): 211-251.</w:t>
      </w:r>
    </w:p>
    <w:p w14:paraId="54007AA8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Frenkel, Miriam. “The Jewish Community of Alexandria under the Fatimids and the Ayyubids: Portrait of a Leading Elite.” Ph.D. diss., The Hebrew University of Jerusalem, 2001. 2 vols. xxi + 302 pp.; xii + 353 pp. [In Hebrew with English Summary]</w:t>
      </w:r>
    </w:p>
    <w:p w14:paraId="316E55E0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Frenkel, Yehoshu</w:t>
      </w:r>
      <w:r w:rsidRPr="005737AD">
        <w:rPr>
          <w:rFonts w:ascii="Gentium" w:hAnsi="Gentium"/>
          <w:color w:val="000000"/>
        </w:rPr>
        <w:t>’</w:t>
      </w:r>
      <w:r w:rsidRPr="00660D1C">
        <w:rPr>
          <w:rFonts w:ascii="Gentium" w:hAnsi="Gentium"/>
          <w:color w:val="000000"/>
        </w:rPr>
        <w:t xml:space="preserve">a. “The Penetration of Bedouin Tribes into Eretz-Israel in the Fatimid Period (969-1096 C. E.).” </w:t>
      </w:r>
      <w:r w:rsidRPr="00660D1C">
        <w:rPr>
          <w:rFonts w:ascii="Gentium" w:hAnsi="Gentium"/>
          <w:i/>
          <w:color w:val="000000"/>
        </w:rPr>
        <w:t>Cathedra</w:t>
      </w:r>
      <w:r w:rsidRPr="00660D1C">
        <w:rPr>
          <w:rFonts w:ascii="Gentium" w:hAnsi="Gentium"/>
          <w:color w:val="000000"/>
        </w:rPr>
        <w:t xml:space="preserve"> 11 (1979): 86-108. [In Hebrew]</w:t>
      </w:r>
    </w:p>
    <w:p w14:paraId="70E139DB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Fritze, Ronald H. “Alamut,” “Assassins,” “Old Man of the Mountain.” In </w:t>
      </w:r>
      <w:r w:rsidRPr="00660D1C">
        <w:rPr>
          <w:rFonts w:ascii="Gentium" w:hAnsi="Gentium"/>
          <w:i/>
          <w:color w:val="000000"/>
        </w:rPr>
        <w:t>Travel Legend and Lore: An Encyclopedia</w:t>
      </w:r>
      <w:r w:rsidRPr="00660D1C">
        <w:rPr>
          <w:rFonts w:ascii="Gentium" w:hAnsi="Gentium"/>
          <w:color w:val="000000"/>
        </w:rPr>
        <w:t>. Santa Barbara, Calif: ABC-CLIO, 1998.</w:t>
      </w:r>
    </w:p>
    <w:p w14:paraId="0B756B57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García-Arenal, Mercedes. “Los fatimíes.” </w:t>
      </w:r>
      <w:r w:rsidRPr="00660D1C">
        <w:rPr>
          <w:rFonts w:ascii="Gentium" w:hAnsi="Gentium"/>
          <w:i/>
          <w:color w:val="000000"/>
        </w:rPr>
        <w:t>Historia 16</w:t>
      </w:r>
      <w:r w:rsidRPr="00660D1C">
        <w:rPr>
          <w:rFonts w:ascii="Gentium" w:hAnsi="Gentium"/>
          <w:color w:val="000000"/>
        </w:rPr>
        <w:t xml:space="preserve"> 64 (1981): 67-73.</w:t>
      </w:r>
    </w:p>
    <w:p w14:paraId="32A3A7EC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García Giménez, Rosario, and Fernando Valdés Fernández. “Acerca del origen y de la cronología de los cristales de roca llamados fatimíes: El vidrio de Badajoz y la botella de Astorga.” </w:t>
      </w:r>
      <w:r w:rsidRPr="00660D1C">
        <w:rPr>
          <w:rFonts w:ascii="Gentium" w:hAnsi="Gentium"/>
          <w:i/>
          <w:color w:val="000000"/>
        </w:rPr>
        <w:t>Cuadernos de Prehistoria y Arqueología</w:t>
      </w:r>
      <w:r w:rsidRPr="00660D1C">
        <w:rPr>
          <w:rFonts w:ascii="Gentium" w:hAnsi="Gentium"/>
          <w:color w:val="000000"/>
        </w:rPr>
        <w:t xml:space="preserve"> 23 (1996): 260-276.</w:t>
      </w:r>
    </w:p>
    <w:p w14:paraId="4B6DCEDE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Gardezi, Nazeer. “The Role of the Batini-Fidais of Ismaili Sector [</w:t>
      </w:r>
      <w:r w:rsidRPr="00660D1C">
        <w:rPr>
          <w:rFonts w:ascii="Gentium" w:hAnsi="Gentium"/>
          <w:i/>
          <w:color w:val="000000"/>
        </w:rPr>
        <w:t>sic</w:t>
      </w:r>
      <w:r w:rsidRPr="00660D1C">
        <w:rPr>
          <w:rFonts w:ascii="Gentium" w:hAnsi="Gentium"/>
          <w:color w:val="000000"/>
        </w:rPr>
        <w:t>] in the Politics of Central Asia.”</w:t>
      </w:r>
      <w:r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i/>
          <w:color w:val="000000"/>
        </w:rPr>
        <w:t>Central Asia: Journal of Area Study Centre</w:t>
      </w:r>
      <w:r w:rsidRPr="00660D1C">
        <w:rPr>
          <w:rFonts w:ascii="Gentium" w:hAnsi="Gentium"/>
          <w:color w:val="000000"/>
        </w:rPr>
        <w:t xml:space="preserve"> 38 (1996): 31-53.</w:t>
      </w:r>
    </w:p>
    <w:p w14:paraId="4EA5F516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Garnett, Tony. “</w:t>
      </w:r>
      <w:r w:rsidRPr="00AA1437">
        <w:rPr>
          <w:rFonts w:ascii="Gentium" w:hAnsi="Gentium"/>
        </w:rPr>
        <w:t>12</w:t>
      </w:r>
      <w:r w:rsidRPr="00AA1437">
        <w:rPr>
          <w:rFonts w:ascii="Gentium" w:hAnsi="Gentium"/>
          <w:vertAlign w:val="superscript"/>
        </w:rPr>
        <w:t>th</w:t>
      </w:r>
      <w:r w:rsidRPr="00AA1437">
        <w:rPr>
          <w:rFonts w:ascii="Gentium" w:hAnsi="Gentium"/>
        </w:rPr>
        <w:t xml:space="preserve"> </w:t>
      </w:r>
      <w:r w:rsidRPr="00660D1C">
        <w:rPr>
          <w:rFonts w:ascii="Gentium" w:hAnsi="Gentium"/>
          <w:color w:val="000000"/>
        </w:rPr>
        <w:t>Centu</w:t>
      </w:r>
      <w:r>
        <w:rPr>
          <w:rFonts w:ascii="Gentium" w:hAnsi="Gentium"/>
          <w:color w:val="000000"/>
        </w:rPr>
        <w:t xml:space="preserve">ry Islamic Lead - Glazed Wares: </w:t>
      </w:r>
      <w:r w:rsidRPr="00660D1C">
        <w:rPr>
          <w:rFonts w:ascii="Gentium" w:hAnsi="Gentium"/>
          <w:color w:val="000000"/>
        </w:rPr>
        <w:t xml:space="preserve">An Archaeological Expedition to the Valley of the Assassins, Northern Iran, 1972.” </w:t>
      </w:r>
      <w:r w:rsidRPr="00660D1C">
        <w:rPr>
          <w:rFonts w:ascii="Gentium" w:hAnsi="Gentium"/>
          <w:i/>
          <w:color w:val="000000"/>
        </w:rPr>
        <w:t>Bulletin of the Experimental Firing Group</w:t>
      </w:r>
      <w:r>
        <w:rPr>
          <w:rFonts w:ascii="Gentium" w:hAnsi="Gentium"/>
          <w:color w:val="000000"/>
        </w:rPr>
        <w:t xml:space="preserve"> 3 (1984-</w:t>
      </w:r>
      <w:r w:rsidRPr="00660D1C">
        <w:rPr>
          <w:rFonts w:ascii="Gentium" w:hAnsi="Gentium"/>
          <w:color w:val="000000"/>
        </w:rPr>
        <w:t>1985): 115-127. [U]</w:t>
      </w:r>
    </w:p>
    <w:p w14:paraId="4FB8300C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Garrido Garrido, María. “Escenas cortesanas en la loza dorada fatimi del Museo Nacional de Arte Hispanomusulman de Granada.” In </w:t>
      </w:r>
      <w:r w:rsidRPr="00660D1C">
        <w:rPr>
          <w:rFonts w:ascii="Gentium" w:hAnsi="Gentium"/>
          <w:i/>
          <w:color w:val="000000"/>
        </w:rPr>
        <w:t>Estudios dedicados a Don Jesus Bermudez Pareja (1908-1986)</w:t>
      </w:r>
      <w:r w:rsidRPr="00660D1C">
        <w:rPr>
          <w:rFonts w:ascii="Gentium" w:hAnsi="Gentium"/>
          <w:color w:val="000000"/>
        </w:rPr>
        <w:t>, 37-54, figs. 11-15. Granada [Spain]: Asociación Cultural de Amigos del Museo Hispanomusulman, 1988.</w:t>
      </w:r>
    </w:p>
    <w:p w14:paraId="68181B24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Gay, Denis. “Les Bohra comme communauté transnationale: Redécouverte du pays d’origne et mythe de la patrie d’adoption.” In </w:t>
      </w:r>
      <w:r w:rsidRPr="00660D1C">
        <w:rPr>
          <w:rFonts w:ascii="Gentium" w:hAnsi="Gentium"/>
          <w:i/>
          <w:color w:val="000000"/>
        </w:rPr>
        <w:t>Les défis migratoires: Actes du Colloque CLUSE “Les défis migratoires à l’aube du troisième millénaire,” Neuchâtel, 1998</w:t>
      </w:r>
      <w:r w:rsidRPr="00660D1C">
        <w:rPr>
          <w:rFonts w:ascii="Gentium" w:hAnsi="Gentium"/>
          <w:color w:val="000000"/>
        </w:rPr>
        <w:t>. Edited by Pierre Centlivres and Isabelle Girod, 288-296. Zurich: Seismo, 2000.</w:t>
      </w:r>
    </w:p>
    <w:p w14:paraId="7FD62BA9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4D667F">
        <w:rPr>
          <w:rFonts w:ascii="Gentium" w:hAnsi="Gentium"/>
          <w:color w:val="000000"/>
          <w:szCs w:val="24"/>
        </w:rPr>
        <w:t>Gayraud, Roland-Pierre. “Les céramiques égyptiennes á glaçure, IX</w:t>
      </w:r>
      <w:r w:rsidRPr="004D667F">
        <w:rPr>
          <w:rFonts w:ascii="Gentium" w:hAnsi="Gentium"/>
          <w:color w:val="000000"/>
          <w:szCs w:val="24"/>
          <w:vertAlign w:val="superscript"/>
        </w:rPr>
        <w:t>E</w:t>
      </w:r>
      <w:r w:rsidRPr="004D667F">
        <w:rPr>
          <w:rFonts w:ascii="Gentium" w:hAnsi="Gentium"/>
          <w:color w:val="000000"/>
          <w:szCs w:val="24"/>
        </w:rPr>
        <w:t>-XII</w:t>
      </w:r>
      <w:r w:rsidRPr="004D667F">
        <w:rPr>
          <w:rFonts w:ascii="Gentium" w:hAnsi="Gentium"/>
          <w:color w:val="000000"/>
          <w:szCs w:val="24"/>
          <w:vertAlign w:val="superscript"/>
        </w:rPr>
        <w:t>E</w:t>
      </w:r>
      <w:r w:rsidRPr="004D667F">
        <w:rPr>
          <w:rFonts w:ascii="Gentium" w:hAnsi="Gentium"/>
          <w:color w:val="000000"/>
          <w:szCs w:val="24"/>
        </w:rPr>
        <w:t xml:space="preserve"> siécles.” In </w:t>
      </w:r>
      <w:r w:rsidRPr="004D667F">
        <w:rPr>
          <w:rFonts w:ascii="Gentium" w:hAnsi="Gentium"/>
          <w:i/>
          <w:color w:val="000000"/>
          <w:szCs w:val="24"/>
        </w:rPr>
        <w:t>La céramique médiévale en Méditerranée: Actes du VI</w:t>
      </w:r>
      <w:r w:rsidRPr="004D667F">
        <w:rPr>
          <w:rFonts w:ascii="Gentium" w:hAnsi="Gentium"/>
          <w:i/>
          <w:color w:val="000000"/>
          <w:szCs w:val="24"/>
          <w:vertAlign w:val="superscript"/>
        </w:rPr>
        <w:t>E</w:t>
      </w:r>
      <w:r w:rsidRPr="004D667F">
        <w:rPr>
          <w:rFonts w:ascii="Gentium" w:hAnsi="Gentium"/>
          <w:i/>
          <w:color w:val="000000"/>
          <w:szCs w:val="24"/>
        </w:rPr>
        <w:t xml:space="preserve"> Congrès de l’AIECM2, Aix-en-Provence (13-18 novembre 1995)</w:t>
      </w:r>
      <w:r w:rsidRPr="004D667F">
        <w:rPr>
          <w:rFonts w:ascii="Gentium" w:hAnsi="Gentium"/>
          <w:color w:val="000000"/>
          <w:szCs w:val="24"/>
        </w:rPr>
        <w:t>. Edited by Gabrielle Démians d’Archimbaud, 261-270. Aix-en-Provence: Narration, 1997.</w:t>
      </w:r>
    </w:p>
    <w:p w14:paraId="5655EEB3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Ghadially, Rehana. “Veiling the Unveiled: The Politics of </w:t>
      </w:r>
      <w:r w:rsidRPr="00660D1C">
        <w:rPr>
          <w:rFonts w:ascii="Gentium" w:hAnsi="Gentium"/>
          <w:i/>
          <w:color w:val="000000"/>
        </w:rPr>
        <w:t>Purdah</w:t>
      </w:r>
      <w:r w:rsidRPr="00660D1C">
        <w:rPr>
          <w:rFonts w:ascii="Gentium" w:hAnsi="Gentium"/>
          <w:color w:val="000000"/>
        </w:rPr>
        <w:t xml:space="preserve"> in a Muslim Sect.” </w:t>
      </w:r>
      <w:r w:rsidRPr="00660D1C">
        <w:rPr>
          <w:rFonts w:ascii="Gentium" w:hAnsi="Gentium"/>
          <w:i/>
          <w:color w:val="000000"/>
        </w:rPr>
        <w:t xml:space="preserve">South Asia: Journal of South Asian Studies </w:t>
      </w:r>
      <w:r w:rsidRPr="00660D1C">
        <w:rPr>
          <w:rFonts w:ascii="Gentium" w:hAnsi="Gentium"/>
          <w:color w:val="000000"/>
        </w:rPr>
        <w:t>12:2 (1989): 33-48.</w:t>
      </w:r>
    </w:p>
    <w:p w14:paraId="39B3300E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“All for </w:t>
      </w:r>
      <w:r w:rsidRPr="001859D3">
        <w:rPr>
          <w:rFonts w:ascii="Gentium" w:hAnsi="Gentium"/>
          <w:i/>
          <w:color w:val="000000"/>
        </w:rPr>
        <w:t>Izzat</w:t>
      </w:r>
      <w:r w:rsidRPr="001859D3">
        <w:rPr>
          <w:rFonts w:ascii="Gentium" w:hAnsi="Gentium"/>
          <w:color w:val="000000"/>
        </w:rPr>
        <w:t>:</w:t>
      </w:r>
      <w:r w:rsidRPr="00660D1C">
        <w:rPr>
          <w:rFonts w:ascii="Gentium" w:hAnsi="Gentium"/>
          <w:color w:val="000000"/>
        </w:rPr>
        <w:t xml:space="preserve"> The Practice of Female Circumcision among Bohra Muslims.” </w:t>
      </w:r>
      <w:r w:rsidRPr="00660D1C">
        <w:rPr>
          <w:rFonts w:ascii="Gentium" w:hAnsi="Gentium"/>
          <w:i/>
          <w:color w:val="000000"/>
        </w:rPr>
        <w:t xml:space="preserve">Manushi: A Journal about Women and Society </w:t>
      </w:r>
      <w:r w:rsidRPr="00660D1C">
        <w:rPr>
          <w:rFonts w:ascii="Gentium" w:hAnsi="Gentium"/>
          <w:color w:val="000000"/>
        </w:rPr>
        <w:t>66 (1991): 17-20.</w:t>
      </w:r>
    </w:p>
    <w:p w14:paraId="2A475990" w14:textId="77777777" w:rsidR="00EA60B1" w:rsidRPr="00660D1C" w:rsidRDefault="00EA60B1" w:rsidP="00EA60B1">
      <w:pPr>
        <w:rPr>
          <w:rFonts w:ascii="Gentium" w:hAnsi="Gentium"/>
          <w:color w:val="000000"/>
        </w:rPr>
      </w:pPr>
      <w:r>
        <w:rPr>
          <w:rFonts w:ascii="Gentium" w:hAnsi="Gentium"/>
          <w:color w:val="000000"/>
        </w:rPr>
        <w:t>___. “On t</w:t>
      </w:r>
      <w:r w:rsidRPr="00660D1C">
        <w:rPr>
          <w:rFonts w:ascii="Gentium" w:hAnsi="Gentium"/>
          <w:color w:val="000000"/>
        </w:rPr>
        <w:t xml:space="preserve">heir Own Initiative: Changing Lives of Bohra Muslim Women.” </w:t>
      </w:r>
      <w:r w:rsidRPr="00660D1C">
        <w:rPr>
          <w:rFonts w:ascii="Gentium" w:hAnsi="Gentium"/>
          <w:i/>
          <w:color w:val="000000"/>
        </w:rPr>
        <w:t>Manushi: A Journal about Women and Society</w:t>
      </w:r>
      <w:r w:rsidRPr="00660D1C">
        <w:rPr>
          <w:rFonts w:ascii="Gentium" w:hAnsi="Gentium"/>
          <w:color w:val="000000"/>
        </w:rPr>
        <w:t xml:space="preserve"> 96 (1996): 31-39.</w:t>
      </w:r>
    </w:p>
    <w:p w14:paraId="0E439FF0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“The Campaign for Women’s Emancipation in an Ismaili Shia (Daudi Bohra) Sect of Indian Muslims: 1925-1945.” </w:t>
      </w:r>
      <w:r w:rsidRPr="00660D1C">
        <w:rPr>
          <w:rFonts w:ascii="Gentium" w:hAnsi="Gentium"/>
          <w:i/>
          <w:color w:val="000000"/>
        </w:rPr>
        <w:t xml:space="preserve">Dossier: Women Living Under Muslim Laws </w:t>
      </w:r>
      <w:r w:rsidRPr="00660D1C">
        <w:rPr>
          <w:rFonts w:ascii="Gentium" w:hAnsi="Gentium"/>
          <w:color w:val="000000"/>
        </w:rPr>
        <w:t>14-15 (1996): 64-85.</w:t>
      </w:r>
    </w:p>
    <w:p w14:paraId="535B7D9F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“A </w:t>
      </w:r>
      <w:r w:rsidRPr="001859D3">
        <w:rPr>
          <w:rFonts w:ascii="Gentium" w:hAnsi="Gentium"/>
          <w:i/>
          <w:color w:val="000000"/>
        </w:rPr>
        <w:t>Hajari</w:t>
      </w:r>
      <w:r w:rsidRPr="001859D3"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color w:val="000000"/>
        </w:rPr>
        <w:t xml:space="preserve">(Ritual Meal Tray) for 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Abbas Alam Dar: Women’s Household Ritual in a South Asian Muslim Sect.” </w:t>
      </w:r>
      <w:r w:rsidRPr="00660D1C">
        <w:rPr>
          <w:rFonts w:ascii="Gentium" w:hAnsi="Gentium"/>
          <w:i/>
          <w:color w:val="000000"/>
        </w:rPr>
        <w:t>Muslim World</w:t>
      </w:r>
      <w:r w:rsidRPr="00660D1C">
        <w:rPr>
          <w:rFonts w:ascii="Gentium" w:hAnsi="Gentium"/>
          <w:color w:val="000000"/>
        </w:rPr>
        <w:t xml:space="preserve"> 93:2 (2003): 309–321.</w:t>
      </w:r>
    </w:p>
    <w:p w14:paraId="77EF28E1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“Women’s Observances in the Calendrical Rites of the Daudi Bohra Ismâ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îlî Sect of South Asian Muslims.” </w:t>
      </w:r>
      <w:r w:rsidRPr="00660D1C">
        <w:rPr>
          <w:rFonts w:ascii="Gentium" w:hAnsi="Gentium"/>
          <w:i/>
          <w:color w:val="000000"/>
        </w:rPr>
        <w:t>Islamic Culture</w:t>
      </w:r>
      <w:r w:rsidRPr="00660D1C">
        <w:rPr>
          <w:rFonts w:ascii="Gentium" w:hAnsi="Gentium"/>
          <w:color w:val="000000"/>
        </w:rPr>
        <w:t xml:space="preserve"> 77:3 (2003): 1-20.</w:t>
      </w:r>
    </w:p>
    <w:p w14:paraId="2D004410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al-Ghamedi, Abdulkareem A.</w:t>
      </w:r>
      <w:r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color w:val="000000"/>
        </w:rPr>
        <w:t>“The Qarmatians of Irāq and Arabia: A Reexamination.” M.A. thesis, University of Arkansas, 1977. 64 pp.</w:t>
      </w:r>
    </w:p>
    <w:p w14:paraId="7E3FEB42" w14:textId="77777777" w:rsidR="00EA60B1" w:rsidRPr="00660D1C" w:rsidRDefault="00EA60B1" w:rsidP="00EA60B1">
      <w:pPr>
        <w:rPr>
          <w:rFonts w:ascii="Gentium" w:hAnsi="Gentium"/>
          <w:color w:val="000000"/>
        </w:rPr>
      </w:pPr>
      <w:r>
        <w:rPr>
          <w:rFonts w:ascii="Gentium" w:hAnsi="Gentium"/>
          <w:color w:val="000000"/>
        </w:rPr>
        <w:t xml:space="preserve">Ghazoul, Ferial. </w:t>
      </w:r>
      <w:r w:rsidRPr="00660D1C">
        <w:rPr>
          <w:rFonts w:ascii="Gentium" w:hAnsi="Gentium"/>
          <w:color w:val="000000"/>
        </w:rPr>
        <w:t xml:space="preserve">“Semiotics of Eros in </w:t>
      </w:r>
      <w:r w:rsidRPr="00660D1C">
        <w:rPr>
          <w:rFonts w:ascii="Gentium" w:hAnsi="Gentium"/>
          <w:i/>
          <w:color w:val="000000"/>
        </w:rPr>
        <w:t xml:space="preserve">The Epistles of the Pure Brethren </w:t>
      </w:r>
      <w:r w:rsidRPr="00660D1C">
        <w:rPr>
          <w:rFonts w:ascii="Gentium" w:hAnsi="Gentium"/>
          <w:color w:val="000000"/>
        </w:rPr>
        <w:t>(</w:t>
      </w:r>
      <w:r w:rsidRPr="00413836">
        <w:rPr>
          <w:rFonts w:ascii="Gentium" w:hAnsi="Gentium"/>
          <w:i/>
          <w:color w:val="000000"/>
        </w:rPr>
        <w:t>Ikhwàn Al-</w:t>
      </w:r>
      <w:r w:rsidRPr="00660D1C">
        <w:rPr>
          <w:rFonts w:ascii="Gentium" w:hAnsi="Gentium"/>
          <w:i/>
          <w:color w:val="000000"/>
        </w:rPr>
        <w:t>Safà</w:t>
      </w:r>
      <w:r w:rsidRPr="00660D1C">
        <w:rPr>
          <w:rFonts w:ascii="Gentium" w:hAnsi="Gentium"/>
          <w:color w:val="000000"/>
        </w:rPr>
        <w:t xml:space="preserve">).” In </w:t>
      </w:r>
      <w:r w:rsidRPr="00660D1C">
        <w:rPr>
          <w:rFonts w:ascii="Gentium" w:hAnsi="Gentium"/>
          <w:i/>
          <w:color w:val="000000"/>
        </w:rPr>
        <w:t>Amore e culture: Ritualizzazione e socializzazione dell’eros</w:t>
      </w:r>
      <w:r w:rsidRPr="00660D1C">
        <w:rPr>
          <w:rFonts w:ascii="Gentium" w:hAnsi="Gentium"/>
          <w:color w:val="000000"/>
        </w:rPr>
        <w:t>. Quaderni del Circolo semiologico siciliano 28-29. Edited by Salvatore D’Onofrio, 87-95. Palermo: Circolo semiologico siciliano, 1989.</w:t>
      </w:r>
    </w:p>
    <w:p w14:paraId="75312DD2" w14:textId="77777777" w:rsidR="00EA60B1" w:rsidRPr="008115B9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Gignoux, Philippe. “Sur le composé humain du Manichéisme à l’Ismaélisme.” In </w:t>
      </w:r>
      <w:r w:rsidRPr="00660D1C">
        <w:rPr>
          <w:rFonts w:ascii="Gentium" w:hAnsi="Gentium"/>
          <w:i/>
          <w:color w:val="000000"/>
        </w:rPr>
        <w:t>Etudes irano-aryennes offertes à Gilbert Lazard</w:t>
      </w:r>
      <w:r w:rsidRPr="00660D1C">
        <w:rPr>
          <w:rFonts w:ascii="Gentium" w:hAnsi="Gentium"/>
          <w:color w:val="000000"/>
        </w:rPr>
        <w:t xml:space="preserve">. Cahiers de Studia Iranica 7. Edited </w:t>
      </w:r>
      <w:r w:rsidRPr="008115B9">
        <w:rPr>
          <w:rFonts w:ascii="Gentium" w:hAnsi="Gentium"/>
          <w:color w:val="000000"/>
        </w:rPr>
        <w:t>by Charles-Henri de Fouchécour and Philippe Gignoux, 137-149. Paris: Association pour l’avancement des études irannienes, 1989.</w:t>
      </w:r>
    </w:p>
    <w:p w14:paraId="7AB7D263" w14:textId="77777777" w:rsidR="00EA60B1" w:rsidRPr="008115B9" w:rsidRDefault="00EA60B1" w:rsidP="00EA60B1">
      <w:pPr>
        <w:rPr>
          <w:rFonts w:ascii="Gentium" w:hAnsi="Gentium"/>
          <w:color w:val="000000"/>
        </w:rPr>
      </w:pPr>
      <w:r w:rsidRPr="008115B9">
        <w:rPr>
          <w:rFonts w:ascii="Gentium" w:hAnsi="Gentium"/>
          <w:color w:val="000000"/>
        </w:rPr>
        <w:t xml:space="preserve">Girault-Kurtzemann, Béatrice. “Le ‘Voile de Sainte Anne’ d’Apt.” </w:t>
      </w:r>
      <w:r w:rsidRPr="008115B9">
        <w:rPr>
          <w:rFonts w:ascii="Gentium" w:hAnsi="Gentium"/>
          <w:i/>
          <w:color w:val="000000"/>
        </w:rPr>
        <w:t>Bulletin du CIETA</w:t>
      </w:r>
      <w:r w:rsidRPr="008115B9">
        <w:rPr>
          <w:rFonts w:ascii="Gentium" w:hAnsi="Gentium"/>
          <w:color w:val="000000"/>
        </w:rPr>
        <w:t xml:space="preserve"> 75 (1998): 37-47.   </w:t>
      </w:r>
    </w:p>
    <w:p w14:paraId="790F1EF7" w14:textId="77777777" w:rsidR="00EA60B1" w:rsidRPr="008115B9" w:rsidRDefault="00EA60B1" w:rsidP="00EA60B1">
      <w:pPr>
        <w:rPr>
          <w:rFonts w:ascii="Gentium" w:hAnsi="Gentium"/>
          <w:color w:val="000000"/>
        </w:rPr>
      </w:pPr>
      <w:r w:rsidRPr="008115B9">
        <w:rPr>
          <w:rFonts w:ascii="Gentium" w:hAnsi="Gentium"/>
          <w:color w:val="000000"/>
        </w:rPr>
        <w:t xml:space="preserve">Goeje, Michael Jan de. “Paltiel-Djauhar.” </w:t>
      </w:r>
      <w:r w:rsidRPr="008115B9">
        <w:rPr>
          <w:rFonts w:ascii="Gentium" w:hAnsi="Gentium"/>
          <w:i/>
          <w:color w:val="000000"/>
        </w:rPr>
        <w:t>Zeitschrift der Deutschen Morgenländischen Gesellschaft</w:t>
      </w:r>
      <w:r w:rsidRPr="008115B9">
        <w:rPr>
          <w:rFonts w:ascii="Gentium" w:hAnsi="Gentium"/>
          <w:color w:val="000000"/>
        </w:rPr>
        <w:t xml:space="preserve"> 52 (1896): 75-85. </w:t>
      </w:r>
    </w:p>
    <w:p w14:paraId="5423E570" w14:textId="77777777" w:rsidR="00EA60B1" w:rsidRPr="008115B9" w:rsidRDefault="00EA60B1" w:rsidP="00EA60B1">
      <w:pPr>
        <w:rPr>
          <w:rFonts w:ascii="Gentium" w:hAnsi="Gentium"/>
          <w:color w:val="000000"/>
        </w:rPr>
      </w:pPr>
      <w:r w:rsidRPr="008115B9">
        <w:rPr>
          <w:rFonts w:ascii="Gentium" w:hAnsi="Gentium"/>
          <w:color w:val="000000"/>
        </w:rPr>
        <w:t xml:space="preserve">Goetz, Hermann. “A Fātimid-Egyptian Perfume Phial Found at Kārvaṇ (Baroda District).” </w:t>
      </w:r>
      <w:r w:rsidRPr="008115B9">
        <w:rPr>
          <w:rFonts w:ascii="Gentium" w:hAnsi="Gentium"/>
          <w:i/>
          <w:color w:val="000000"/>
        </w:rPr>
        <w:t>Bulletin of the Museum and Picture Gallery, Baroda</w:t>
      </w:r>
      <w:r w:rsidRPr="008115B9">
        <w:rPr>
          <w:rFonts w:ascii="Gentium" w:hAnsi="Gentium"/>
          <w:color w:val="000000"/>
        </w:rPr>
        <w:t xml:space="preserve"> 10-11 (1953-1955): 33-36.</w:t>
      </w:r>
    </w:p>
    <w:p w14:paraId="0025CF56" w14:textId="77777777" w:rsidR="00EA60B1" w:rsidRPr="008115B9" w:rsidRDefault="00EA60B1" w:rsidP="00EA60B1">
      <w:pPr>
        <w:rPr>
          <w:rFonts w:ascii="Gentium" w:hAnsi="Gentium"/>
          <w:color w:val="000000"/>
        </w:rPr>
      </w:pPr>
      <w:r w:rsidRPr="008115B9">
        <w:rPr>
          <w:rFonts w:ascii="Gentium" w:hAnsi="Gentium"/>
          <w:i/>
          <w:color w:val="000000"/>
        </w:rPr>
        <w:t>A Golden Panorama: Life and Work of His Holiness Dr. Syedna Taher Saifuddin</w:t>
      </w:r>
      <w:r w:rsidRPr="008115B9">
        <w:rPr>
          <w:rFonts w:ascii="Gentium" w:hAnsi="Gentium"/>
          <w:color w:val="000000"/>
        </w:rPr>
        <w:t>. Bombay: al-Jamea-tus-Saifiyah, 1965. vii + 156 pp.</w:t>
      </w:r>
    </w:p>
    <w:p w14:paraId="458FBAF5" w14:textId="77777777" w:rsidR="00EA60B1" w:rsidRPr="008115B9" w:rsidRDefault="00EA60B1" w:rsidP="00EA60B1">
      <w:pPr>
        <w:rPr>
          <w:rFonts w:ascii="Gentium" w:hAnsi="Gentium"/>
          <w:color w:val="000000"/>
        </w:rPr>
      </w:pPr>
      <w:r w:rsidRPr="008115B9">
        <w:rPr>
          <w:rFonts w:ascii="Gentium" w:hAnsi="Gentium"/>
          <w:color w:val="000000"/>
        </w:rPr>
        <w:t>Gottheil, Richard J. H., and Isaac Broydé. “Ibn Killis, Ya</w:t>
      </w:r>
      <w:r w:rsidRPr="008115B9">
        <w:rPr>
          <w:rFonts w:ascii="Calibri" w:hAnsi="Calibri" w:cs="Calibri"/>
          <w:color w:val="000000"/>
        </w:rPr>
        <w:t>ʿ</w:t>
      </w:r>
      <w:r w:rsidRPr="008115B9">
        <w:rPr>
          <w:rFonts w:ascii="Gentium" w:hAnsi="Gentium"/>
          <w:color w:val="000000"/>
        </w:rPr>
        <w:t xml:space="preserve">ḳub Ben Yusuf (Abu al-Faraj).” In </w:t>
      </w:r>
      <w:r w:rsidRPr="008115B9">
        <w:rPr>
          <w:rFonts w:ascii="Gentium" w:hAnsi="Gentium"/>
          <w:i/>
          <w:color w:val="000000"/>
        </w:rPr>
        <w:t>The Jewish Encyclopedia</w:t>
      </w:r>
      <w:r w:rsidRPr="008115B9">
        <w:rPr>
          <w:rFonts w:ascii="Gentium" w:hAnsi="Gentium"/>
          <w:color w:val="000000"/>
        </w:rPr>
        <w:t>. 12 vols. Edited by Isidore Singer et al., 6:536. New York and London: Funk &amp; Wagnalls, 1901-1906.</w:t>
      </w:r>
    </w:p>
    <w:p w14:paraId="360422FF" w14:textId="77777777" w:rsidR="00EA60B1" w:rsidRPr="008115B9" w:rsidRDefault="00EA60B1" w:rsidP="00EA60B1">
      <w:pPr>
        <w:rPr>
          <w:rFonts w:ascii="Gentium" w:hAnsi="Gentium"/>
          <w:color w:val="000000"/>
        </w:rPr>
      </w:pPr>
      <w:r w:rsidRPr="008115B9">
        <w:rPr>
          <w:rFonts w:ascii="Gentium" w:hAnsi="Gentium"/>
          <w:color w:val="000000"/>
        </w:rPr>
        <w:t xml:space="preserve">Greene, Patricia G. “A Resource-Based Approach to Ethnic Business Sponsorship: A Consideration of Ismaili-Pakistani Immigrants.” </w:t>
      </w:r>
      <w:r w:rsidRPr="008115B9">
        <w:rPr>
          <w:rFonts w:ascii="Gentium" w:hAnsi="Gentium"/>
          <w:i/>
          <w:color w:val="000000"/>
        </w:rPr>
        <w:t xml:space="preserve">Journal of Small Business Management </w:t>
      </w:r>
      <w:r w:rsidRPr="008115B9">
        <w:rPr>
          <w:rFonts w:ascii="Gentium" w:hAnsi="Gentium"/>
          <w:color w:val="000000"/>
        </w:rPr>
        <w:t>35:4 (1997): 58-71.</w:t>
      </w:r>
    </w:p>
    <w:p w14:paraId="57BF5844" w14:textId="77777777" w:rsidR="00EA60B1" w:rsidRPr="008115B9" w:rsidRDefault="00EA60B1" w:rsidP="00EA60B1">
      <w:pPr>
        <w:rPr>
          <w:rFonts w:ascii="Gentium" w:hAnsi="Gentium"/>
          <w:color w:val="000000"/>
        </w:rPr>
      </w:pPr>
      <w:r w:rsidRPr="008115B9">
        <w:rPr>
          <w:rFonts w:ascii="Gentium" w:hAnsi="Gentium"/>
          <w:color w:val="000000"/>
        </w:rPr>
        <w:t xml:space="preserve">Greene, Patricia G., and John S. Butler. “The Minority Community as a Natural Business Incubator.” </w:t>
      </w:r>
      <w:r w:rsidRPr="008115B9">
        <w:rPr>
          <w:rFonts w:ascii="Gentium" w:hAnsi="Gentium"/>
          <w:i/>
          <w:color w:val="000000"/>
        </w:rPr>
        <w:t>Journal of Business Research</w:t>
      </w:r>
      <w:r w:rsidRPr="008115B9">
        <w:rPr>
          <w:rFonts w:ascii="Gentium" w:hAnsi="Gentium"/>
          <w:color w:val="000000"/>
        </w:rPr>
        <w:t xml:space="preserve"> 36:1 (1996): 51-58.</w:t>
      </w:r>
    </w:p>
    <w:p w14:paraId="62AA1B6B" w14:textId="77777777" w:rsidR="00EA60B1" w:rsidRPr="008115B9" w:rsidRDefault="00EA60B1" w:rsidP="00EA60B1">
      <w:pPr>
        <w:rPr>
          <w:rFonts w:ascii="Gentium" w:hAnsi="Gentium"/>
          <w:color w:val="000000"/>
        </w:rPr>
      </w:pPr>
      <w:r w:rsidRPr="008115B9">
        <w:rPr>
          <w:rFonts w:ascii="Gentium" w:hAnsi="Gentium"/>
          <w:color w:val="000000"/>
        </w:rPr>
        <w:t xml:space="preserve">___. “Wealth Building and Entrepreneurship: Lessons from Pakistani/Ismaili Enterprises.” In </w:t>
      </w:r>
      <w:r w:rsidRPr="008115B9">
        <w:rPr>
          <w:rFonts w:ascii="Gentium" w:hAnsi="Gentium"/>
          <w:i/>
          <w:color w:val="000000"/>
        </w:rPr>
        <w:t>Frontiers of Entrepreneurship Research 1997: Proceedings of the Seventeenth Annual Entrepreneurship Research Conference</w:t>
      </w:r>
      <w:r w:rsidRPr="008115B9">
        <w:rPr>
          <w:rFonts w:ascii="Gentium" w:hAnsi="Gentium"/>
          <w:color w:val="000000"/>
        </w:rPr>
        <w:t>. Edited by Paul D. Reynolds, 242–253. Babson Park, Mass: Center for Entrepreneurial Studies, Babson College, 1997.</w:t>
      </w:r>
    </w:p>
    <w:p w14:paraId="32EAB53C" w14:textId="77777777" w:rsidR="00EA60B1" w:rsidRPr="008115B9" w:rsidRDefault="00EA60B1" w:rsidP="00EA60B1">
      <w:pPr>
        <w:rPr>
          <w:rFonts w:ascii="Gentium" w:hAnsi="Gentium"/>
          <w:color w:val="000000"/>
        </w:rPr>
      </w:pPr>
      <w:r w:rsidRPr="008115B9">
        <w:rPr>
          <w:rFonts w:ascii="Gentium" w:hAnsi="Gentium"/>
          <w:color w:val="000000"/>
        </w:rPr>
        <w:t xml:space="preserve">Haberbeck, Andreas. “Muslims, Custom and the Courts (Application of Customary Laws to Mappillas of North Malabar, Khojas and Cutchi Memons).” </w:t>
      </w:r>
      <w:r w:rsidRPr="008115B9">
        <w:rPr>
          <w:rFonts w:ascii="Gentium" w:hAnsi="Gentium"/>
          <w:i/>
          <w:color w:val="000000"/>
        </w:rPr>
        <w:t>Journal of the Indian Law Institute</w:t>
      </w:r>
      <w:r w:rsidRPr="008115B9">
        <w:rPr>
          <w:rFonts w:ascii="Gentium" w:hAnsi="Gentium"/>
          <w:color w:val="000000"/>
        </w:rPr>
        <w:t xml:space="preserve"> 24:1 (1982): 132-158.</w:t>
      </w:r>
    </w:p>
    <w:p w14:paraId="71377EB5" w14:textId="77777777" w:rsidR="00EA60B1" w:rsidRPr="008115B9" w:rsidRDefault="00EA60B1" w:rsidP="00EA60B1">
      <w:pPr>
        <w:rPr>
          <w:rFonts w:ascii="Gentium" w:hAnsi="Gentium"/>
          <w:color w:val="000000"/>
        </w:rPr>
      </w:pPr>
      <w:r w:rsidRPr="008115B9">
        <w:rPr>
          <w:rFonts w:ascii="Gentium" w:hAnsi="Gentium"/>
          <w:color w:val="000000"/>
        </w:rPr>
        <w:t>El-Habib, Mustapha. “Stèles funéraires kairouanaises d’époque fâtimide et zîride.” Thèse de 3</w:t>
      </w:r>
      <w:r w:rsidRPr="008115B9">
        <w:rPr>
          <w:rFonts w:ascii="Gentium" w:hAnsi="Gentium"/>
          <w:color w:val="000000"/>
          <w:vertAlign w:val="superscript"/>
        </w:rPr>
        <w:t>e</w:t>
      </w:r>
      <w:r w:rsidRPr="008115B9">
        <w:rPr>
          <w:rFonts w:ascii="Gentium" w:hAnsi="Gentium"/>
          <w:color w:val="000000"/>
        </w:rPr>
        <w:t xml:space="preserve"> cycle, Université de la Sorbonne, Paris IV, 1972. ix + 536 pp. [U] </w:t>
      </w:r>
    </w:p>
    <w:p w14:paraId="7904E3A1" w14:textId="77777777" w:rsidR="00EA60B1" w:rsidRPr="008115B9" w:rsidRDefault="00EA60B1" w:rsidP="00EA60B1">
      <w:pPr>
        <w:rPr>
          <w:rFonts w:ascii="Gentium" w:hAnsi="Gentium"/>
          <w:color w:val="000000"/>
        </w:rPr>
      </w:pPr>
      <w:r w:rsidRPr="008115B9">
        <w:rPr>
          <w:rFonts w:ascii="Gentium" w:hAnsi="Gentium"/>
          <w:color w:val="000000"/>
        </w:rPr>
        <w:t xml:space="preserve">Hadad, Shulamit. “Incised Glass Vessels from the Umayyad and Abbasid-Fatimid Periods at Bet Shean, Israel.” </w:t>
      </w:r>
      <w:r w:rsidRPr="008115B9">
        <w:rPr>
          <w:rFonts w:ascii="Gentium" w:hAnsi="Gentium"/>
          <w:i/>
          <w:color w:val="000000"/>
        </w:rPr>
        <w:t>Bulletin of the American Schools of Oriental Research</w:t>
      </w:r>
      <w:r w:rsidRPr="008115B9">
        <w:rPr>
          <w:rFonts w:ascii="Gentium" w:hAnsi="Gentium"/>
          <w:color w:val="000000"/>
        </w:rPr>
        <w:t xml:space="preserve"> 317 (2000): 63-73.</w:t>
      </w:r>
    </w:p>
    <w:p w14:paraId="4B9D9DAF" w14:textId="77777777" w:rsidR="00EA60B1" w:rsidRPr="008115B9" w:rsidRDefault="00EA60B1" w:rsidP="00EA60B1">
      <w:pPr>
        <w:rPr>
          <w:rFonts w:ascii="Gentium" w:hAnsi="Gentium"/>
          <w:color w:val="000000"/>
        </w:rPr>
      </w:pPr>
      <w:r w:rsidRPr="008115B9">
        <w:rPr>
          <w:rFonts w:ascii="Gentium" w:hAnsi="Gentium"/>
          <w:color w:val="000000"/>
        </w:rPr>
        <w:t xml:space="preserve">Haider, Navin G. “Aga Khan </w:t>
      </w:r>
      <w:r w:rsidRPr="008115B9">
        <w:rPr>
          <w:rFonts w:ascii="Gentium" w:hAnsi="Gentium"/>
        </w:rPr>
        <w:t xml:space="preserve">the </w:t>
      </w:r>
      <w:r w:rsidRPr="008115B9">
        <w:rPr>
          <w:rFonts w:ascii="Gentium" w:hAnsi="Gentium"/>
          <w:color w:val="000000"/>
        </w:rPr>
        <w:t xml:space="preserve">IIIrd: Thoughts and Contributions.” </w:t>
      </w:r>
      <w:r w:rsidRPr="008115B9">
        <w:rPr>
          <w:rFonts w:ascii="Gentium" w:hAnsi="Gentium"/>
          <w:i/>
          <w:color w:val="000000"/>
        </w:rPr>
        <w:t>Pakistan Perspectives</w:t>
      </w:r>
      <w:r w:rsidRPr="008115B9">
        <w:rPr>
          <w:rFonts w:ascii="Gentium" w:hAnsi="Gentium"/>
          <w:color w:val="000000"/>
        </w:rPr>
        <w:t xml:space="preserve"> 2:2 (1997): 108-138.</w:t>
      </w:r>
    </w:p>
    <w:p w14:paraId="78B728B3" w14:textId="77777777" w:rsidR="00EA60B1" w:rsidRPr="008115B9" w:rsidRDefault="00EA60B1" w:rsidP="00EA60B1">
      <w:pPr>
        <w:rPr>
          <w:rFonts w:ascii="Gentium" w:hAnsi="Gentium"/>
          <w:color w:val="000000"/>
        </w:rPr>
      </w:pPr>
      <w:r w:rsidRPr="008115B9">
        <w:rPr>
          <w:rFonts w:ascii="Gentium" w:hAnsi="Gentium"/>
          <w:color w:val="000000"/>
        </w:rPr>
        <w:t xml:space="preserve">Hairalla, Said. “The Philosophical School of the ‘Brethren of Purity.’” </w:t>
      </w:r>
      <w:r w:rsidRPr="008115B9">
        <w:rPr>
          <w:rFonts w:ascii="Gentium" w:hAnsi="Gentium"/>
          <w:i/>
          <w:color w:val="000000"/>
        </w:rPr>
        <w:t>Voprosy Istorii</w:t>
      </w:r>
      <w:r w:rsidRPr="008115B9">
        <w:rPr>
          <w:rFonts w:ascii="Gentium" w:hAnsi="Gentium"/>
          <w:color w:val="000000"/>
        </w:rPr>
        <w:t xml:space="preserve"> 6 (1998): 129-134. [In Russian]</w:t>
      </w:r>
    </w:p>
    <w:p w14:paraId="25A14AF9" w14:textId="77777777" w:rsidR="00EA60B1" w:rsidRPr="008115B9" w:rsidRDefault="00EA60B1" w:rsidP="00EA60B1">
      <w:pPr>
        <w:rPr>
          <w:rFonts w:ascii="Gentium" w:hAnsi="Gentium"/>
        </w:rPr>
      </w:pPr>
      <w:r w:rsidRPr="008115B9">
        <w:rPr>
          <w:rFonts w:ascii="Gentium" w:hAnsi="Gentium"/>
        </w:rPr>
        <w:t>Hamid, Usama. “The Qarmatians: Society and State.” M.A. thesis, Department of History and Archeology, American University of Beirut, 1977. xi + 96 pp.</w:t>
      </w:r>
    </w:p>
    <w:p w14:paraId="37C5F452" w14:textId="77777777" w:rsidR="00EA60B1" w:rsidRPr="006464E1" w:rsidRDefault="00EA60B1" w:rsidP="00EA60B1">
      <w:pPr>
        <w:rPr>
          <w:rFonts w:ascii="Gentium" w:hAnsi="Gentium"/>
        </w:rPr>
      </w:pPr>
      <w:r w:rsidRPr="00660D1C">
        <w:rPr>
          <w:rFonts w:ascii="Gentium" w:hAnsi="Gentium"/>
          <w:color w:val="000000"/>
        </w:rPr>
        <w:t xml:space="preserve">Hamzah, Maha. “The </w:t>
      </w:r>
      <w:r w:rsidRPr="005737AD">
        <w:rPr>
          <w:rFonts w:ascii="Gentium" w:hAnsi="Gentium"/>
          <w:color w:val="000000"/>
        </w:rPr>
        <w:t>Imam</w:t>
      </w:r>
      <w:r w:rsidRPr="00660D1C">
        <w:rPr>
          <w:rFonts w:ascii="Gentium" w:hAnsi="Gentium"/>
          <w:color w:val="000000"/>
        </w:rPr>
        <w:t xml:space="preserve"> in Fatimid Cosmology, with Special Reference to al-Kirmānī.” M.A. thesis, Department of Philosophy, American University of Beirut, 1977. vi + 86 pp.</w:t>
      </w:r>
    </w:p>
    <w:p w14:paraId="403ABAAA" w14:textId="77777777" w:rsidR="00EA60B1" w:rsidRPr="004C4850" w:rsidRDefault="00EA60B1" w:rsidP="00EA60B1">
      <w:pPr>
        <w:rPr>
          <w:rFonts w:ascii="Gentium" w:hAnsi="Gentium"/>
        </w:rPr>
      </w:pPr>
      <w:r>
        <w:rPr>
          <w:rFonts w:ascii="Gentium" w:hAnsi="Gentium"/>
          <w:color w:val="000000"/>
        </w:rPr>
        <w:tab/>
        <w:t xml:space="preserve">  </w:t>
      </w:r>
      <w:r w:rsidRPr="004C4850">
        <w:rPr>
          <w:rFonts w:ascii="Gentium" w:hAnsi="Gentium"/>
        </w:rPr>
        <w:t xml:space="preserve">Hasan, A. Hameed. “Hasan </w:t>
      </w:r>
      <w:r w:rsidRPr="00B77658">
        <w:rPr>
          <w:rFonts w:ascii="Gentium" w:hAnsi="Gentium"/>
          <w:color w:val="000000"/>
        </w:rPr>
        <w:t>Bin</w:t>
      </w:r>
      <w:r w:rsidRPr="00D423C5">
        <w:rPr>
          <w:rFonts w:ascii="Gentium" w:hAnsi="Gentium"/>
          <w:color w:val="FF0000"/>
        </w:rPr>
        <w:t xml:space="preserve"> </w:t>
      </w:r>
      <w:r w:rsidRPr="004C4850">
        <w:rPr>
          <w:rFonts w:ascii="Gentium" w:hAnsi="Gentium"/>
        </w:rPr>
        <w:t xml:space="preserve">Sabbah, Founder of the </w:t>
      </w:r>
      <w:r w:rsidRPr="00497203">
        <w:rPr>
          <w:rFonts w:ascii="Gentium" w:hAnsi="Gentium"/>
          <w:i/>
        </w:rPr>
        <w:t>he</w:t>
      </w:r>
      <w:r w:rsidRPr="004C4850">
        <w:rPr>
          <w:rFonts w:ascii="Gentium" w:hAnsi="Gentium"/>
          <w:i/>
        </w:rPr>
        <w:t xml:space="preserve"> Indian </w:t>
      </w:r>
      <w:r>
        <w:rPr>
          <w:rFonts w:ascii="Gentium" w:hAnsi="Gentium"/>
          <w:i/>
        </w:rPr>
        <w:tab/>
      </w:r>
      <w:r>
        <w:rPr>
          <w:rFonts w:ascii="Gentium" w:hAnsi="Gentium"/>
          <w:i/>
        </w:rPr>
        <w:tab/>
      </w:r>
      <w:r>
        <w:rPr>
          <w:rFonts w:ascii="Gentium" w:hAnsi="Gentium"/>
          <w:i/>
        </w:rPr>
        <w:tab/>
      </w:r>
      <w:r>
        <w:rPr>
          <w:rFonts w:ascii="Gentium" w:hAnsi="Gentium"/>
          <w:i/>
        </w:rPr>
        <w:tab/>
      </w:r>
      <w:r>
        <w:rPr>
          <w:rFonts w:ascii="Gentium" w:hAnsi="Gentium"/>
          <w:i/>
        </w:rPr>
        <w:tab/>
        <w:t xml:space="preserve">  </w:t>
      </w:r>
      <w:r w:rsidRPr="004C4850">
        <w:rPr>
          <w:rFonts w:ascii="Gentium" w:hAnsi="Gentium"/>
          <w:i/>
        </w:rPr>
        <w:t>Review</w:t>
      </w:r>
      <w:r w:rsidRPr="004C4850">
        <w:rPr>
          <w:rFonts w:ascii="Gentium" w:hAnsi="Gentium"/>
        </w:rPr>
        <w:t xml:space="preserve"> 31:5 (1930): 301-304.</w:t>
      </w:r>
    </w:p>
    <w:p w14:paraId="2817F389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Hauser, Stefan R. “‘Ewiger Ruhm’: Fatimidische und Ayyubidische Keramikfilter in Münster.” </w:t>
      </w:r>
      <w:r w:rsidRPr="00660D1C">
        <w:rPr>
          <w:rFonts w:ascii="Gentium" w:hAnsi="Gentium"/>
          <w:i/>
          <w:color w:val="000000"/>
        </w:rPr>
        <w:t>Boreas: Münstersche Beiträge zur Archäologie</w:t>
      </w:r>
      <w:r>
        <w:rPr>
          <w:rFonts w:ascii="Gentium" w:hAnsi="Gentium"/>
          <w:color w:val="000000"/>
        </w:rPr>
        <w:t xml:space="preserve"> 20 (1997): </w:t>
      </w:r>
      <w:r w:rsidRPr="00660D1C">
        <w:rPr>
          <w:rFonts w:ascii="Gentium" w:hAnsi="Gentium"/>
          <w:color w:val="000000"/>
        </w:rPr>
        <w:t>297–326., + 3 plates (39-41).</w:t>
      </w:r>
    </w:p>
    <w:p w14:paraId="39E69833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Hauziński, Jerzy. “Asasyni – radykalna sekta islamu we współczesnej historiografii.” [Assassins: The Islamic Sect in Contemporary Historiography] </w:t>
      </w:r>
      <w:r w:rsidRPr="00660D1C">
        <w:rPr>
          <w:rFonts w:ascii="Gentium" w:hAnsi="Gentium"/>
          <w:i/>
          <w:color w:val="000000"/>
        </w:rPr>
        <w:t xml:space="preserve">Euhemer – Przegląd Religioznawczy </w:t>
      </w:r>
      <w:r w:rsidRPr="00660D1C">
        <w:rPr>
          <w:rFonts w:ascii="Gentium" w:hAnsi="Gentium"/>
          <w:color w:val="000000"/>
        </w:rPr>
        <w:t>17:2 (88) (1973): 35-45. [In Polish]</w:t>
      </w:r>
    </w:p>
    <w:p w14:paraId="5E69B6AA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Havemann, Axel. “Non-Urban Rebels in Urban Society: The Case of Fatimid Damascus.” In </w:t>
      </w:r>
      <w:r w:rsidRPr="00660D1C">
        <w:rPr>
          <w:rFonts w:ascii="Gentium" w:hAnsi="Gentium"/>
          <w:i/>
          <w:color w:val="000000"/>
        </w:rPr>
        <w:t>Bilād al-Shām During the Abbasid Period (132 A.H./750 A.D.-451 A.H./1059 A.D.): Proceedings of the Fifth International Conference on the History of Bilād al-Shām, 7-11 Sha</w:t>
      </w:r>
      <w:r w:rsidRPr="00660D1C">
        <w:rPr>
          <w:rFonts w:ascii="Calibri" w:hAnsi="Calibri" w:cs="Calibri"/>
          <w:i/>
          <w:color w:val="000000"/>
        </w:rPr>
        <w:t>ʿ</w:t>
      </w:r>
      <w:r w:rsidRPr="00660D1C">
        <w:rPr>
          <w:rFonts w:ascii="Gentium" w:hAnsi="Gentium"/>
          <w:i/>
          <w:color w:val="000000"/>
        </w:rPr>
        <w:t>ban 1410 A.H./4-8 March, 1990. Vol. II: English and French Section</w:t>
      </w:r>
      <w:r w:rsidRPr="00660D1C">
        <w:rPr>
          <w:rFonts w:ascii="Gentium" w:hAnsi="Gentium"/>
          <w:color w:val="000000"/>
        </w:rPr>
        <w:t>. Edited by Muhammad Adnan al-Bakhit and Robert Schick, 81-90. Amman: History of Bilād al-Shām Committee, 1991.</w:t>
      </w:r>
    </w:p>
    <w:p w14:paraId="1891854E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Hayat, Az</w:t>
      </w:r>
      <w:r>
        <w:rPr>
          <w:rFonts w:ascii="Gentium" w:hAnsi="Gentium"/>
          <w:color w:val="000000"/>
        </w:rPr>
        <w:t xml:space="preserve">iza. </w:t>
      </w:r>
      <w:r w:rsidRPr="00660D1C">
        <w:rPr>
          <w:rFonts w:ascii="Gentium" w:hAnsi="Gentium"/>
          <w:color w:val="000000"/>
        </w:rPr>
        <w:t xml:space="preserve">“Analysis of </w:t>
      </w:r>
      <w:r w:rsidRPr="00660D1C">
        <w:rPr>
          <w:rFonts w:ascii="Gentium" w:hAnsi="Gentium"/>
          <w:i/>
          <w:color w:val="000000"/>
        </w:rPr>
        <w:t>Sukriya</w:t>
      </w:r>
      <w:r w:rsidRPr="00660D1C">
        <w:rPr>
          <w:rFonts w:ascii="Gentium" w:hAnsi="Gentium"/>
          <w:color w:val="000000"/>
        </w:rPr>
        <w:t xml:space="preserve"> and </w:t>
      </w:r>
      <w:r w:rsidRPr="00660D1C">
        <w:rPr>
          <w:rFonts w:ascii="Gentium" w:hAnsi="Gentium"/>
          <w:i/>
          <w:color w:val="000000"/>
        </w:rPr>
        <w:t>Shikshapatri</w:t>
      </w:r>
      <w:r w:rsidRPr="00660D1C">
        <w:rPr>
          <w:rFonts w:ascii="Gentium" w:hAnsi="Gentium"/>
          <w:color w:val="000000"/>
        </w:rPr>
        <w:t xml:space="preserve">.” In </w:t>
      </w:r>
      <w:r>
        <w:rPr>
          <w:rFonts w:ascii="Gentium" w:hAnsi="Gentium"/>
          <w:i/>
          <w:color w:val="000000"/>
        </w:rPr>
        <w:t>SOS</w:t>
      </w:r>
      <w:r w:rsidRPr="00660D1C">
        <w:rPr>
          <w:rFonts w:ascii="Gentium" w:hAnsi="Gentium"/>
          <w:color w:val="000000"/>
        </w:rPr>
        <w:t>, 128-133.</w:t>
      </w:r>
    </w:p>
    <w:p w14:paraId="21B3CA3E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Hayat, Khizr. “A Khojki Manuscript from Punjab.” In </w:t>
      </w:r>
      <w:r>
        <w:rPr>
          <w:rFonts w:ascii="Gentium" w:hAnsi="Gentium"/>
          <w:i/>
          <w:color w:val="000000"/>
        </w:rPr>
        <w:t>SOS</w:t>
      </w:r>
      <w:r w:rsidRPr="00660D1C">
        <w:rPr>
          <w:rFonts w:ascii="Gentium" w:hAnsi="Gentium"/>
          <w:color w:val="000000"/>
        </w:rPr>
        <w:t>, 60-64.</w:t>
      </w:r>
    </w:p>
    <w:p w14:paraId="09627C40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Hébert, Raymond J. “Two Fatimid Gold Coins of al-Mustansir.” </w:t>
      </w:r>
      <w:r w:rsidRPr="00660D1C">
        <w:rPr>
          <w:rFonts w:ascii="Gentium" w:hAnsi="Gentium"/>
          <w:i/>
          <w:color w:val="000000"/>
        </w:rPr>
        <w:t xml:space="preserve">Numismatics International Bulletin </w:t>
      </w:r>
      <w:r w:rsidRPr="00660D1C">
        <w:rPr>
          <w:rFonts w:ascii="Gentium" w:hAnsi="Gentium"/>
          <w:color w:val="000000"/>
        </w:rPr>
        <w:t>27:7 (1992): 166-169.</w:t>
      </w:r>
    </w:p>
    <w:p w14:paraId="224560EB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Heijer, Johannes den. “Le patriarcat copte d’Alexandrie á l’époque fatimide.” In </w:t>
      </w:r>
      <w:r w:rsidRPr="00660D1C">
        <w:rPr>
          <w:rFonts w:ascii="Gentium" w:hAnsi="Gentium"/>
          <w:i/>
          <w:color w:val="000000"/>
        </w:rPr>
        <w:t>Alexandrie Médiévale 2</w:t>
      </w:r>
      <w:r w:rsidRPr="00660D1C">
        <w:rPr>
          <w:rFonts w:ascii="Gentium" w:hAnsi="Gentium"/>
          <w:color w:val="000000"/>
        </w:rPr>
        <w:t>. Etudes alexandrines 8. Edited by Christian Décobert, 83-97. Le Caire: Institut français d’archéologie orientale, 2002.</w:t>
      </w:r>
    </w:p>
    <w:p w14:paraId="5AA3DDA7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Helmecke, Gisela. “Fatimidische und mamlukische Textilfragmente au dem Besitz des Islamischen Museums zu Berlin.” In </w:t>
      </w:r>
      <w:r w:rsidRPr="00660D1C">
        <w:rPr>
          <w:rFonts w:ascii="Gentium" w:hAnsi="Gentium"/>
          <w:i/>
          <w:color w:val="000000"/>
        </w:rPr>
        <w:t>Textilkunst im Orient und in Europa: [Materialien einer wissenschaftlichen Arbeitstagung am 10. September 1980]</w:t>
      </w:r>
      <w:r w:rsidRPr="00660D1C">
        <w:rPr>
          <w:rFonts w:ascii="Gentium" w:hAnsi="Gentium"/>
          <w:color w:val="000000"/>
        </w:rPr>
        <w:t>. Edited by Burchard Brentjes, 40-58. Halle (Saale): Martin-Luther-Universität Halle-Wittenberg, Abt. Wissenschaftspublizistik, 1981.</w:t>
      </w:r>
    </w:p>
    <w:p w14:paraId="5B7B380B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Hirschberg, Haim Z</w:t>
      </w:r>
      <w:r w:rsidRPr="006C32F3">
        <w:rPr>
          <w:rFonts w:ascii="Gentium" w:hAnsi="Gentium"/>
          <w:color w:val="000000"/>
        </w:rPr>
        <w:t>’</w:t>
      </w:r>
      <w:r w:rsidRPr="00660D1C">
        <w:rPr>
          <w:rFonts w:ascii="Gentium" w:hAnsi="Gentium"/>
          <w:color w:val="000000"/>
        </w:rPr>
        <w:t xml:space="preserve">ew. “°Ḥākim Bi-Amr Allah (Al-).” In </w:t>
      </w:r>
      <w:r w:rsidRPr="00660D1C">
        <w:rPr>
          <w:rFonts w:ascii="Gentium" w:hAnsi="Gentium"/>
          <w:i/>
          <w:color w:val="000000"/>
        </w:rPr>
        <w:t xml:space="preserve">Encyclopaedia </w:t>
      </w:r>
      <w:r w:rsidRPr="00FB2BE1">
        <w:rPr>
          <w:rFonts w:ascii="Gentium" w:hAnsi="Gentium"/>
          <w:i/>
        </w:rPr>
        <w:t>Judaica</w:t>
      </w:r>
      <w:r w:rsidRPr="00FB2BE1">
        <w:rPr>
          <w:rFonts w:ascii="Gentium" w:hAnsi="Gentium"/>
        </w:rPr>
        <w:t>. 1</w:t>
      </w:r>
      <w:r w:rsidRPr="00FB2BE1">
        <w:rPr>
          <w:rFonts w:ascii="Gentium" w:hAnsi="Gentium"/>
          <w:vertAlign w:val="superscript"/>
        </w:rPr>
        <w:t>st</w:t>
      </w:r>
      <w:r w:rsidRPr="00660D1C">
        <w:rPr>
          <w:rFonts w:ascii="Gentium" w:hAnsi="Gentium"/>
          <w:color w:val="000000"/>
        </w:rPr>
        <w:t xml:space="preserve"> ed. 16 vols. 7:1152-1153. Jerusalem: Encyclopaedia Judaica, 1971-1972.</w:t>
      </w:r>
    </w:p>
    <w:p w14:paraId="2121D8D0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Hitti, Philip K. “Fatimids,” “Hakim, al-.” In </w:t>
      </w:r>
      <w:r w:rsidRPr="00660D1C">
        <w:rPr>
          <w:rFonts w:ascii="Gentium" w:hAnsi="Gentium"/>
          <w:i/>
          <w:color w:val="000000"/>
        </w:rPr>
        <w:t>The Encyclopedia Americana: The International Reference Work</w:t>
      </w:r>
      <w:r w:rsidRPr="00660D1C">
        <w:rPr>
          <w:rFonts w:ascii="Gentium" w:hAnsi="Gentium"/>
          <w:color w:val="000000"/>
        </w:rPr>
        <w:t>. Canadian ed. 30 vols. 11:57-58; 13:630. Montreal: Americana Corporation of Canada, 1958.</w:t>
      </w:r>
    </w:p>
    <w:p w14:paraId="2A875CBC" w14:textId="77777777" w:rsidR="00EA60B1" w:rsidRDefault="00EA60B1" w:rsidP="00EA60B1">
      <w:pPr>
        <w:rPr>
          <w:rFonts w:ascii="Gentium" w:hAnsi="Gentium"/>
          <w:color w:val="000000"/>
        </w:rPr>
      </w:pPr>
      <w:r>
        <w:rPr>
          <w:rFonts w:ascii="Gentium" w:hAnsi="Gentium"/>
          <w:color w:val="000000"/>
        </w:rPr>
        <w:t xml:space="preserve">___. </w:t>
      </w:r>
      <w:r w:rsidRPr="00660D1C">
        <w:rPr>
          <w:rFonts w:ascii="Gentium" w:hAnsi="Gentium"/>
          <w:color w:val="000000"/>
        </w:rPr>
        <w:t>“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Ubaydullah al-Mahdi: Founder of the Fatimid Empire in Africa.” Chap. 6 in </w:t>
      </w:r>
      <w:r w:rsidRPr="00660D1C">
        <w:rPr>
          <w:rFonts w:ascii="Gentium" w:hAnsi="Gentium"/>
          <w:i/>
          <w:color w:val="000000"/>
        </w:rPr>
        <w:t>Makers of Arab History</w:t>
      </w:r>
      <w:r w:rsidRPr="00660D1C">
        <w:rPr>
          <w:rFonts w:ascii="Gentium" w:hAnsi="Gentium"/>
          <w:color w:val="000000"/>
        </w:rPr>
        <w:t>, 95-115. New York: St. Martin’s Press, 1968.</w:t>
      </w:r>
    </w:p>
    <w:p w14:paraId="25FD627A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Hoch, Martin. “The Crusaders’ Strategy Against Fatimid Ascalon and the ‘Ascalon Project’ of the Second Crusade.”  In </w:t>
      </w:r>
      <w:r w:rsidRPr="00660D1C">
        <w:rPr>
          <w:rFonts w:ascii="Gentium" w:hAnsi="Gentium"/>
          <w:i/>
          <w:color w:val="000000"/>
        </w:rPr>
        <w:t xml:space="preserve">The Second Crusade and the Cistercians. </w:t>
      </w:r>
      <w:r w:rsidRPr="00660D1C">
        <w:rPr>
          <w:rFonts w:ascii="Gentium" w:hAnsi="Gentium"/>
          <w:color w:val="000000"/>
        </w:rPr>
        <w:t>Edited by Michael Gervers, 119-128. New York: St. Martin’s Press, 1992.</w:t>
      </w:r>
    </w:p>
    <w:p w14:paraId="04B7B56B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Hoffmann, Gerhard. “Das Militär in der arabisch-islamischen Feudalgesellschaft: Ein Beitrag zu Grundzügen seiner Entwicklung und deren Spezifik unter Fatimiden und Seldschuken.” D.Phil. diss. </w:t>
      </w:r>
      <w:r w:rsidRPr="001859D3">
        <w:rPr>
          <w:rFonts w:ascii="Gentium" w:hAnsi="Gentium"/>
          <w:color w:val="000000"/>
        </w:rPr>
        <w:t>B.,</w:t>
      </w:r>
      <w:r w:rsidRPr="00660D1C">
        <w:rPr>
          <w:rFonts w:ascii="Gentium" w:hAnsi="Gentium"/>
          <w:color w:val="000000"/>
        </w:rPr>
        <w:t xml:space="preserve"> </w:t>
      </w:r>
      <w:r w:rsidRPr="008A7ECC">
        <w:rPr>
          <w:rFonts w:ascii="Gentium" w:hAnsi="Gentium"/>
          <w:color w:val="000000"/>
        </w:rPr>
        <w:t>University of Leipzig</w:t>
      </w:r>
      <w:r w:rsidRPr="00660D1C">
        <w:rPr>
          <w:rFonts w:ascii="Gentium" w:hAnsi="Gentium"/>
          <w:color w:val="000000"/>
        </w:rPr>
        <w:t xml:space="preserve">, 1986. 239 pp.  </w:t>
      </w:r>
    </w:p>
    <w:p w14:paraId="16B78E35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Hojibekov, Elbon. “Ismailitskie dukhovnie nastavniki (Piri) i ikh rol v obshestvenno-politicheskoy i kulturnoy zhizni Shughnana (Vtoraya Polovina XIX veka – 30e godi XX v).” [Ismaili Spiritual Teachers (</w:t>
      </w:r>
      <w:r w:rsidRPr="00660D1C">
        <w:rPr>
          <w:rFonts w:ascii="Gentium" w:hAnsi="Gentium"/>
          <w:i/>
          <w:color w:val="000000"/>
        </w:rPr>
        <w:t>Pirs</w:t>
      </w:r>
      <w:r>
        <w:rPr>
          <w:rFonts w:ascii="Gentium" w:hAnsi="Gentium"/>
          <w:color w:val="000000"/>
        </w:rPr>
        <w:t>) and t</w:t>
      </w:r>
      <w:r w:rsidRPr="00660D1C">
        <w:rPr>
          <w:rFonts w:ascii="Gentium" w:hAnsi="Gentium"/>
          <w:color w:val="000000"/>
        </w:rPr>
        <w:t xml:space="preserve">heir Role in the Socio-Political and Cultural Life of Shugnan (1850-1930s)] ‘Science Candidate’ thesis, Academy of Sciences of the Republic </w:t>
      </w:r>
      <w:r>
        <w:rPr>
          <w:rFonts w:ascii="Gentium" w:hAnsi="Gentium"/>
          <w:color w:val="000000"/>
        </w:rPr>
        <w:t xml:space="preserve">of Tajikistan, 2002. </w:t>
      </w:r>
      <w:r w:rsidRPr="00660D1C">
        <w:rPr>
          <w:rFonts w:ascii="Gentium" w:hAnsi="Gentium"/>
          <w:color w:val="000000"/>
        </w:rPr>
        <w:t>[In Russian]</w:t>
      </w:r>
    </w:p>
    <w:p w14:paraId="1AD753E8" w14:textId="77777777" w:rsidR="00EA60B1" w:rsidRPr="00660D1C" w:rsidRDefault="00EA60B1" w:rsidP="00EA60B1">
      <w:pPr>
        <w:rPr>
          <w:rFonts w:ascii="Gentium" w:hAnsi="Gentium"/>
          <w:color w:val="000000"/>
        </w:rPr>
      </w:pPr>
      <w:r>
        <w:rPr>
          <w:rFonts w:ascii="Gentium" w:hAnsi="Gentium"/>
          <w:color w:val="000000"/>
        </w:rPr>
        <w:t xml:space="preserve">Holme, Frederick. </w:t>
      </w:r>
      <w:r w:rsidRPr="00660D1C">
        <w:rPr>
          <w:rFonts w:ascii="Gentium" w:hAnsi="Gentium"/>
          <w:color w:val="000000"/>
        </w:rPr>
        <w:t xml:space="preserve">“The Secret Societies of Asia - The Assassins and Thugs.” </w:t>
      </w:r>
      <w:r w:rsidRPr="00660D1C">
        <w:rPr>
          <w:rFonts w:ascii="Gentium" w:hAnsi="Gentium"/>
          <w:i/>
          <w:color w:val="000000"/>
        </w:rPr>
        <w:t xml:space="preserve">Blackwood’s Edinburgh Magazine </w:t>
      </w:r>
      <w:r w:rsidRPr="00660D1C">
        <w:rPr>
          <w:rFonts w:ascii="Gentium" w:hAnsi="Gentium"/>
          <w:color w:val="000000"/>
        </w:rPr>
        <w:t>49:304 (1841): 229-244.</w:t>
      </w:r>
    </w:p>
    <w:p w14:paraId="51BABE27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Holmes, Winifred. “Pioneers of Muslim Art – The Fatamids [</w:t>
      </w:r>
      <w:r w:rsidRPr="00660D1C">
        <w:rPr>
          <w:rFonts w:ascii="Gentium" w:hAnsi="Gentium"/>
          <w:i/>
          <w:color w:val="000000"/>
        </w:rPr>
        <w:t>sic</w:t>
      </w:r>
      <w:r w:rsidRPr="00660D1C">
        <w:rPr>
          <w:rFonts w:ascii="Gentium" w:hAnsi="Gentium"/>
          <w:color w:val="000000"/>
        </w:rPr>
        <w:t xml:space="preserve">] of Egypt.” </w:t>
      </w:r>
      <w:r w:rsidRPr="00660D1C">
        <w:rPr>
          <w:rFonts w:ascii="Gentium" w:hAnsi="Gentium"/>
          <w:i/>
          <w:color w:val="000000"/>
        </w:rPr>
        <w:t>Pakistan Quarterly</w:t>
      </w:r>
      <w:r w:rsidRPr="00660D1C">
        <w:rPr>
          <w:rFonts w:ascii="Gentium" w:hAnsi="Gentium"/>
          <w:color w:val="000000"/>
        </w:rPr>
        <w:t xml:space="preserve"> 6:3 (1956): 52-56.</w:t>
      </w:r>
    </w:p>
    <w:p w14:paraId="041DB3F7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Howes, Rachel Tranquility. “Al-Mu</w:t>
      </w:r>
      <w:r w:rsidRPr="00660D1C">
        <w:rPr>
          <w:rFonts w:ascii="Calibri" w:hAnsi="Calibri" w:cs="Calibri"/>
          <w:color w:val="000000"/>
        </w:rPr>
        <w:t>ʾ</w:t>
      </w:r>
      <w:r w:rsidRPr="00660D1C">
        <w:rPr>
          <w:rFonts w:ascii="Gentium" w:hAnsi="Gentium"/>
          <w:color w:val="000000"/>
        </w:rPr>
        <w:t>ayyad fī al-Dīn al-Shīrāzī and the Fatimid Religious Propaganda Organization in the Age of al-Mustanṣir (427-487 A.H./1036-1094 C.E.).” Ph.D. diss., University of California, Santa Barbara, 2003. xv + 347 pp.</w:t>
      </w:r>
    </w:p>
    <w:p w14:paraId="028DBD63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Howgego, Raymond John. “Khusraw, Nasir-i.” In </w:t>
      </w:r>
      <w:r w:rsidRPr="00660D1C">
        <w:rPr>
          <w:rFonts w:ascii="Gentium" w:hAnsi="Gentium"/>
          <w:i/>
          <w:color w:val="000000"/>
        </w:rPr>
        <w:t>Encyclopedia of Exploration to 1800: A Comprehensive Reference Guide to the History and Literature of Exploration, Travel, and Colonization from the Earliest Times to the Year 1800</w:t>
      </w:r>
      <w:r w:rsidRPr="00660D1C">
        <w:rPr>
          <w:rFonts w:ascii="Gentium" w:hAnsi="Gentium"/>
          <w:color w:val="000000"/>
        </w:rPr>
        <w:t>, 569-570. Potts Point, N.S.W.: Hordern House, 2003.</w:t>
      </w:r>
    </w:p>
    <w:p w14:paraId="12A72A5A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Hrbek, Ivan. “The Emergence of the Fāṭimids.” In </w:t>
      </w:r>
      <w:r w:rsidRPr="00660D1C">
        <w:rPr>
          <w:rFonts w:ascii="Gentium" w:hAnsi="Gentium"/>
          <w:i/>
          <w:color w:val="000000"/>
        </w:rPr>
        <w:t>Africa from the Seventh to the Eleventh Century</w:t>
      </w:r>
      <w:r w:rsidRPr="00660D1C">
        <w:rPr>
          <w:rFonts w:ascii="Gentium" w:hAnsi="Gentium"/>
          <w:color w:val="000000"/>
        </w:rPr>
        <w:t>. General History of Africa 3. Edited by M. El Fasi and Ivan Hrbek, 314-335. London: Heinemann Educational Books, 1988.</w:t>
      </w:r>
    </w:p>
    <w:p w14:paraId="321078B1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Hunsberger, Alice C. “The Esoteric World Vision of Nasir Khusraw.” </w:t>
      </w:r>
      <w:r w:rsidRPr="00660D1C">
        <w:rPr>
          <w:rFonts w:ascii="Gentium" w:hAnsi="Gentium"/>
          <w:i/>
          <w:color w:val="000000"/>
        </w:rPr>
        <w:t>Sacred Web: A Journal of Tradition and Modernity</w:t>
      </w:r>
      <w:r w:rsidRPr="00660D1C">
        <w:rPr>
          <w:rFonts w:ascii="Gentium" w:hAnsi="Gentium"/>
          <w:color w:val="000000"/>
        </w:rPr>
        <w:t xml:space="preserve"> 9 (2002): 89-100.</w:t>
      </w:r>
    </w:p>
    <w:p w14:paraId="3CF2FF69" w14:textId="77777777" w:rsidR="00EA60B1" w:rsidRPr="00660D1C" w:rsidRDefault="00EA60B1" w:rsidP="00EA60B1">
      <w:pPr>
        <w:rPr>
          <w:rFonts w:ascii="Gentium" w:hAnsi="Gentium"/>
          <w:color w:val="000000"/>
        </w:rPr>
      </w:pPr>
      <w:r>
        <w:rPr>
          <w:rFonts w:ascii="Gentium" w:hAnsi="Gentium"/>
          <w:color w:val="000000"/>
        </w:rPr>
        <w:t xml:space="preserve">Husseini, S.A.S. </w:t>
      </w:r>
      <w:r w:rsidRPr="00660D1C">
        <w:rPr>
          <w:rFonts w:ascii="Gentium" w:hAnsi="Gentium"/>
          <w:color w:val="000000"/>
        </w:rPr>
        <w:t xml:space="preserve">“Inscription of the Khalif El- Mustanṣir Billāh 458 A.H. (= A.D. 1065).” </w:t>
      </w:r>
      <w:r w:rsidRPr="00660D1C">
        <w:rPr>
          <w:rFonts w:ascii="Gentium" w:hAnsi="Gentium"/>
          <w:i/>
          <w:color w:val="000000"/>
        </w:rPr>
        <w:t>Quarterly of the Department of Antiquities in Palestine</w:t>
      </w:r>
      <w:r w:rsidRPr="00660D1C">
        <w:rPr>
          <w:rFonts w:ascii="Gentium" w:hAnsi="Gentium"/>
          <w:color w:val="000000"/>
        </w:rPr>
        <w:t xml:space="preserve"> 9 (1942): 77-80.</w:t>
      </w:r>
    </w:p>
    <w:p w14:paraId="513D2234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Ibrahim, Tawfiq. “Dinar of Madinat al-Mahdiyah 450 H. Struck by the Zirid Ruler al-Mu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izz b. Badis (406/454) in the name of the Fatimid al-Mustansir (427/487).” </w:t>
      </w:r>
      <w:r w:rsidRPr="00660D1C">
        <w:rPr>
          <w:rFonts w:ascii="Gentium" w:hAnsi="Gentium"/>
          <w:i/>
          <w:color w:val="000000"/>
        </w:rPr>
        <w:t xml:space="preserve">Oriental Numismatic Society </w:t>
      </w:r>
      <w:r w:rsidRPr="00660D1C">
        <w:rPr>
          <w:rFonts w:ascii="Gentium" w:hAnsi="Gentium"/>
          <w:color w:val="000000"/>
        </w:rPr>
        <w:t>116 (1989): 4.</w:t>
      </w:r>
    </w:p>
    <w:p w14:paraId="31561489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“Consideraciones sobre el conflicto Omeya-Fatimi y las dos acuñaciones concidas de al-Jair ibn Muhammad ibn Jazar al Magrewi.” </w:t>
      </w:r>
      <w:r w:rsidRPr="00660D1C">
        <w:rPr>
          <w:rFonts w:ascii="Gentium" w:hAnsi="Gentium"/>
          <w:i/>
          <w:color w:val="000000"/>
        </w:rPr>
        <w:t>Boletín de la Asociación Española de Orientalistas</w:t>
      </w:r>
      <w:r w:rsidRPr="00660D1C">
        <w:rPr>
          <w:rFonts w:ascii="Gentium" w:hAnsi="Gentium"/>
          <w:color w:val="000000"/>
        </w:rPr>
        <w:t xml:space="preserve"> 26 (1990): 295-302.</w:t>
      </w:r>
    </w:p>
    <w:p w14:paraId="4E5E97F9" w14:textId="77777777" w:rsidR="00EA60B1" w:rsidRDefault="00EA60B1" w:rsidP="00EA60B1">
      <w:pPr>
        <w:rPr>
          <w:rFonts w:ascii="Gentium" w:hAnsi="Gentium"/>
          <w:color w:val="000000"/>
        </w:rPr>
      </w:pPr>
      <w:r w:rsidRPr="00E06319">
        <w:rPr>
          <w:rFonts w:ascii="Gentium" w:hAnsi="Gentium"/>
          <w:color w:val="000000"/>
        </w:rPr>
        <w:t>Iloliev, Abdulmamad. “Saints and Shrines in the ‘Roof of the World’: The Making of Ismā</w:t>
      </w:r>
      <w:r w:rsidRPr="00E06319">
        <w:rPr>
          <w:rFonts w:ascii="Calibri" w:hAnsi="Calibri" w:cs="Calibri"/>
          <w:color w:val="000000"/>
        </w:rPr>
        <w:t>ʿ</w:t>
      </w:r>
      <w:r w:rsidRPr="00E06319">
        <w:rPr>
          <w:rFonts w:ascii="Gentium" w:hAnsi="Gentium"/>
          <w:color w:val="000000"/>
        </w:rPr>
        <w:t>īlī Shrines in Wakhān.” M. Phil. thesis, Faculty of Asian and Middle Eastern Studies, University of Cambridge, 2002. vii + 55 pp. [U]</w:t>
      </w:r>
      <w:r w:rsidRPr="00660D1C">
        <w:rPr>
          <w:rFonts w:ascii="Gentium" w:hAnsi="Gentium"/>
          <w:color w:val="000000"/>
        </w:rPr>
        <w:tab/>
      </w:r>
    </w:p>
    <w:p w14:paraId="1DF8FAE2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Irwin, Bonnie D. “Assassins Nizari Isma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ilis.” In </w:t>
      </w:r>
      <w:r w:rsidRPr="00660D1C">
        <w:rPr>
          <w:rFonts w:ascii="Gentium" w:hAnsi="Gentium"/>
          <w:i/>
          <w:color w:val="000000"/>
        </w:rPr>
        <w:t>Medieval Folklore: An Encyclopedia of Myths, Legends, Tales, Beliefs, and Customs</w:t>
      </w:r>
      <w:r w:rsidRPr="00660D1C">
        <w:rPr>
          <w:rFonts w:ascii="Gentium" w:hAnsi="Gentium"/>
          <w:color w:val="000000"/>
        </w:rPr>
        <w:t>. 2 vols. Edited by Carl Lindahl, John McNamara, and John Lindow, 1:50-52. Santa Barbara, Calif: ABC-CLIO, 2000.</w:t>
      </w:r>
    </w:p>
    <w:p w14:paraId="73BD7841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Ismail, Sadeq Al Haj Jaffer. “The I</w:t>
      </w:r>
      <w:r w:rsidRPr="00660D1C">
        <w:rPr>
          <w:rFonts w:ascii="Calibri" w:hAnsi="Calibri" w:cs="Calibri"/>
          <w:color w:val="000000"/>
        </w:rPr>
        <w:t>k̲h̲</w:t>
      </w:r>
      <w:r w:rsidRPr="00660D1C">
        <w:rPr>
          <w:rFonts w:ascii="Gentium" w:hAnsi="Gentium"/>
          <w:color w:val="000000"/>
        </w:rPr>
        <w:t xml:space="preserve">wān al-Ṣafā’s Philosophy of Education: Its Origins and Impact on Muslim Educators and Education.” Ph.D. diss., University of California, Berkeley, 1974. vi +172 pp.  </w:t>
      </w:r>
    </w:p>
    <w:p w14:paraId="46BB52BE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Ismail, Shiraz. “</w:t>
      </w:r>
      <w:r w:rsidRPr="00660D1C">
        <w:rPr>
          <w:rFonts w:ascii="Gentium" w:hAnsi="Gentium"/>
          <w:i/>
          <w:color w:val="000000"/>
        </w:rPr>
        <w:t>Chhatris Kror</w:t>
      </w:r>
      <w:r w:rsidRPr="00660D1C">
        <w:rPr>
          <w:rFonts w:ascii="Gentium" w:hAnsi="Gentium"/>
          <w:color w:val="000000"/>
        </w:rPr>
        <w:t xml:space="preserve">: An Unpublished </w:t>
      </w:r>
      <w:r w:rsidRPr="008134E2">
        <w:rPr>
          <w:rFonts w:ascii="Gentium" w:hAnsi="Gentium"/>
        </w:rPr>
        <w:t>Granth</w:t>
      </w:r>
      <w:r w:rsidRPr="00660D1C">
        <w:rPr>
          <w:rFonts w:ascii="Gentium" w:hAnsi="Gentium"/>
          <w:color w:val="000000"/>
        </w:rPr>
        <w:t xml:space="preserve">.” In </w:t>
      </w:r>
      <w:r>
        <w:rPr>
          <w:rFonts w:ascii="Gentium" w:hAnsi="Gentium"/>
          <w:i/>
          <w:color w:val="000000"/>
        </w:rPr>
        <w:t>SOS</w:t>
      </w:r>
      <w:r w:rsidRPr="00660D1C">
        <w:rPr>
          <w:rFonts w:ascii="Gentium" w:hAnsi="Gentium"/>
          <w:color w:val="000000"/>
        </w:rPr>
        <w:t>, 116-119.</w:t>
      </w:r>
    </w:p>
    <w:p w14:paraId="1B622A0D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Israel, Milton. “Ismailis.” In </w:t>
      </w:r>
      <w:r w:rsidRPr="00660D1C">
        <w:rPr>
          <w:rFonts w:ascii="Gentium" w:hAnsi="Gentium"/>
          <w:i/>
          <w:color w:val="000000"/>
        </w:rPr>
        <w:t>Encyclopedia of Canada’s Peoples</w:t>
      </w:r>
      <w:r w:rsidRPr="00660D1C">
        <w:rPr>
          <w:rFonts w:ascii="Gentium" w:hAnsi="Gentium"/>
          <w:color w:val="000000"/>
        </w:rPr>
        <w:t>. Edited by Paul Robert Magocsi, 783-786. Toronto, ON: Published for the Multicultural History Society of Ontario by the University of Toronto Press, 1999.</w:t>
      </w:r>
    </w:p>
    <w:p w14:paraId="1FF40533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Iwamura, </w:t>
      </w:r>
      <w:r w:rsidRPr="0065536D">
        <w:rPr>
          <w:rFonts w:ascii="Gentium" w:hAnsi="Gentium"/>
          <w:color w:val="000000"/>
        </w:rPr>
        <w:t>Shinobu.</w:t>
      </w:r>
      <w:r w:rsidRPr="00660D1C">
        <w:rPr>
          <w:rFonts w:ascii="Gentium" w:hAnsi="Gentium"/>
          <w:color w:val="000000"/>
        </w:rPr>
        <w:t xml:space="preserve"> “The </w:t>
      </w:r>
      <w:r w:rsidRPr="008134E2">
        <w:rPr>
          <w:rFonts w:ascii="Gentium" w:hAnsi="Gentium"/>
        </w:rPr>
        <w:t xml:space="preserve">Mulāḥida </w:t>
      </w:r>
      <w:r w:rsidRPr="00660D1C">
        <w:rPr>
          <w:rFonts w:ascii="Gentium" w:hAnsi="Gentium"/>
          <w:color w:val="000000"/>
        </w:rPr>
        <w:t xml:space="preserve">or Assassins and the Mongols.” </w:t>
      </w:r>
      <w:r w:rsidRPr="00660D1C">
        <w:rPr>
          <w:rFonts w:ascii="Gentium" w:hAnsi="Gentium"/>
          <w:i/>
          <w:color w:val="000000"/>
        </w:rPr>
        <w:t>Bulletin of the Society for Western and Southern Asiatic Studies</w:t>
      </w:r>
      <w:r w:rsidRPr="00660D1C">
        <w:rPr>
          <w:rFonts w:ascii="Gentium" w:hAnsi="Gentium"/>
          <w:color w:val="000000"/>
        </w:rPr>
        <w:t xml:space="preserve"> 11 (1963): 1-8. [In Japanese]</w:t>
      </w:r>
    </w:p>
    <w:p w14:paraId="6F782C26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</w:t>
      </w:r>
      <w:r w:rsidRPr="00660D1C">
        <w:rPr>
          <w:rFonts w:ascii="Gentium" w:hAnsi="Gentium"/>
          <w:i/>
          <w:color w:val="000000"/>
        </w:rPr>
        <w:t>The Order of the Assassins: History of a Muslim State which Rocked Central Asia</w:t>
      </w:r>
      <w:r w:rsidRPr="00660D1C">
        <w:rPr>
          <w:rFonts w:ascii="Gentium" w:hAnsi="Gentium"/>
          <w:color w:val="000000"/>
        </w:rPr>
        <w:t xml:space="preserve">. Tokyo: Chikuma Shobo, 1964. 196 pp. </w:t>
      </w:r>
      <w:r w:rsidRPr="00671227">
        <w:rPr>
          <w:rFonts w:ascii="Gentium" w:hAnsi="Gentium"/>
          <w:color w:val="000000"/>
        </w:rPr>
        <w:t>2</w:t>
      </w:r>
      <w:r w:rsidRPr="00671227">
        <w:rPr>
          <w:rFonts w:ascii="Gentium" w:hAnsi="Gentium"/>
          <w:color w:val="000000"/>
          <w:vertAlign w:val="superscript"/>
        </w:rPr>
        <w:t>nd</w:t>
      </w:r>
      <w:r w:rsidRPr="00671227">
        <w:rPr>
          <w:rFonts w:ascii="Gentium" w:hAnsi="Gentium"/>
          <w:color w:val="000000"/>
        </w:rPr>
        <w:t xml:space="preserve"> rev.</w:t>
      </w:r>
      <w:r w:rsidRPr="00660D1C">
        <w:rPr>
          <w:rFonts w:ascii="Gentium" w:hAnsi="Gentium"/>
          <w:color w:val="000000"/>
        </w:rPr>
        <w:t xml:space="preserve"> ed., </w:t>
      </w:r>
      <w:r w:rsidRPr="00660D1C">
        <w:rPr>
          <w:rFonts w:ascii="Gentium" w:hAnsi="Gentium"/>
          <w:i/>
          <w:color w:val="000000"/>
        </w:rPr>
        <w:t>The Assassins – A History of Islamic Heterodoxy</w:t>
      </w:r>
      <w:r w:rsidRPr="00660D1C">
        <w:rPr>
          <w:rFonts w:ascii="Gentium" w:hAnsi="Gentium"/>
          <w:color w:val="000000"/>
        </w:rPr>
        <w:t xml:space="preserve">. Tokyo: Liburopoto, 1981. 228 pp. [In Japanese] </w:t>
      </w:r>
    </w:p>
    <w:p w14:paraId="7042979A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Izutsu, Toshihiko. “The Ismaili Assassins (I) - Mythos and Thought around the Alamut Castle.” </w:t>
      </w:r>
      <w:r w:rsidRPr="00660D1C">
        <w:rPr>
          <w:rFonts w:ascii="Gentium" w:hAnsi="Gentium"/>
          <w:i/>
          <w:color w:val="000000"/>
        </w:rPr>
        <w:t>Shiso</w:t>
      </w:r>
      <w:r w:rsidRPr="00660D1C">
        <w:rPr>
          <w:rFonts w:ascii="Gentium" w:hAnsi="Gentium"/>
          <w:color w:val="000000"/>
        </w:rPr>
        <w:t xml:space="preserve"> 745 (1986): 1-24. [In Japanese]</w:t>
      </w:r>
    </w:p>
    <w:p w14:paraId="45BEDB11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“The Ismaili Assassins (II) - Mythos and Thought around the Alamut Castle.” </w:t>
      </w:r>
      <w:r w:rsidRPr="00660D1C">
        <w:rPr>
          <w:rFonts w:ascii="Gentium" w:hAnsi="Gentium"/>
          <w:i/>
          <w:color w:val="000000"/>
        </w:rPr>
        <w:t>Shiso</w:t>
      </w:r>
      <w:r w:rsidRPr="00660D1C">
        <w:rPr>
          <w:rFonts w:ascii="Gentium" w:hAnsi="Gentium"/>
          <w:color w:val="000000"/>
        </w:rPr>
        <w:t xml:space="preserve"> 746 (1986): 137-159. [In Japanese]</w:t>
      </w:r>
    </w:p>
    <w:p w14:paraId="45E6F936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Jackson, Guida M. “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Arwa Bint Ahmad al-Sulayhiyya,” “Asma Bint Shihab al-Sulayhiyya,” “Sitt al-Mulk.” In </w:t>
      </w:r>
      <w:r w:rsidRPr="00660D1C">
        <w:rPr>
          <w:rFonts w:ascii="Gentium" w:hAnsi="Gentium"/>
          <w:i/>
          <w:color w:val="000000"/>
        </w:rPr>
        <w:t>Women Rulers Throughout the Ages: An Illustrated Guide</w:t>
      </w:r>
      <w:r w:rsidRPr="00660D1C">
        <w:rPr>
          <w:rFonts w:ascii="Gentium" w:hAnsi="Gentium"/>
          <w:color w:val="000000"/>
        </w:rPr>
        <w:t>. Santa Barbara, Calif: ABC-CLIO, 1999.</w:t>
      </w:r>
    </w:p>
    <w:p w14:paraId="48F364E2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Jadla, Ibrahim. “Les Fatimides et les Kutāma: Une alliance stratégique ou un mal nécessaire?” </w:t>
      </w:r>
      <w:r w:rsidRPr="00660D1C">
        <w:rPr>
          <w:rFonts w:ascii="Gentium" w:hAnsi="Gentium"/>
          <w:i/>
          <w:color w:val="000000"/>
        </w:rPr>
        <w:t>Mélanges de l’École française de Rome: Moyen-Âge</w:t>
      </w:r>
      <w:r w:rsidRPr="00660D1C">
        <w:rPr>
          <w:rFonts w:ascii="Gentium" w:hAnsi="Gentium"/>
          <w:color w:val="000000"/>
        </w:rPr>
        <w:t xml:space="preserve"> 115:1 (2003): 503-512, 634.</w:t>
      </w:r>
    </w:p>
    <w:p w14:paraId="3C720AE4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Jaffer, Amin K. H. “Accommodation, Change and Continuity in the Shia Imami Ismaili Tradition.” In </w:t>
      </w:r>
      <w:r w:rsidRPr="00660D1C">
        <w:rPr>
          <w:rFonts w:ascii="Gentium" w:hAnsi="Gentium"/>
          <w:i/>
          <w:color w:val="000000"/>
        </w:rPr>
        <w:t>South Asians in Ontario</w:t>
      </w:r>
      <w:r w:rsidRPr="00660D1C">
        <w:rPr>
          <w:rFonts w:ascii="Gentium" w:hAnsi="Gentium"/>
          <w:color w:val="000000"/>
        </w:rPr>
        <w:t xml:space="preserve">. Edited by Milton Israel and N.K. Wagle. Special Issue, </w:t>
      </w:r>
      <w:r w:rsidRPr="00660D1C">
        <w:rPr>
          <w:rFonts w:ascii="Gentium" w:hAnsi="Gentium"/>
          <w:i/>
          <w:color w:val="000000"/>
        </w:rPr>
        <w:t>Polyphony: Bulletin of the Multicultural History Society of Ontario</w:t>
      </w:r>
      <w:r w:rsidRPr="00660D1C">
        <w:rPr>
          <w:rFonts w:ascii="Gentium" w:hAnsi="Gentium"/>
          <w:color w:val="000000"/>
        </w:rPr>
        <w:t xml:space="preserve"> 12:1-2 (1990): 103-107.</w:t>
      </w:r>
    </w:p>
    <w:p w14:paraId="7E18B008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Jamal, Arif A. “Models of Pluralistic Discourse: A Consideration of the Ismaili Muslim Conciliation and Arbitration Boards in Kenya.” </w:t>
      </w:r>
      <w:r w:rsidRPr="00660D1C">
        <w:rPr>
          <w:rFonts w:ascii="Gentium" w:hAnsi="Gentium"/>
          <w:i/>
          <w:color w:val="000000"/>
        </w:rPr>
        <w:t>Yearbook of Islamic and Middle Eastern Law</w:t>
      </w:r>
      <w:r w:rsidRPr="00660D1C">
        <w:rPr>
          <w:rFonts w:ascii="Gentium" w:hAnsi="Gentium"/>
          <w:color w:val="000000"/>
        </w:rPr>
        <w:t xml:space="preserve"> 8 (2001-2002): 86-97.</w:t>
      </w:r>
    </w:p>
    <w:p w14:paraId="14260FA1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Jambet, Christian. “L’interprétation ismaélienne de l’histoire.” </w:t>
      </w:r>
      <w:r w:rsidRPr="00660D1C">
        <w:rPr>
          <w:rFonts w:ascii="Gentium" w:hAnsi="Gentium"/>
          <w:i/>
          <w:color w:val="000000"/>
        </w:rPr>
        <w:t>Cahiers de l’Université Saint-Jean de Jérusalem</w:t>
      </w:r>
      <w:r w:rsidRPr="00660D1C">
        <w:rPr>
          <w:rFonts w:ascii="Gentium" w:hAnsi="Gentium"/>
          <w:color w:val="000000"/>
        </w:rPr>
        <w:t xml:space="preserve"> 14 (1988): 63-77.</w:t>
      </w:r>
    </w:p>
    <w:p w14:paraId="13325C8C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Jani, Balvant. “The Devotional Element in the </w:t>
      </w:r>
      <w:r w:rsidRPr="008134E2">
        <w:rPr>
          <w:rFonts w:ascii="Gentium" w:hAnsi="Gentium"/>
          <w:i/>
        </w:rPr>
        <w:t>Nasīhats</w:t>
      </w:r>
      <w:r w:rsidRPr="008134E2">
        <w:rPr>
          <w:rFonts w:ascii="Gentium" w:hAnsi="Gentium"/>
        </w:rPr>
        <w:t xml:space="preserve"> </w:t>
      </w:r>
      <w:r w:rsidRPr="00660D1C">
        <w:rPr>
          <w:rFonts w:ascii="Gentium" w:hAnsi="Gentium"/>
          <w:color w:val="000000"/>
        </w:rPr>
        <w:t xml:space="preserve">of the Bohrā Writings in Gujarat.” In </w:t>
      </w:r>
      <w:r w:rsidRPr="00660D1C">
        <w:rPr>
          <w:rFonts w:ascii="Gentium" w:hAnsi="Gentium"/>
          <w:i/>
          <w:color w:val="000000"/>
        </w:rPr>
        <w:t>Studies in South Asian Devotional Literature: Research Papers, 1988-1991. Presented at the Fifth Conference on Devotional Literature in New Indo-Aryan Languages, held at Paris-École Française D’Extréme-Orient, 9-12 July 1991.</w:t>
      </w:r>
      <w:r w:rsidRPr="00660D1C">
        <w:rPr>
          <w:rFonts w:ascii="Gentium" w:hAnsi="Gentium"/>
          <w:color w:val="000000"/>
        </w:rPr>
        <w:t xml:space="preserve"> Edited by Alan W. Entwistle and Françoise Mallison, 226-238. New Delhi: Manohar, 1994.</w:t>
      </w:r>
    </w:p>
    <w:p w14:paraId="0E151E29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Jenkins, Marilyn. “The Evolution of the Iconography of Early Fatimid Lustre Painted Ceramics.” M.A. thesis, Columbia University, 1966. 91 pp.</w:t>
      </w:r>
    </w:p>
    <w:p w14:paraId="5B32C051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Jinah, Parvin. “Adaptation and Integration Process of Some African Ismaili Muslim Youths of Second-Generation in Montreal.” M.Sc. thesis, Université de Montréal, 1996. vi + 155 pp.</w:t>
      </w:r>
    </w:p>
    <w:p w14:paraId="4508D0D2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Jiwa, Rizwana. “Voices from the Diaspora: Identity Formation of Ismaili Girls and Women in Canada.” M.A. thesis, Simon Fraser University, 2003. vii + 162 pp.</w:t>
      </w:r>
    </w:p>
    <w:p w14:paraId="7E3FE99E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Johns, Jeremy. “The Norman </w:t>
      </w:r>
      <w:r w:rsidRPr="00660D1C">
        <w:rPr>
          <w:rFonts w:ascii="Gentium" w:hAnsi="Gentium"/>
          <w:i/>
          <w:color w:val="000000"/>
        </w:rPr>
        <w:t>dīwān</w:t>
      </w:r>
      <w:r w:rsidRPr="00660D1C">
        <w:rPr>
          <w:rFonts w:ascii="Gentium" w:hAnsi="Gentium"/>
          <w:color w:val="000000"/>
        </w:rPr>
        <w:t xml:space="preserve"> and Fāṭ</w:t>
      </w:r>
      <w:r>
        <w:rPr>
          <w:rFonts w:ascii="Gentium" w:hAnsi="Gentium"/>
          <w:color w:val="000000"/>
        </w:rPr>
        <w:t xml:space="preserve">imid Egypt.” Chap. </w:t>
      </w:r>
      <w:r w:rsidRPr="00660D1C">
        <w:rPr>
          <w:rFonts w:ascii="Gentium" w:hAnsi="Gentium"/>
          <w:color w:val="000000"/>
        </w:rPr>
        <w:t xml:space="preserve">10 in </w:t>
      </w:r>
      <w:r w:rsidRPr="00660D1C">
        <w:rPr>
          <w:rFonts w:ascii="Gentium" w:hAnsi="Gentium"/>
          <w:i/>
          <w:color w:val="000000"/>
        </w:rPr>
        <w:t>Arabic Administration in Norman Sicily: The Royal Dīwān</w:t>
      </w:r>
      <w:r w:rsidRPr="00660D1C">
        <w:rPr>
          <w:rFonts w:ascii="Gentium" w:hAnsi="Gentium"/>
          <w:color w:val="000000"/>
        </w:rPr>
        <w:t>, 257-283. Cambridge Studies in Islamic Civilization. Cambridge, U.K.: Cambridge University Press, 2002.</w:t>
      </w:r>
    </w:p>
    <w:p w14:paraId="74F250BA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Jones, Dalu. “Notes on a Tattooed Musician: A Drawing of the Fatimid Period.” </w:t>
      </w:r>
      <w:r w:rsidRPr="00660D1C">
        <w:rPr>
          <w:rFonts w:ascii="Gentium" w:hAnsi="Gentium"/>
          <w:i/>
          <w:color w:val="000000"/>
        </w:rPr>
        <w:t xml:space="preserve">Art and Archaeology Research Papers </w:t>
      </w:r>
      <w:r w:rsidRPr="00660D1C">
        <w:rPr>
          <w:rFonts w:ascii="Gentium" w:hAnsi="Gentium"/>
          <w:color w:val="000000"/>
        </w:rPr>
        <w:t>7 (1975): 1-14.</w:t>
      </w:r>
    </w:p>
    <w:p w14:paraId="0F0FD301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Juma, Salim K. “A Sample Survey of Currently Available Literature of Piraana Pa(n)this.” In </w:t>
      </w:r>
      <w:r>
        <w:rPr>
          <w:rFonts w:ascii="Gentium" w:hAnsi="Gentium"/>
          <w:i/>
          <w:color w:val="000000"/>
        </w:rPr>
        <w:t>SOS</w:t>
      </w:r>
      <w:r w:rsidRPr="00660D1C">
        <w:rPr>
          <w:rFonts w:ascii="Gentium" w:hAnsi="Gentium"/>
          <w:color w:val="000000"/>
        </w:rPr>
        <w:t>, 77-99.</w:t>
      </w:r>
    </w:p>
    <w:p w14:paraId="6D1E8256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Junejo, Abdul Jabbar. “Poetic Forms of Pir Sadardin.” </w:t>
      </w:r>
      <w:r w:rsidRPr="00660D1C">
        <w:rPr>
          <w:rFonts w:ascii="Gentium" w:hAnsi="Gentium"/>
          <w:i/>
          <w:color w:val="000000"/>
        </w:rPr>
        <w:t>Sindhological Studies</w:t>
      </w:r>
      <w:r w:rsidRPr="00660D1C">
        <w:rPr>
          <w:rFonts w:ascii="Gentium" w:hAnsi="Gentium"/>
          <w:color w:val="000000"/>
        </w:rPr>
        <w:t xml:space="preserve"> 19:1-2 (2001): 133-136.</w:t>
      </w:r>
    </w:p>
    <w:p w14:paraId="467B0731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Jurado Aceituno, Antonio. “The Seljuk </w:t>
      </w:r>
      <w:r w:rsidRPr="00660D1C">
        <w:rPr>
          <w:rFonts w:ascii="Gentium" w:hAnsi="Gentium"/>
          <w:i/>
          <w:color w:val="000000"/>
        </w:rPr>
        <w:t xml:space="preserve">Jihâd </w:t>
      </w:r>
      <w:r w:rsidRPr="00660D1C">
        <w:rPr>
          <w:rFonts w:ascii="Gentium" w:hAnsi="Gentium"/>
          <w:color w:val="000000"/>
        </w:rPr>
        <w:t>against Fatimid Shi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ism: An Observation on the Sunni Revival.” In </w:t>
      </w:r>
      <w:r w:rsidRPr="00660D1C">
        <w:rPr>
          <w:rFonts w:ascii="Gentium" w:hAnsi="Gentium"/>
          <w:i/>
          <w:color w:val="000000"/>
        </w:rPr>
        <w:t xml:space="preserve">Essays on Ottoman Civilization: Proceedings of the </w:t>
      </w:r>
      <w:r w:rsidRPr="00671227">
        <w:rPr>
          <w:rFonts w:ascii="Gentium" w:hAnsi="Gentium"/>
          <w:i/>
          <w:color w:val="000000"/>
        </w:rPr>
        <w:t>XIIth</w:t>
      </w:r>
      <w:r w:rsidRPr="00660D1C">
        <w:rPr>
          <w:rFonts w:ascii="Gentium" w:hAnsi="Gentium"/>
          <w:i/>
          <w:color w:val="000000"/>
        </w:rPr>
        <w:t xml:space="preserve"> Congress of the Comité International d’Études Pré-Ottomanes et ottomanes, Praha 1996</w:t>
      </w:r>
      <w:r w:rsidRPr="00660D1C">
        <w:rPr>
          <w:rFonts w:ascii="Gentium" w:hAnsi="Gentium"/>
          <w:color w:val="000000"/>
        </w:rPr>
        <w:t>, 173-178. Archív Orientální Supplementa 8. Praha: Academy of Sciences of the Czech Republic, Oriental Institute, 1998.</w:t>
      </w:r>
    </w:p>
    <w:p w14:paraId="78CFB6A4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Kadi, Zoyab A. “The Bohrawads of Sidhpur.” </w:t>
      </w:r>
      <w:r w:rsidRPr="00660D1C">
        <w:rPr>
          <w:rFonts w:ascii="Gentium" w:hAnsi="Gentium"/>
          <w:i/>
          <w:color w:val="000000"/>
        </w:rPr>
        <w:t>Marg (Pathway)</w:t>
      </w:r>
      <w:r w:rsidRPr="00660D1C">
        <w:rPr>
          <w:rFonts w:ascii="Gentium" w:hAnsi="Gentium"/>
          <w:color w:val="000000"/>
        </w:rPr>
        <w:t xml:space="preserve"> 50:1 (1998): 66-68.</w:t>
      </w:r>
    </w:p>
    <w:p w14:paraId="539EBB98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</w:t>
      </w:r>
      <w:r w:rsidRPr="00660D1C">
        <w:rPr>
          <w:rFonts w:ascii="Gentium" w:hAnsi="Gentium"/>
          <w:i/>
          <w:color w:val="000000"/>
        </w:rPr>
        <w:t>Sidhpur and Its Dawoodi Bohra Houses</w:t>
      </w:r>
      <w:r w:rsidRPr="00660D1C">
        <w:rPr>
          <w:rFonts w:ascii="Gentium" w:hAnsi="Gentium"/>
          <w:color w:val="000000"/>
        </w:rPr>
        <w:t>. New Delhi: Minerva Press, 2000. xvi + 208 pp.</w:t>
      </w:r>
    </w:p>
    <w:p w14:paraId="0B8FA68A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Kaegi, Walter Emil. “Fāṭimids.” In </w:t>
      </w:r>
      <w:r w:rsidRPr="00660D1C">
        <w:rPr>
          <w:rFonts w:ascii="Gentium" w:hAnsi="Gentium"/>
          <w:i/>
          <w:color w:val="000000"/>
        </w:rPr>
        <w:t>The Oxford Dictionary of Byzantium</w:t>
      </w:r>
      <w:r w:rsidRPr="00660D1C">
        <w:rPr>
          <w:rFonts w:ascii="Gentium" w:hAnsi="Gentium"/>
          <w:color w:val="000000"/>
        </w:rPr>
        <w:t>. 3 vols.  Edited by A. P. Kazhdan, 2:780. New York: Oxford University Press, 1991.</w:t>
      </w:r>
    </w:p>
    <w:p w14:paraId="20F4BA53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Kalandarov, Tohir S. “The Religious Situation in the Pamirs (The Issue of Religious Syncretism).” </w:t>
      </w:r>
      <w:r w:rsidRPr="00660D1C">
        <w:rPr>
          <w:rFonts w:ascii="Gentium" w:hAnsi="Gentium"/>
          <w:i/>
          <w:color w:val="000000"/>
        </w:rPr>
        <w:t>Vostok</w:t>
      </w:r>
      <w:r w:rsidRPr="00660D1C">
        <w:rPr>
          <w:rFonts w:ascii="Gentium" w:hAnsi="Gentium"/>
          <w:color w:val="000000"/>
        </w:rPr>
        <w:t xml:space="preserve"> 6 (2000): 36-49. [In Russian]</w:t>
      </w:r>
    </w:p>
    <w:p w14:paraId="679CD2D9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Kalandarov, Tohir S., and Valentin I. Bušhkov. “Ismailites of Tajikistan: Traditions and the Present Day.” </w:t>
      </w:r>
      <w:r w:rsidRPr="00660D1C">
        <w:rPr>
          <w:rFonts w:ascii="Gentium" w:hAnsi="Gentium"/>
          <w:i/>
          <w:color w:val="000000"/>
        </w:rPr>
        <w:t>Central Asia and Caucasus</w:t>
      </w:r>
      <w:r w:rsidRPr="00660D1C">
        <w:rPr>
          <w:rFonts w:ascii="Gentium" w:hAnsi="Gentium"/>
          <w:color w:val="000000"/>
        </w:rPr>
        <w:t xml:space="preserve"> 6:18 (2002): 113-117.</w:t>
      </w:r>
    </w:p>
    <w:p w14:paraId="0651C0BA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Kamerkar, Mani. “Bohras of Gujarat.” </w:t>
      </w:r>
      <w:r w:rsidRPr="00660D1C">
        <w:rPr>
          <w:rFonts w:ascii="Gentium" w:hAnsi="Gentium"/>
          <w:i/>
          <w:color w:val="000000"/>
        </w:rPr>
        <w:t xml:space="preserve">Journal of the S.N.D.T. Women’s University </w:t>
      </w:r>
      <w:r w:rsidRPr="00660D1C">
        <w:rPr>
          <w:rFonts w:ascii="Gentium" w:hAnsi="Gentium"/>
          <w:color w:val="000000"/>
        </w:rPr>
        <w:t xml:space="preserve">8 (1982): 93-101. </w:t>
      </w:r>
    </w:p>
    <w:p w14:paraId="095B56A5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Kanji, Anise. “‘</w:t>
      </w:r>
      <w:r w:rsidRPr="00660D1C">
        <w:rPr>
          <w:rFonts w:ascii="Gentium" w:hAnsi="Gentium"/>
          <w:i/>
          <w:color w:val="000000"/>
        </w:rPr>
        <w:t>Oh My Sisters, Agitate</w:t>
      </w:r>
      <w:r w:rsidRPr="00660D1C">
        <w:rPr>
          <w:rFonts w:ascii="Gentium" w:hAnsi="Gentium"/>
          <w:color w:val="000000"/>
        </w:rPr>
        <w:t>’: Aga Khan III and the Status of Ismaili Muslim Women.” A.B. thesis, Radcliffe College, Harvard University</w:t>
      </w:r>
      <w:r>
        <w:rPr>
          <w:rFonts w:ascii="Gentium" w:hAnsi="Gentium"/>
          <w:color w:val="000000"/>
        </w:rPr>
        <w:t xml:space="preserve">, </w:t>
      </w:r>
      <w:r w:rsidRPr="00660D1C">
        <w:rPr>
          <w:rFonts w:ascii="Gentium" w:hAnsi="Gentium"/>
          <w:color w:val="000000"/>
        </w:rPr>
        <w:t>1990. [U]</w:t>
      </w:r>
    </w:p>
    <w:p w14:paraId="1017BED4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Kapitaikin, Lev-Arie. “Themes of ‘Courtly’ and ‘Daily’ Life in Fatimid Art: The Case of a Group of Lustre Ceramics in Reserve-Painting Technique.” M.A. thesis, Department of Art History, Tel Aviv University, 2001. 191 pp. [In Hebrew with English Summary]</w:t>
      </w:r>
    </w:p>
    <w:p w14:paraId="7A00780B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Kaplony, Andreas. “Fatimidische Religionspolitik um die ‘Wiege Jesu’ in Jerusalem.” </w:t>
      </w:r>
      <w:r w:rsidRPr="00660D1C">
        <w:rPr>
          <w:rFonts w:ascii="Gentium" w:hAnsi="Gentium"/>
          <w:i/>
          <w:color w:val="000000"/>
        </w:rPr>
        <w:t>Schweizerische Gesellschaft Mittlerer Osten und Islamische Kulturen (SGMOIK) Bulletin</w:t>
      </w:r>
      <w:r w:rsidRPr="00660D1C">
        <w:rPr>
          <w:rFonts w:ascii="Gentium" w:hAnsi="Gentium"/>
          <w:color w:val="000000"/>
        </w:rPr>
        <w:t xml:space="preserve"> 3 (1996) 4-8.</w:t>
      </w:r>
    </w:p>
    <w:p w14:paraId="7F0A4490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Kaptein, N. J. G. “The </w:t>
      </w:r>
      <w:r w:rsidRPr="008134E2">
        <w:rPr>
          <w:rFonts w:ascii="Gentium" w:hAnsi="Gentium"/>
          <w:color w:val="000000"/>
        </w:rPr>
        <w:t xml:space="preserve">Mawlid </w:t>
      </w:r>
      <w:r w:rsidRPr="00660D1C">
        <w:rPr>
          <w:rFonts w:ascii="Gentium" w:hAnsi="Gentium"/>
          <w:color w:val="000000"/>
        </w:rPr>
        <w:t>under the Fāṭ</w:t>
      </w:r>
      <w:r>
        <w:rPr>
          <w:rFonts w:ascii="Gentium" w:hAnsi="Gentium"/>
          <w:color w:val="000000"/>
        </w:rPr>
        <w:t xml:space="preserve">imids.” </w:t>
      </w:r>
      <w:r w:rsidRPr="00660D1C">
        <w:rPr>
          <w:rFonts w:ascii="Gentium" w:hAnsi="Gentium"/>
          <w:color w:val="000000"/>
        </w:rPr>
        <w:t xml:space="preserve">Chap. 1 in </w:t>
      </w:r>
      <w:r w:rsidRPr="00660D1C">
        <w:rPr>
          <w:rFonts w:ascii="Gentium" w:hAnsi="Gentium"/>
          <w:i/>
          <w:color w:val="000000"/>
        </w:rPr>
        <w:t xml:space="preserve">Muḥammad’s Birthday Festival: Early History in the Central Muslim Lands and Development in the Muslim West until the </w:t>
      </w:r>
      <w:r w:rsidRPr="00671227">
        <w:rPr>
          <w:rFonts w:ascii="Gentium" w:hAnsi="Gentium"/>
          <w:i/>
          <w:color w:val="000000"/>
        </w:rPr>
        <w:t>10</w:t>
      </w:r>
      <w:r w:rsidRPr="00671227">
        <w:rPr>
          <w:rFonts w:ascii="Gentium" w:hAnsi="Gentium"/>
          <w:i/>
          <w:color w:val="000000"/>
          <w:vertAlign w:val="superscript"/>
        </w:rPr>
        <w:t>th</w:t>
      </w:r>
      <w:r w:rsidRPr="00671227">
        <w:rPr>
          <w:rFonts w:ascii="Gentium" w:hAnsi="Gentium"/>
          <w:i/>
          <w:color w:val="000000"/>
        </w:rPr>
        <w:t xml:space="preserve"> /16</w:t>
      </w:r>
      <w:r w:rsidRPr="00671227">
        <w:rPr>
          <w:rFonts w:ascii="Gentium" w:hAnsi="Gentium"/>
          <w:i/>
          <w:color w:val="000000"/>
          <w:vertAlign w:val="superscript"/>
        </w:rPr>
        <w:t>th</w:t>
      </w:r>
      <w:r w:rsidRPr="00660D1C">
        <w:rPr>
          <w:rFonts w:ascii="Gentium" w:hAnsi="Gentium"/>
          <w:i/>
          <w:color w:val="FF0000"/>
        </w:rPr>
        <w:t xml:space="preserve"> </w:t>
      </w:r>
      <w:r w:rsidRPr="00660D1C">
        <w:rPr>
          <w:rFonts w:ascii="Gentium" w:hAnsi="Gentium"/>
          <w:i/>
          <w:color w:val="000000"/>
        </w:rPr>
        <w:t>Century</w:t>
      </w:r>
      <w:r w:rsidRPr="00660D1C">
        <w:rPr>
          <w:rFonts w:ascii="Gentium" w:hAnsi="Gentium"/>
          <w:color w:val="000000"/>
        </w:rPr>
        <w:t>, 7-30. Leiden: E.J. Brill, 1993.</w:t>
      </w:r>
    </w:p>
    <w:p w14:paraId="47F55135" w14:textId="77777777" w:rsidR="00EA60B1" w:rsidRDefault="00EA60B1" w:rsidP="00EA60B1">
      <w:pPr>
        <w:rPr>
          <w:rFonts w:ascii="Gentium" w:hAnsi="Gentium"/>
          <w:color w:val="000000"/>
        </w:rPr>
      </w:pPr>
      <w:r w:rsidRPr="00350736">
        <w:rPr>
          <w:rFonts w:ascii="Gentium" w:hAnsi="Gentium"/>
          <w:color w:val="000000"/>
        </w:rPr>
        <w:t xml:space="preserve">Karácsonyi, János. “Kik voltak s mikor jöttek hazánkba a böszörmények vagy izmaeliták?” </w:t>
      </w:r>
      <w:r w:rsidRPr="00350736">
        <w:rPr>
          <w:rFonts w:ascii="Gentium" w:hAnsi="Gentium"/>
          <w:i/>
          <w:color w:val="000000"/>
        </w:rPr>
        <w:t>Értekezések a történeti tudományok köréből</w:t>
      </w:r>
      <w:r w:rsidRPr="00350736">
        <w:rPr>
          <w:rFonts w:ascii="Gentium" w:hAnsi="Gentium"/>
          <w:color w:val="000000"/>
        </w:rPr>
        <w:t xml:space="preserve"> (Budapest) 23:7 (1913): 483-498. [In Hungarian]</w:t>
      </w:r>
    </w:p>
    <w:p w14:paraId="293932B3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Karim, Farzana. “The Dynamics of the Shia Imami Ismaili Muslims: An Anthropological and Historical Perspective of the Community; The Past, the Present and the Future.” B.A. (Hons.) thesis, University of California, Berkeley, 1993. 111 pp. [U]</w:t>
      </w:r>
    </w:p>
    <w:p w14:paraId="125ACBB5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Karlitzky, Maren. “Il clan Tyabji – una famiglia Bohra Sulaimani nel period del nazionalismo indiano.” M.A. thesis, University of Rome “La Sapienza,” 2000-2001. [U]</w:t>
      </w:r>
    </w:p>
    <w:p w14:paraId="40458797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“The Tyabji Clan – Urdu as a Symbol of Group Identity.” </w:t>
      </w:r>
      <w:r w:rsidRPr="00660D1C">
        <w:rPr>
          <w:rFonts w:ascii="Gentium" w:hAnsi="Gentium"/>
          <w:i/>
          <w:color w:val="000000"/>
        </w:rPr>
        <w:t>Annual of Urdu Studies</w:t>
      </w:r>
      <w:r w:rsidRPr="00660D1C">
        <w:rPr>
          <w:rFonts w:ascii="Gentium" w:hAnsi="Gentium"/>
          <w:color w:val="000000"/>
        </w:rPr>
        <w:t xml:space="preserve"> 17 (2002): 187-207.</w:t>
      </w:r>
    </w:p>
    <w:p w14:paraId="466F8578" w14:textId="77777777" w:rsidR="00EA60B1" w:rsidRDefault="00EA60B1" w:rsidP="00EA60B1">
      <w:pPr>
        <w:rPr>
          <w:rFonts w:ascii="Gentium" w:hAnsi="Gentium"/>
          <w:color w:val="000000"/>
        </w:rPr>
      </w:pPr>
      <w:r w:rsidRPr="004F7F9E">
        <w:rPr>
          <w:rFonts w:ascii="Gentium" w:hAnsi="Gentium"/>
          <w:color w:val="000000"/>
        </w:rPr>
        <w:t xml:space="preserve">Kassam-Khamis, Tashmin, P. A. Judd, and J. E. Thomas. “Frequency of Consumption and Nutrient Composition of Composite Dishes Commonly Consumed in the UK by South Asian Muslims Originating from Bangladesh, Pakistan and East Africa (Ismailis).” </w:t>
      </w:r>
      <w:r w:rsidRPr="004F7F9E">
        <w:rPr>
          <w:rFonts w:ascii="Gentium" w:hAnsi="Gentium"/>
          <w:i/>
          <w:color w:val="000000"/>
        </w:rPr>
        <w:t>Journal of Human Nutrition and Dietetics</w:t>
      </w:r>
      <w:r w:rsidRPr="004F7F9E">
        <w:rPr>
          <w:rFonts w:ascii="Gentium" w:hAnsi="Gentium"/>
          <w:color w:val="000000"/>
        </w:rPr>
        <w:t xml:space="preserve"> 13:3 (2000): 185-196.</w:t>
      </w:r>
    </w:p>
    <w:p w14:paraId="3F602FB9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Kassam-Remtulla, Aly. “(Dis)placing Khojahs: Forging Identities, Revitalizing Islam and Crafting Global Ismailism.” B.A. (Hons.) thesis, Department of Anthropology, Stanford University, 1998.</w:t>
      </w:r>
    </w:p>
    <w:p w14:paraId="6813B1F5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Kassam, Sabrina. “Religion as a Medium for Social Change: A Case Study of the Ismailis of Kenya.” B.A. thesis, University of Nairobi, 1982. [U]</w:t>
      </w:r>
    </w:p>
    <w:p w14:paraId="569EF778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Kassam, Tazim R. “The Daily Prayer </w:t>
      </w:r>
      <w:r w:rsidRPr="00C706E2">
        <w:rPr>
          <w:rFonts w:ascii="Gentium" w:hAnsi="Gentium"/>
          <w:color w:val="000000"/>
        </w:rPr>
        <w:t>(</w:t>
      </w:r>
      <w:r w:rsidRPr="00C706E2">
        <w:rPr>
          <w:rFonts w:ascii="Gentium" w:hAnsi="Gentium"/>
          <w:i/>
          <w:color w:val="000000"/>
        </w:rPr>
        <w:t>Du</w:t>
      </w:r>
      <w:r w:rsidRPr="00C706E2">
        <w:rPr>
          <w:rFonts w:ascii="Calibri" w:hAnsi="Calibri" w:cs="Calibri"/>
          <w:i/>
          <w:color w:val="000000"/>
        </w:rPr>
        <w:t>ʿ</w:t>
      </w:r>
      <w:r w:rsidRPr="00C706E2">
        <w:rPr>
          <w:rFonts w:ascii="Gentium" w:hAnsi="Gentium"/>
          <w:i/>
          <w:color w:val="000000"/>
        </w:rPr>
        <w:t>a</w:t>
      </w:r>
      <w:r w:rsidRPr="00C706E2">
        <w:rPr>
          <w:rFonts w:ascii="Gentium" w:hAnsi="Gentium"/>
          <w:color w:val="000000"/>
        </w:rPr>
        <w:t>)</w:t>
      </w:r>
      <w:r w:rsidRPr="00660D1C">
        <w:rPr>
          <w:rFonts w:ascii="Gentium" w:hAnsi="Gentium"/>
          <w:color w:val="000000"/>
        </w:rPr>
        <w:t xml:space="preserve"> of Shi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>a Isma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ili Muslims.” In </w:t>
      </w:r>
      <w:r w:rsidRPr="00660D1C">
        <w:rPr>
          <w:rFonts w:ascii="Gentium" w:hAnsi="Gentium"/>
          <w:i/>
          <w:color w:val="000000"/>
        </w:rPr>
        <w:t>Religions of the United States in Practice</w:t>
      </w:r>
      <w:r w:rsidRPr="00660D1C">
        <w:rPr>
          <w:rFonts w:ascii="Gentium" w:hAnsi="Gentium"/>
          <w:color w:val="000000"/>
        </w:rPr>
        <w:t>. 2 vols. Princeton Readings in Religions. Edited by Colleen McDannell, 2:33-43. Princeton, N.J.: Princeton University Press, 2001.</w:t>
      </w:r>
    </w:p>
    <w:p w14:paraId="2B888CEA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Kato, Kazuhide. “The Assassins: A Secret Society in Islām.” </w:t>
      </w:r>
      <w:r w:rsidRPr="00660D1C">
        <w:rPr>
          <w:rFonts w:ascii="Gentium" w:hAnsi="Gentium"/>
          <w:i/>
          <w:color w:val="000000"/>
        </w:rPr>
        <w:t>En marge de l’histoire</w:t>
      </w:r>
      <w:r w:rsidRPr="00660D1C">
        <w:rPr>
          <w:rFonts w:ascii="Gentium" w:hAnsi="Gentium"/>
          <w:color w:val="000000"/>
        </w:rPr>
        <w:t xml:space="preserve"> 8 (1984): 20-28, 113. [In Japanese with English Summary]</w:t>
      </w:r>
    </w:p>
    <w:p w14:paraId="3092AA13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Kawasaki, Takashi. “Note on the Rise of the Fatimids: Introduction to Outline of Abū 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>Abdallāh al-Shī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ī’s Activity in North Africa.” </w:t>
      </w:r>
      <w:r w:rsidRPr="00660D1C">
        <w:rPr>
          <w:rFonts w:ascii="Gentium" w:hAnsi="Gentium"/>
          <w:i/>
          <w:color w:val="000000"/>
        </w:rPr>
        <w:t>Senriyama Bungaku Ronshu</w:t>
      </w:r>
      <w:r w:rsidRPr="00660D1C">
        <w:rPr>
          <w:rFonts w:ascii="Gentium" w:hAnsi="Gentium"/>
          <w:color w:val="000000"/>
        </w:rPr>
        <w:t xml:space="preserve"> 25 (1981): 157-173; 26 (1982): 123-129.</w:t>
      </w:r>
    </w:p>
    <w:p w14:paraId="0593762B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Kayamaly, Zénab. “The Dawoodi Bohra Community and the Fatimid Heritage.” Mémoire de maîtrise, Université de la Réunion, 2001. 100 pp. [U]  </w:t>
      </w:r>
    </w:p>
    <w:p w14:paraId="05290C3E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Keshavjee, Faranaz. “Representações do Feminino nas Tradições Muçulmanas Ismaelitas: Algumas Considerações.” </w:t>
      </w:r>
      <w:r w:rsidRPr="00660D1C">
        <w:rPr>
          <w:rFonts w:ascii="Gentium" w:hAnsi="Gentium"/>
          <w:i/>
          <w:color w:val="000000"/>
        </w:rPr>
        <w:t xml:space="preserve">Finisterra: Revista de Reflexão e Crítica </w:t>
      </w:r>
      <w:r w:rsidRPr="00660D1C">
        <w:rPr>
          <w:rFonts w:ascii="Gentium" w:hAnsi="Gentium"/>
          <w:color w:val="000000"/>
        </w:rPr>
        <w:t>42/43 (2002): 117-122.</w:t>
      </w:r>
    </w:p>
    <w:p w14:paraId="12C757FB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Keshavjee, Rashida. “Educational Change in Kenya: The Impact of Secular Education on the Lives of Ismaili Women.” M.A. thesis, McGill University, 1987. xi + 143 pp. </w:t>
      </w:r>
    </w:p>
    <w:p w14:paraId="0486E72B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Khadidja, Abdel Karim. “Religious and Ideological Movements in the Caliphate of the Abbasids: The Qarmatians and Ismailism.” </w:t>
      </w:r>
      <w:r w:rsidRPr="00660D1C">
        <w:rPr>
          <w:rFonts w:ascii="Gentium" w:hAnsi="Gentium"/>
          <w:i/>
          <w:color w:val="000000"/>
        </w:rPr>
        <w:t>Russia and the Arab World</w:t>
      </w:r>
      <w:r w:rsidRPr="00660D1C">
        <w:rPr>
          <w:rFonts w:ascii="Gentium" w:hAnsi="Gentium"/>
          <w:color w:val="000000"/>
        </w:rPr>
        <w:t xml:space="preserve"> 5 (1999): 96-100. [In Russian]</w:t>
      </w:r>
    </w:p>
    <w:p w14:paraId="465F0BD3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Khakee, Gulshan. “The Khojki Script.” In </w:t>
      </w:r>
      <w:r>
        <w:rPr>
          <w:rFonts w:ascii="Gentium" w:hAnsi="Gentium"/>
          <w:i/>
          <w:color w:val="000000"/>
        </w:rPr>
        <w:t>SOS</w:t>
      </w:r>
      <w:r w:rsidRPr="00660D1C">
        <w:rPr>
          <w:rFonts w:ascii="Gentium" w:hAnsi="Gentium"/>
          <w:color w:val="000000"/>
        </w:rPr>
        <w:t>, 38-46.</w:t>
      </w:r>
    </w:p>
    <w:p w14:paraId="47558820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“A Sindhi Version of Pir Shams’ </w:t>
      </w:r>
      <w:r w:rsidRPr="00660D1C">
        <w:rPr>
          <w:rFonts w:ascii="Gentium" w:hAnsi="Gentium"/>
          <w:i/>
          <w:color w:val="000000"/>
        </w:rPr>
        <w:t>Das Avataar</w:t>
      </w:r>
      <w:r w:rsidRPr="00046470">
        <w:rPr>
          <w:rFonts w:ascii="Gentium" w:hAnsi="Gentium"/>
          <w:color w:val="000000"/>
        </w:rPr>
        <w:t>:</w:t>
      </w:r>
      <w:r w:rsidRPr="00660D1C">
        <w:rPr>
          <w:rFonts w:ascii="Gentium" w:hAnsi="Gentium"/>
          <w:color w:val="000000"/>
        </w:rPr>
        <w:t xml:space="preserve"> An Unpublished </w:t>
      </w:r>
      <w:r w:rsidRPr="0073617F">
        <w:rPr>
          <w:rFonts w:ascii="Gentium" w:hAnsi="Gentium"/>
          <w:color w:val="000000"/>
        </w:rPr>
        <w:t>Ginan</w:t>
      </w:r>
      <w:r w:rsidRPr="00660D1C">
        <w:rPr>
          <w:rFonts w:ascii="Gentium" w:hAnsi="Gentium"/>
          <w:color w:val="000000"/>
        </w:rPr>
        <w:t xml:space="preserve">.” In </w:t>
      </w:r>
      <w:r>
        <w:rPr>
          <w:rFonts w:ascii="Gentium" w:hAnsi="Gentium"/>
          <w:i/>
          <w:color w:val="000000"/>
        </w:rPr>
        <w:t>SOS</w:t>
      </w:r>
      <w:r w:rsidRPr="00660D1C">
        <w:rPr>
          <w:rFonts w:ascii="Gentium" w:hAnsi="Gentium"/>
          <w:color w:val="000000"/>
        </w:rPr>
        <w:t>, 123-125.</w:t>
      </w:r>
    </w:p>
    <w:p w14:paraId="375411BC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Khan, Ahmed Nabi. “Fresh Light on the Emirate of Banu Samah or Banu Munabbah and the Emergence of Isma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ilis in Multan.” </w:t>
      </w:r>
      <w:r w:rsidRPr="00660D1C">
        <w:rPr>
          <w:rFonts w:ascii="Gentium" w:hAnsi="Gentium"/>
          <w:i/>
          <w:color w:val="000000"/>
        </w:rPr>
        <w:t xml:space="preserve">Journal of the Research Society of Pakistan </w:t>
      </w:r>
      <w:r w:rsidRPr="00660D1C">
        <w:rPr>
          <w:rFonts w:ascii="Gentium" w:hAnsi="Gentium"/>
          <w:color w:val="000000"/>
        </w:rPr>
        <w:t>20:1 (1983): 29-41.</w:t>
      </w:r>
    </w:p>
    <w:p w14:paraId="2F393888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Khan, Dominique-Sila. “Ramdeo Pir as an Ismaili Missionary: Religious and Social Confrontation in Medieval Rajasthan.” In </w:t>
      </w:r>
      <w:r w:rsidRPr="00660D1C">
        <w:rPr>
          <w:rFonts w:ascii="Gentium" w:hAnsi="Gentium"/>
          <w:i/>
          <w:color w:val="000000"/>
        </w:rPr>
        <w:t>Religious Movements in Rajasthan: Ideas and Antiquities</w:t>
      </w:r>
      <w:r w:rsidRPr="00660D1C">
        <w:rPr>
          <w:rFonts w:ascii="Gentium" w:hAnsi="Gentium"/>
          <w:color w:val="000000"/>
        </w:rPr>
        <w:t>. Edited by S. N. Dube, 105-129. Jaipur: University of Rajasthan Centre for Rajasthan Studies, 1996.</w:t>
      </w:r>
    </w:p>
    <w:p w14:paraId="413A8E13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</w:rPr>
        <w:t>___.</w:t>
      </w:r>
      <w:r>
        <w:rPr>
          <w:rFonts w:ascii="Gentium" w:hAnsi="Gentium"/>
        </w:rPr>
        <w:t xml:space="preserve"> </w:t>
      </w:r>
      <w:r w:rsidRPr="00660D1C">
        <w:rPr>
          <w:rFonts w:ascii="Gentium" w:hAnsi="Gentium"/>
          <w:color w:val="000000"/>
        </w:rPr>
        <w:t xml:space="preserve">“The Graves of History or the Metaphor of the Hidden Pir.” In </w:t>
      </w:r>
      <w:r w:rsidRPr="00660D1C">
        <w:rPr>
          <w:rFonts w:ascii="Gentium" w:hAnsi="Gentium"/>
          <w:i/>
          <w:color w:val="000000"/>
        </w:rPr>
        <w:t>Culture, Communities and Change</w:t>
      </w:r>
      <w:r w:rsidRPr="00660D1C">
        <w:rPr>
          <w:rFonts w:ascii="Gentium" w:hAnsi="Gentium"/>
          <w:color w:val="000000"/>
        </w:rPr>
        <w:t>. Ed</w:t>
      </w:r>
      <w:r>
        <w:rPr>
          <w:rFonts w:ascii="Gentium" w:hAnsi="Gentium"/>
          <w:color w:val="000000"/>
        </w:rPr>
        <w:t xml:space="preserve">ited by Varsha Joshi, 154-172. </w:t>
      </w:r>
      <w:r w:rsidRPr="00660D1C">
        <w:rPr>
          <w:rFonts w:ascii="Gentium" w:hAnsi="Gentium"/>
          <w:color w:val="000000"/>
        </w:rPr>
        <w:t>Jaipur: Institute of Rajasthan Studies, 2002.</w:t>
      </w:r>
    </w:p>
    <w:p w14:paraId="7E69527B" w14:textId="77777777" w:rsidR="00EA60B1" w:rsidRPr="00660D1C" w:rsidRDefault="00EA60B1" w:rsidP="00EA60B1">
      <w:pPr>
        <w:rPr>
          <w:rFonts w:ascii="Gentium" w:hAnsi="Gentium"/>
          <w:color w:val="000000"/>
        </w:rPr>
      </w:pPr>
      <w:r>
        <w:rPr>
          <w:rFonts w:ascii="Gentium" w:hAnsi="Gentium"/>
          <w:color w:val="000000"/>
        </w:rPr>
        <w:t xml:space="preserve">___. </w:t>
      </w:r>
      <w:r w:rsidRPr="00660D1C">
        <w:rPr>
          <w:rFonts w:ascii="Gentium" w:hAnsi="Gentium"/>
          <w:color w:val="000000"/>
        </w:rPr>
        <w:t xml:space="preserve">“The Mahdi of Panna: A Short History of the Pranamis (Part II).” </w:t>
      </w:r>
      <w:r w:rsidRPr="00660D1C">
        <w:rPr>
          <w:rFonts w:ascii="Gentium" w:hAnsi="Gentium"/>
          <w:i/>
          <w:color w:val="000000"/>
        </w:rPr>
        <w:t xml:space="preserve">Indian Journal of Secularism </w:t>
      </w:r>
      <w:r w:rsidRPr="00660D1C">
        <w:rPr>
          <w:rFonts w:ascii="Gentium" w:hAnsi="Gentium"/>
          <w:color w:val="000000"/>
        </w:rPr>
        <w:t>7:1 (2003): 46-66.</w:t>
      </w:r>
    </w:p>
    <w:p w14:paraId="298E21E2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E467D3">
        <w:rPr>
          <w:rFonts w:ascii="Gentium" w:hAnsi="Gentium"/>
          <w:color w:val="000000"/>
          <w:szCs w:val="24"/>
        </w:rPr>
        <w:t xml:space="preserve">Khelifa, Abderrahmane. “Un trésor d’époque fatimide à Al-Hachimia (Algérie).” In </w:t>
      </w:r>
      <w:r w:rsidRPr="00E467D3">
        <w:rPr>
          <w:rFonts w:ascii="Gentium" w:hAnsi="Gentium"/>
          <w:i/>
          <w:color w:val="000000"/>
          <w:szCs w:val="24"/>
        </w:rPr>
        <w:t>Numismatique, langues, écritures et arts du livre, spécificité des arts figurés: Actes du VII</w:t>
      </w:r>
      <w:r w:rsidRPr="00E467D3">
        <w:rPr>
          <w:rFonts w:ascii="Gentium" w:hAnsi="Gentium"/>
          <w:i/>
          <w:color w:val="000000"/>
          <w:szCs w:val="24"/>
          <w:vertAlign w:val="superscript"/>
        </w:rPr>
        <w:t>e</w:t>
      </w:r>
      <w:r w:rsidRPr="00E467D3">
        <w:rPr>
          <w:rFonts w:ascii="Gentium" w:hAnsi="Gentium" w:cs="Gentium"/>
          <w:i/>
          <w:color w:val="000000"/>
          <w:szCs w:val="24"/>
        </w:rPr>
        <w:t xml:space="preserve"> colloque international réunis dans le cadre du 121</w:t>
      </w:r>
      <w:r w:rsidRPr="00E467D3">
        <w:rPr>
          <w:rFonts w:ascii="Gentium" w:hAnsi="Gentium"/>
          <w:i/>
          <w:color w:val="000000"/>
          <w:szCs w:val="24"/>
          <w:vertAlign w:val="superscript"/>
        </w:rPr>
        <w:t>e</w:t>
      </w:r>
      <w:r w:rsidRPr="00E467D3">
        <w:rPr>
          <w:rFonts w:ascii="Gentium" w:hAnsi="Gentium" w:cs="Gentium"/>
          <w:i/>
          <w:color w:val="000000"/>
          <w:szCs w:val="24"/>
        </w:rPr>
        <w:t xml:space="preserve"> congrès des Sociétés historiques et scientifiques, Nice, 21 au 31 octobre 1996</w:t>
      </w:r>
      <w:r w:rsidRPr="00E467D3">
        <w:rPr>
          <w:rFonts w:ascii="Gentium" w:hAnsi="Gentium" w:cs="Gentium"/>
          <w:color w:val="000000"/>
          <w:szCs w:val="24"/>
        </w:rPr>
        <w:t>. Edited by Serge Lancel, 119-144.</w:t>
      </w:r>
      <w:r w:rsidRPr="00E467D3">
        <w:rPr>
          <w:rFonts w:ascii="Gentium" w:hAnsi="Gentium"/>
          <w:color w:val="000000"/>
          <w:szCs w:val="24"/>
        </w:rPr>
        <w:t xml:space="preserve"> Paris: Éditions du Comité des travaux historiques et scientifiques, 1999.</w:t>
      </w:r>
    </w:p>
    <w:p w14:paraId="4CB6B5D7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Khemir, Sabiha. “Wood Carving From a Palace of Fatimid Cairo: The Coptic Connection.” </w:t>
      </w:r>
      <w:r w:rsidRPr="00660D1C">
        <w:rPr>
          <w:rFonts w:ascii="Gentium" w:hAnsi="Gentium"/>
          <w:i/>
          <w:color w:val="000000"/>
        </w:rPr>
        <w:t xml:space="preserve">The Newsletter of Dar al-Athar al-Islamiyyah </w:t>
      </w:r>
      <w:r w:rsidRPr="00660D1C">
        <w:rPr>
          <w:rFonts w:ascii="Gentium" w:hAnsi="Gentium"/>
          <w:color w:val="000000"/>
        </w:rPr>
        <w:t>9 (1997): 9-12.</w:t>
      </w:r>
    </w:p>
    <w:p w14:paraId="186AD1AC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Kikuchi, Tatsuya. “The Ismā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īlī Philosophical Prophetology in the </w:t>
      </w:r>
      <w:r w:rsidRPr="00671227">
        <w:rPr>
          <w:rFonts w:ascii="Gentium" w:hAnsi="Gentium"/>
        </w:rPr>
        <w:t>11</w:t>
      </w:r>
      <w:r w:rsidRPr="00671227">
        <w:rPr>
          <w:rFonts w:ascii="Gentium" w:hAnsi="Gentium"/>
          <w:vertAlign w:val="superscript"/>
        </w:rPr>
        <w:t>th</w:t>
      </w:r>
      <w:r w:rsidRPr="00671227">
        <w:rPr>
          <w:rFonts w:ascii="Gentium" w:hAnsi="Gentium"/>
        </w:rPr>
        <w:t xml:space="preserve"> </w:t>
      </w:r>
      <w:r w:rsidRPr="00660D1C">
        <w:rPr>
          <w:rFonts w:ascii="Gentium" w:hAnsi="Gentium"/>
          <w:color w:val="000000"/>
        </w:rPr>
        <w:t xml:space="preserve">Century.” </w:t>
      </w:r>
      <w:r w:rsidRPr="00767D0F">
        <w:rPr>
          <w:rFonts w:ascii="Gentium" w:hAnsi="Gentium"/>
          <w:i/>
        </w:rPr>
        <w:t>The</w:t>
      </w:r>
      <w:r w:rsidRPr="00660D1C">
        <w:rPr>
          <w:rFonts w:ascii="Gentium" w:hAnsi="Gentium"/>
          <w:i/>
          <w:color w:val="000000"/>
        </w:rPr>
        <w:t xml:space="preserve"> World of Islam </w:t>
      </w:r>
      <w:r w:rsidRPr="00660D1C">
        <w:rPr>
          <w:rFonts w:ascii="Gentium" w:hAnsi="Gentium"/>
          <w:color w:val="000000"/>
        </w:rPr>
        <w:t>52 (1999): 1-19. [In J</w:t>
      </w:r>
      <w:r>
        <w:rPr>
          <w:rFonts w:ascii="Gentium" w:hAnsi="Gentium"/>
          <w:color w:val="000000"/>
        </w:rPr>
        <w:t>apanese with English Summary]</w:t>
      </w:r>
    </w:p>
    <w:p w14:paraId="54FA81C9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“The Structure of Mythology in Ismā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īlīsm.” </w:t>
      </w:r>
      <w:r w:rsidRPr="00660D1C">
        <w:rPr>
          <w:rFonts w:ascii="Gentium" w:hAnsi="Gentium"/>
          <w:i/>
          <w:color w:val="000000"/>
        </w:rPr>
        <w:t>Annals of Japan Association for Middle East Studies</w:t>
      </w:r>
      <w:r w:rsidRPr="00660D1C">
        <w:rPr>
          <w:rFonts w:ascii="Gentium" w:hAnsi="Gentium"/>
          <w:color w:val="000000"/>
        </w:rPr>
        <w:t xml:space="preserve"> 14 (1999): 57-84. [In Japanese with English Summary]</w:t>
      </w:r>
    </w:p>
    <w:p w14:paraId="2951CEBE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King, Noel Quinton. “An East African Ismaili Ginan.” In </w:t>
      </w:r>
      <w:r w:rsidRPr="00660D1C">
        <w:rPr>
          <w:rFonts w:ascii="Gentium" w:hAnsi="Gentium"/>
          <w:i/>
          <w:color w:val="000000"/>
        </w:rPr>
        <w:t>New Testament Christianity for Africa and the World: Essays in Honour of Harry Sawyerr</w:t>
      </w:r>
      <w:r w:rsidRPr="00660D1C">
        <w:rPr>
          <w:rFonts w:ascii="Gentium" w:hAnsi="Gentium"/>
          <w:color w:val="000000"/>
        </w:rPr>
        <w:t>. Edited by Mark E. Glasswell and Edward W. Fasholé-Luke, 166-168. London: S.P.C.K., 1974.</w:t>
      </w:r>
    </w:p>
    <w:p w14:paraId="427516E1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Kleiss, Wolfram. “Mittelalterliche Burgen im Elburzgebirge und südlich von Qom.”</w:t>
      </w:r>
      <w:r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i/>
          <w:color w:val="000000"/>
        </w:rPr>
        <w:t>Archaeologische Mitteilungen aus Iran</w:t>
      </w:r>
      <w:r w:rsidRPr="00660D1C">
        <w:rPr>
          <w:rFonts w:ascii="Gentium" w:hAnsi="Gentium"/>
          <w:color w:val="000000"/>
        </w:rPr>
        <w:t xml:space="preserve"> 15 (1982): 237-277.</w:t>
      </w:r>
    </w:p>
    <w:p w14:paraId="20FB96FF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Koen, Benjamin D. “The Spiritual Aesthetic in Badakhshani Devotional Music.” </w:t>
      </w:r>
      <w:r w:rsidRPr="00660D1C">
        <w:rPr>
          <w:rFonts w:ascii="Gentium" w:hAnsi="Gentium"/>
          <w:i/>
          <w:color w:val="000000"/>
        </w:rPr>
        <w:t>World of Music</w:t>
      </w:r>
      <w:r w:rsidRPr="00660D1C">
        <w:rPr>
          <w:rFonts w:ascii="Gentium" w:hAnsi="Gentium"/>
          <w:color w:val="000000"/>
        </w:rPr>
        <w:t xml:space="preserve"> 45:3 (2003): 77-90.</w:t>
      </w:r>
    </w:p>
    <w:p w14:paraId="6EDC85A2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Kohlhaussen, Heinrich. “Fatimidischer Glasschnitt: 11. Jahrhundert.” In </w:t>
      </w:r>
      <w:r w:rsidRPr="00660D1C">
        <w:rPr>
          <w:rFonts w:ascii="Gentium" w:hAnsi="Gentium"/>
          <w:i/>
          <w:color w:val="000000"/>
        </w:rPr>
        <w:t>Kunstwerke der Welt aus dem öffentlichen bayerischen Kunstbesitz</w:t>
      </w:r>
      <w:r w:rsidRPr="00660D1C">
        <w:rPr>
          <w:rFonts w:ascii="Gentium" w:hAnsi="Gentium"/>
          <w:color w:val="000000"/>
        </w:rPr>
        <w:t>. 6 vols. Edited by Remigius Netzer, 2:49-50. München: Müller, 1960–1966.</w:t>
      </w:r>
    </w:p>
    <w:p w14:paraId="1CFF7F41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Kool, Robert. “A Fatimid Amulet-Box with European and Islamic Coins from the Eleventh Century.” </w:t>
      </w:r>
      <w:r w:rsidRPr="00660D1C">
        <w:rPr>
          <w:rFonts w:ascii="Gentium" w:hAnsi="Gentium"/>
          <w:i/>
          <w:color w:val="000000"/>
        </w:rPr>
        <w:t>American Journal of Numismatics</w:t>
      </w:r>
      <w:r w:rsidRPr="00660D1C">
        <w:rPr>
          <w:rFonts w:ascii="Gentium" w:hAnsi="Gentium"/>
          <w:color w:val="000000"/>
        </w:rPr>
        <w:t xml:space="preserve">, </w:t>
      </w:r>
      <w:r w:rsidRPr="00671227">
        <w:rPr>
          <w:rFonts w:ascii="Gentium" w:hAnsi="Gentium"/>
        </w:rPr>
        <w:t>2</w:t>
      </w:r>
      <w:r w:rsidRPr="00671227">
        <w:rPr>
          <w:rFonts w:ascii="Gentium" w:hAnsi="Gentium"/>
          <w:vertAlign w:val="superscript"/>
        </w:rPr>
        <w:t>nd</w:t>
      </w:r>
      <w:r w:rsidRPr="00671227">
        <w:rPr>
          <w:rFonts w:ascii="Gentium" w:hAnsi="Gentium"/>
        </w:rPr>
        <w:t xml:space="preserve"> ser.,</w:t>
      </w:r>
      <w:r w:rsidRPr="00660D1C">
        <w:rPr>
          <w:rFonts w:ascii="Gentium" w:hAnsi="Gentium"/>
          <w:color w:val="000000"/>
        </w:rPr>
        <w:t xml:space="preserve"> 11 (1999): 47-68.</w:t>
      </w:r>
    </w:p>
    <w:p w14:paraId="10C1AD91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Korn, Lorenz. “Im Gefolge ismailitischer </w:t>
      </w:r>
      <w:r w:rsidRPr="00C706E2">
        <w:rPr>
          <w:rFonts w:ascii="Gentium" w:hAnsi="Gentium"/>
        </w:rPr>
        <w:t>Missionare?</w:t>
      </w:r>
      <w:r w:rsidRPr="00660D1C">
        <w:rPr>
          <w:rFonts w:ascii="Gentium" w:hAnsi="Gentium"/>
          <w:color w:val="000000"/>
        </w:rPr>
        <w:t xml:space="preserve"> Persischer Stuck in Kairo.” In </w:t>
      </w:r>
      <w:r w:rsidRPr="00660D1C">
        <w:rPr>
          <w:rFonts w:ascii="Gentium" w:hAnsi="Gentium"/>
          <w:i/>
          <w:color w:val="000000"/>
        </w:rPr>
        <w:t>Yādnāme-ye Iradj Khalifeh-Soltani: Festschrift Iradj Khalifeh-Soltani zum 65</w:t>
      </w:r>
      <w:r w:rsidRPr="00660D1C">
        <w:rPr>
          <w:rFonts w:ascii="Gentium" w:hAnsi="Gentium"/>
          <w:color w:val="000000"/>
        </w:rPr>
        <w:t>. Geburtstag. Edited by Susanne Kurz, 77-111. Aachen: Shaker Verlag, 2002.</w:t>
      </w:r>
    </w:p>
    <w:p w14:paraId="712C5C0E" w14:textId="77777777" w:rsidR="00EA60B1" w:rsidRPr="00DD7F6D" w:rsidRDefault="00EA60B1" w:rsidP="00EA60B1">
      <w:pPr>
        <w:rPr>
          <w:rFonts w:ascii="Gentium" w:hAnsi="Gentium"/>
          <w:color w:val="000000"/>
          <w:szCs w:val="24"/>
        </w:rPr>
      </w:pPr>
      <w:r w:rsidRPr="00DD7F6D">
        <w:rPr>
          <w:rFonts w:ascii="Gentium" w:hAnsi="Gentium"/>
          <w:color w:val="000000"/>
          <w:szCs w:val="24"/>
        </w:rPr>
        <w:t>Kottek, Samuel S. “Platiel, médecin juif à la cour fatimide d’Égypte au 10</w:t>
      </w:r>
      <w:r w:rsidRPr="00DD7F6D">
        <w:rPr>
          <w:rFonts w:ascii="Gentium" w:hAnsi="Gentium"/>
          <w:color w:val="000000"/>
          <w:szCs w:val="24"/>
          <w:vertAlign w:val="superscript"/>
        </w:rPr>
        <w:t>e</w:t>
      </w:r>
      <w:r w:rsidRPr="00DD7F6D">
        <w:rPr>
          <w:rFonts w:ascii="Gentium" w:hAnsi="Gentium"/>
          <w:color w:val="000000"/>
          <w:szCs w:val="24"/>
        </w:rPr>
        <w:t xml:space="preserve"> siècle: Mythe ou réalité?” </w:t>
      </w:r>
      <w:r w:rsidRPr="00DD7F6D">
        <w:rPr>
          <w:rFonts w:ascii="Gentium" w:hAnsi="Gentium"/>
          <w:szCs w:val="24"/>
        </w:rPr>
        <w:t xml:space="preserve">In </w:t>
      </w:r>
      <w:r w:rsidRPr="00DD7F6D">
        <w:rPr>
          <w:rFonts w:ascii="Gentium" w:hAnsi="Gentium"/>
          <w:i/>
          <w:szCs w:val="24"/>
        </w:rPr>
        <w:t>XXIXth International</w:t>
      </w:r>
      <w:r w:rsidRPr="00DD7F6D">
        <w:rPr>
          <w:rFonts w:ascii="Gentium" w:hAnsi="Gentium"/>
          <w:i/>
          <w:color w:val="000000"/>
          <w:szCs w:val="24"/>
        </w:rPr>
        <w:t xml:space="preserve"> Congress of the History of Medicine, Cairo, </w:t>
      </w:r>
      <w:r w:rsidRPr="00DD7F6D">
        <w:rPr>
          <w:rFonts w:ascii="Gentium" w:hAnsi="Gentium"/>
          <w:i/>
          <w:szCs w:val="24"/>
        </w:rPr>
        <w:t>December 26</w:t>
      </w:r>
      <w:r w:rsidRPr="00DD7F6D">
        <w:rPr>
          <w:rFonts w:ascii="Gentium" w:hAnsi="Gentium"/>
          <w:i/>
          <w:szCs w:val="24"/>
          <w:vertAlign w:val="superscript"/>
        </w:rPr>
        <w:t>th</w:t>
      </w:r>
      <w:r w:rsidRPr="00DD7F6D">
        <w:rPr>
          <w:rFonts w:ascii="Gentium" w:hAnsi="Gentium"/>
          <w:i/>
          <w:szCs w:val="24"/>
        </w:rPr>
        <w:t xml:space="preserve"> 1984</w:t>
      </w:r>
      <w:r w:rsidRPr="00DD7F6D">
        <w:rPr>
          <w:rFonts w:ascii="Gentium" w:hAnsi="Gentium"/>
          <w:i/>
          <w:color w:val="000000"/>
          <w:szCs w:val="24"/>
        </w:rPr>
        <w:t xml:space="preserve"> - </w:t>
      </w:r>
      <w:r w:rsidRPr="00DD7F6D">
        <w:rPr>
          <w:rFonts w:ascii="Gentium" w:hAnsi="Gentium"/>
          <w:i/>
          <w:szCs w:val="24"/>
        </w:rPr>
        <w:t>January 1</w:t>
      </w:r>
      <w:r w:rsidRPr="00DD7F6D">
        <w:rPr>
          <w:rFonts w:ascii="Gentium" w:hAnsi="Gentium"/>
          <w:i/>
          <w:szCs w:val="24"/>
          <w:vertAlign w:val="superscript"/>
        </w:rPr>
        <w:t>st</w:t>
      </w:r>
      <w:r w:rsidRPr="00DD7F6D">
        <w:rPr>
          <w:rFonts w:ascii="Gentium" w:hAnsi="Gentium"/>
          <w:i/>
          <w:szCs w:val="24"/>
        </w:rPr>
        <w:t xml:space="preserve"> 1985</w:t>
      </w:r>
      <w:r w:rsidRPr="00DD7F6D">
        <w:rPr>
          <w:rFonts w:ascii="Gentium" w:hAnsi="Gentium"/>
          <w:szCs w:val="24"/>
        </w:rPr>
        <w:t>,</w:t>
      </w:r>
      <w:r w:rsidRPr="00DD7F6D">
        <w:rPr>
          <w:rFonts w:ascii="Gentium" w:hAnsi="Gentium"/>
          <w:color w:val="000000"/>
          <w:szCs w:val="24"/>
        </w:rPr>
        <w:t xml:space="preserve"> 236-242. Cairo: International Society of the History of Medicine and Egyptian Society of the History of Medicine, 1985.</w:t>
      </w:r>
    </w:p>
    <w:p w14:paraId="4DD470C2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Kozlowski, Gregory C. “Agha Khan.” In </w:t>
      </w:r>
      <w:r w:rsidRPr="00660D1C">
        <w:rPr>
          <w:rFonts w:ascii="Gentium" w:hAnsi="Gentium"/>
          <w:i/>
          <w:color w:val="000000"/>
        </w:rPr>
        <w:t>Historical Dictionary of the British Empire</w:t>
      </w:r>
      <w:r>
        <w:rPr>
          <w:rFonts w:ascii="Gentium" w:hAnsi="Gentium"/>
          <w:color w:val="000000"/>
        </w:rPr>
        <w:t xml:space="preserve">. </w:t>
      </w:r>
      <w:r w:rsidRPr="00660D1C">
        <w:rPr>
          <w:rFonts w:ascii="Gentium" w:hAnsi="Gentium"/>
          <w:color w:val="000000"/>
        </w:rPr>
        <w:t>2 vols. Edited by James S. Olson and Robert Shadle, 1:19-20. Westport, Conn: Greenwood Press, 1996.</w:t>
      </w:r>
    </w:p>
    <w:p w14:paraId="69F69D10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Kreutzmann, Hermann. “The Origin of Our Belief: How the Ismailiya Came to Ghojal in Hunza.” </w:t>
      </w:r>
      <w:r w:rsidRPr="00660D1C">
        <w:rPr>
          <w:rFonts w:ascii="Gentium" w:hAnsi="Gentium"/>
          <w:i/>
          <w:color w:val="000000"/>
        </w:rPr>
        <w:t>European Bulletin of Himalayan Research</w:t>
      </w:r>
      <w:r w:rsidRPr="00660D1C">
        <w:rPr>
          <w:rFonts w:ascii="Gentium" w:hAnsi="Gentium"/>
          <w:color w:val="000000"/>
        </w:rPr>
        <w:t xml:space="preserve"> 15-16 (1998-1999): 39-40.</w:t>
      </w:r>
    </w:p>
    <w:p w14:paraId="34F45FCE" w14:textId="77777777" w:rsidR="00EA60B1" w:rsidRPr="00660D1C" w:rsidRDefault="00EA60B1" w:rsidP="00EA60B1">
      <w:pPr>
        <w:rPr>
          <w:rFonts w:ascii="Gentium" w:hAnsi="Gentium"/>
          <w:color w:val="000000"/>
        </w:rPr>
      </w:pPr>
      <w:r>
        <w:rPr>
          <w:rFonts w:ascii="Gentium" w:hAnsi="Gentium"/>
          <w:color w:val="000000"/>
        </w:rPr>
        <w:t xml:space="preserve">Kumagai, Tetsuya. </w:t>
      </w:r>
      <w:r w:rsidRPr="00660D1C">
        <w:rPr>
          <w:rFonts w:ascii="Gentium" w:hAnsi="Gentium"/>
          <w:color w:val="000000"/>
        </w:rPr>
        <w:t xml:space="preserve">“On the Movement of Armies during the Latter </w:t>
      </w:r>
      <w:r w:rsidRPr="00C706E2">
        <w:rPr>
          <w:rFonts w:ascii="Gentium" w:hAnsi="Gentium"/>
          <w:i/>
          <w:color w:val="000000"/>
        </w:rPr>
        <w:t>Fatimid</w:t>
      </w:r>
      <w:r w:rsidRPr="00C706E2">
        <w:rPr>
          <w:rFonts w:ascii="Gentium" w:hAnsi="Gentium"/>
          <w:i/>
        </w:rPr>
        <w:t>s</w:t>
      </w:r>
      <w:r w:rsidRPr="00C706E2">
        <w:rPr>
          <w:rFonts w:ascii="Gentium" w:hAnsi="Gentium"/>
          <w:color w:val="000000"/>
        </w:rPr>
        <w:t xml:space="preserve"> in</w:t>
      </w:r>
      <w:r w:rsidRPr="00660D1C">
        <w:rPr>
          <w:rFonts w:ascii="Gentium" w:hAnsi="Gentium"/>
          <w:color w:val="000000"/>
        </w:rPr>
        <w:t xml:space="preserve"> Egypt.” </w:t>
      </w:r>
      <w:r w:rsidRPr="00660D1C">
        <w:rPr>
          <w:rFonts w:ascii="Gentium" w:hAnsi="Gentium"/>
          <w:i/>
          <w:color w:val="000000"/>
        </w:rPr>
        <w:t xml:space="preserve">Chuo Journal of Asian History </w:t>
      </w:r>
      <w:r w:rsidRPr="00660D1C">
        <w:rPr>
          <w:rFonts w:ascii="Gentium" w:hAnsi="Gentium"/>
          <w:color w:val="000000"/>
        </w:rPr>
        <w:t>7 (1983): 70-83. [In Japanese]</w:t>
      </w:r>
    </w:p>
    <w:p w14:paraId="1E0C3861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Kurdian, H. “Waziric Dynasty of Badr al-Jamali, </w:t>
      </w:r>
      <w:r w:rsidRPr="00370253">
        <w:rPr>
          <w:rFonts w:ascii="Gentium" w:hAnsi="Gentium"/>
          <w:color w:val="000000"/>
        </w:rPr>
        <w:t>the</w:t>
      </w:r>
      <w:r w:rsidRPr="00660D1C">
        <w:rPr>
          <w:rFonts w:ascii="Gentium" w:hAnsi="Gentium"/>
          <w:color w:val="000000"/>
        </w:rPr>
        <w:t xml:space="preserve"> Armenian, during the Fatimid Caliphate (Part I).” </w:t>
      </w:r>
      <w:r w:rsidRPr="00E73E27">
        <w:rPr>
          <w:rFonts w:ascii="Gentium" w:hAnsi="Gentium"/>
          <w:i/>
        </w:rPr>
        <w:t xml:space="preserve">The </w:t>
      </w:r>
      <w:r w:rsidRPr="00660D1C">
        <w:rPr>
          <w:rFonts w:ascii="Gentium" w:hAnsi="Gentium"/>
          <w:i/>
          <w:color w:val="000000"/>
        </w:rPr>
        <w:t>Armenian Review</w:t>
      </w:r>
      <w:r>
        <w:rPr>
          <w:rFonts w:ascii="Gentium" w:hAnsi="Gentium"/>
          <w:color w:val="000000"/>
        </w:rPr>
        <w:t xml:space="preserve"> 2:3 </w:t>
      </w:r>
      <w:r w:rsidRPr="00660D1C">
        <w:rPr>
          <w:rFonts w:ascii="Gentium" w:hAnsi="Gentium"/>
          <w:color w:val="000000"/>
        </w:rPr>
        <w:t>(1949): 93–97.</w:t>
      </w:r>
    </w:p>
    <w:p w14:paraId="55DBB335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“Wazi</w:t>
      </w:r>
      <w:r>
        <w:rPr>
          <w:rFonts w:ascii="Gentium" w:hAnsi="Gentium"/>
          <w:color w:val="000000"/>
        </w:rPr>
        <w:t>ric Dynasty of Badr al-Jamali, t</w:t>
      </w:r>
      <w:r w:rsidRPr="00660D1C">
        <w:rPr>
          <w:rFonts w:ascii="Gentium" w:hAnsi="Gentium"/>
          <w:color w:val="000000"/>
        </w:rPr>
        <w:t xml:space="preserve">he Armenian, during the Fatimid Caliphate (Part II).” </w:t>
      </w:r>
      <w:r w:rsidRPr="00660D1C">
        <w:rPr>
          <w:rFonts w:ascii="Gentium" w:hAnsi="Gentium"/>
          <w:i/>
          <w:color w:val="000000"/>
        </w:rPr>
        <w:t>The Armenian Review</w:t>
      </w:r>
      <w:r>
        <w:rPr>
          <w:rFonts w:ascii="Gentium" w:hAnsi="Gentium"/>
          <w:color w:val="000000"/>
        </w:rPr>
        <w:t xml:space="preserve"> 3:1 </w:t>
      </w:r>
      <w:r w:rsidRPr="00660D1C">
        <w:rPr>
          <w:rFonts w:ascii="Gentium" w:hAnsi="Gentium"/>
          <w:color w:val="000000"/>
        </w:rPr>
        <w:t>(1950): 115-120.</w:t>
      </w:r>
    </w:p>
    <w:p w14:paraId="6876ED84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“Wazi</w:t>
      </w:r>
      <w:r>
        <w:rPr>
          <w:rFonts w:ascii="Gentium" w:hAnsi="Gentium"/>
          <w:color w:val="000000"/>
        </w:rPr>
        <w:t>ric Dynasty of Badr al-Jamali, t</w:t>
      </w:r>
      <w:r w:rsidRPr="00660D1C">
        <w:rPr>
          <w:rFonts w:ascii="Gentium" w:hAnsi="Gentium"/>
          <w:color w:val="000000"/>
        </w:rPr>
        <w:t xml:space="preserve">he Armenian, during the Fatimid Caliphate (Part III).” </w:t>
      </w:r>
      <w:r w:rsidRPr="00660D1C">
        <w:rPr>
          <w:rFonts w:ascii="Gentium" w:hAnsi="Gentium"/>
          <w:i/>
          <w:color w:val="000000"/>
        </w:rPr>
        <w:t>The Armenian Review</w:t>
      </w:r>
      <w:r w:rsidRPr="00660D1C">
        <w:rPr>
          <w:rFonts w:ascii="Gentium" w:hAnsi="Gentium"/>
          <w:color w:val="000000"/>
        </w:rPr>
        <w:t xml:space="preserve"> 4:</w:t>
      </w:r>
      <w:r>
        <w:rPr>
          <w:rFonts w:ascii="Gentium" w:hAnsi="Gentium"/>
          <w:color w:val="000000"/>
        </w:rPr>
        <w:t xml:space="preserve">2 </w:t>
      </w:r>
      <w:r w:rsidRPr="00660D1C">
        <w:rPr>
          <w:rFonts w:ascii="Gentium" w:hAnsi="Gentium"/>
          <w:color w:val="000000"/>
        </w:rPr>
        <w:t>(1951): 125-131.</w:t>
      </w:r>
    </w:p>
    <w:p w14:paraId="3582C50F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Kuroyanagi, Tsuneo. “The Life and Works of Nasir-i-Khusrau: Persian Poet, Traveller and Ismaili Propagandist.” </w:t>
      </w:r>
      <w:r w:rsidRPr="00660D1C">
        <w:rPr>
          <w:rFonts w:ascii="Gentium" w:hAnsi="Gentium"/>
          <w:i/>
          <w:color w:val="000000"/>
        </w:rPr>
        <w:t>Area and Culture Studies</w:t>
      </w:r>
      <w:r w:rsidRPr="00660D1C">
        <w:rPr>
          <w:rFonts w:ascii="Gentium" w:hAnsi="Gentium"/>
          <w:color w:val="000000"/>
        </w:rPr>
        <w:t xml:space="preserve"> 8 (1961): 55-66. [In Japanese]</w:t>
      </w:r>
    </w:p>
    <w:p w14:paraId="74CE9DB3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Lachman, Samuel. “Jews in the Egyptian Mints of the Fatimids and Ayyubids.” </w:t>
      </w:r>
      <w:r w:rsidRPr="00660D1C">
        <w:rPr>
          <w:rFonts w:ascii="Gentium" w:hAnsi="Gentium"/>
          <w:i/>
          <w:color w:val="000000"/>
        </w:rPr>
        <w:t>Shekel</w:t>
      </w:r>
      <w:r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color w:val="000000"/>
        </w:rPr>
        <w:t>21:3 (1998): 26-28.</w:t>
      </w:r>
    </w:p>
    <w:p w14:paraId="3584C048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Lakhani, Azmina. “The Ugandan Ismaili Refugee: Settlement in Montreal; A Study of the Social Adjustment of Couples.” M.S.S.W. thesis, School of Social Work, </w:t>
      </w:r>
      <w:r w:rsidRPr="004A7166">
        <w:rPr>
          <w:rFonts w:ascii="Gentium" w:hAnsi="Gentium"/>
        </w:rPr>
        <w:t>McGill University</w:t>
      </w:r>
      <w:r w:rsidRPr="00660D1C">
        <w:rPr>
          <w:rFonts w:ascii="Gentium" w:hAnsi="Gentium"/>
          <w:color w:val="000000"/>
        </w:rPr>
        <w:t>, 1988. vi + 98 pp.</w:t>
      </w:r>
    </w:p>
    <w:p w14:paraId="40D1657E" w14:textId="77777777" w:rsidR="00EA60B1" w:rsidRPr="004A7166" w:rsidRDefault="00EA60B1" w:rsidP="00EA60B1">
      <w:pPr>
        <w:rPr>
          <w:rFonts w:ascii="Gentium" w:hAnsi="Gentium"/>
          <w:color w:val="FF0000"/>
        </w:rPr>
      </w:pPr>
      <w:r w:rsidRPr="004A7166">
        <w:rPr>
          <w:rFonts w:ascii="Gentium" w:hAnsi="Gentium"/>
          <w:color w:val="000000"/>
        </w:rPr>
        <w:t>Lam’i, Saleh</w:t>
      </w:r>
      <w:r w:rsidRPr="00660D1C">
        <w:rPr>
          <w:rFonts w:ascii="Gentium" w:hAnsi="Gentium"/>
          <w:color w:val="000000"/>
        </w:rPr>
        <w:t xml:space="preserve">. “Restoration of the Fatimid Mosque in the Monastery of St. Catherine in Sinai.” </w:t>
      </w:r>
      <w:r w:rsidRPr="00660D1C">
        <w:rPr>
          <w:rFonts w:ascii="Gentium" w:hAnsi="Gentium"/>
          <w:i/>
          <w:color w:val="000000"/>
        </w:rPr>
        <w:t>Arts and the Islamic World</w:t>
      </w:r>
      <w:r w:rsidRPr="00660D1C">
        <w:rPr>
          <w:rFonts w:ascii="Gentium" w:hAnsi="Gentium"/>
          <w:color w:val="000000"/>
        </w:rPr>
        <w:t xml:space="preserve"> 4:3 (1987): 31-34.</w:t>
      </w:r>
    </w:p>
    <w:p w14:paraId="3C2F7CB9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Lamour, Valérie Nancy. “Mystique et politique en Islam les Qarmates: Analyse de la naissance du mouvement ismaélien jusqu’à son aboutissement qarmate dans l’Etat du Bahraīn.” Thése de Troisiéme Cycle, Université de Paris X – Nanterre, 1985. 241 pp.</w:t>
      </w:r>
    </w:p>
    <w:p w14:paraId="04D098E8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Laor-Sirak, Sharon. “The Fatimid Gates of Cairo Bāb al-Futūḥ, Bāb al-Naṣr and Bāb al-Zuwayla: Their Architectonic and Decorative Sources.” M.A. thesis, Department of Art History, Tel Aviv University, 1998. [In Hebrew][U]</w:t>
      </w:r>
    </w:p>
    <w:p w14:paraId="5186ABA3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Leitner, Gottlieb Wilhelm. “The </w:t>
      </w:r>
      <w:r w:rsidRPr="00660D1C">
        <w:rPr>
          <w:rFonts w:ascii="Gentium" w:hAnsi="Gentium"/>
          <w:i/>
          <w:color w:val="000000"/>
        </w:rPr>
        <w:t>Kelám-i-Pîr</w:t>
      </w:r>
      <w:r w:rsidRPr="00660D1C">
        <w:rPr>
          <w:rFonts w:ascii="Gentium" w:hAnsi="Gentium"/>
          <w:color w:val="000000"/>
        </w:rPr>
        <w:t xml:space="preserve"> and Esoteric Muhammadanism.”</w:t>
      </w:r>
      <w:r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i/>
          <w:color w:val="000000"/>
        </w:rPr>
        <w:t>The Imperial and Asiatic Quarterly Review</w:t>
      </w:r>
      <w:r w:rsidRPr="00660D1C">
        <w:rPr>
          <w:rFonts w:ascii="Gentium" w:hAnsi="Gentium"/>
          <w:color w:val="000000"/>
        </w:rPr>
        <w:t>, n.s., 6:11-12 (1893): 159-167.</w:t>
      </w:r>
    </w:p>
    <w:p w14:paraId="36735E43" w14:textId="77777777" w:rsidR="00EA60B1" w:rsidRPr="0064673A" w:rsidRDefault="00EA60B1" w:rsidP="00EA60B1">
      <w:pPr>
        <w:rPr>
          <w:rFonts w:ascii="Gentium" w:hAnsi="Gentium"/>
          <w:color w:val="000000"/>
        </w:rPr>
      </w:pPr>
      <w:r w:rsidRPr="0064673A">
        <w:rPr>
          <w:rFonts w:ascii="Gentium" w:hAnsi="Gentium"/>
          <w:color w:val="000000"/>
        </w:rPr>
        <w:t xml:space="preserve">Lester, Ayala. “A Fatimid Hoard from Tiberias.” In </w:t>
      </w:r>
      <w:r w:rsidRPr="0064673A">
        <w:rPr>
          <w:rFonts w:ascii="Gentium" w:hAnsi="Gentium"/>
          <w:i/>
          <w:color w:val="000000"/>
        </w:rPr>
        <w:t>Jewellery and Goldsmithing in the Islamic World: International Symposium, The Israel Museum, 1987</w:t>
      </w:r>
      <w:r w:rsidRPr="0064673A">
        <w:rPr>
          <w:rFonts w:ascii="Gentium" w:hAnsi="Gentium"/>
          <w:color w:val="000000"/>
        </w:rPr>
        <w:t>. Edited by Na‘ama Brosh, 21-29. Jerusalem: Israel Museum, 1991.</w:t>
      </w:r>
    </w:p>
    <w:p w14:paraId="02F40636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Le Strange, Guy. “An Inscription in the Aksā Mosque” </w:t>
      </w:r>
      <w:r w:rsidRPr="00660D1C">
        <w:rPr>
          <w:rFonts w:ascii="Gentium" w:hAnsi="Gentium"/>
          <w:i/>
          <w:color w:val="000000"/>
        </w:rPr>
        <w:t>Palestine Exploration Fund Quarterly Statement</w:t>
      </w:r>
      <w:r w:rsidRPr="00660D1C">
        <w:rPr>
          <w:rFonts w:ascii="Gentium" w:hAnsi="Gentium"/>
          <w:color w:val="000000"/>
        </w:rPr>
        <w:t xml:space="preserve"> 20.4 (1888): 278-280.</w:t>
      </w:r>
    </w:p>
    <w:p w14:paraId="669EFF3C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Leuthold, Enrico</w:t>
      </w:r>
      <w:r>
        <w:rPr>
          <w:rFonts w:ascii="Gentium" w:hAnsi="Gentium"/>
          <w:color w:val="000000"/>
        </w:rPr>
        <w:t>,</w:t>
      </w:r>
      <w:r w:rsidRPr="00660D1C">
        <w:rPr>
          <w:rFonts w:ascii="Gentium" w:hAnsi="Gentium"/>
          <w:color w:val="000000"/>
        </w:rPr>
        <w:t xml:space="preserve"> </w:t>
      </w:r>
      <w:r w:rsidRPr="00584459">
        <w:rPr>
          <w:rFonts w:ascii="Gentium" w:hAnsi="Gentium"/>
        </w:rPr>
        <w:t>Jr.</w:t>
      </w:r>
      <w:r w:rsidRPr="00660D1C">
        <w:rPr>
          <w:rFonts w:ascii="Gentium" w:hAnsi="Gentium"/>
          <w:color w:val="000000"/>
        </w:rPr>
        <w:t xml:space="preserve"> “Tre monete dei Fatimidi.” </w:t>
      </w:r>
      <w:r w:rsidRPr="00660D1C">
        <w:rPr>
          <w:rFonts w:ascii="Gentium" w:hAnsi="Gentium"/>
          <w:i/>
          <w:color w:val="000000"/>
        </w:rPr>
        <w:t>Italia Numismatica</w:t>
      </w:r>
      <w:r w:rsidRPr="00660D1C">
        <w:rPr>
          <w:rFonts w:ascii="Gentium" w:hAnsi="Gentium"/>
          <w:color w:val="000000"/>
        </w:rPr>
        <w:t xml:space="preserve"> 3 (1971): 3-5.</w:t>
      </w:r>
    </w:p>
    <w:p w14:paraId="7CB294C9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</w:t>
      </w:r>
      <w:r w:rsidRPr="00660D1C">
        <w:rPr>
          <w:rFonts w:ascii="Gentium" w:hAnsi="Gentium"/>
          <w:i/>
          <w:color w:val="000000"/>
        </w:rPr>
        <w:t>Un dinaro coniato a Ṭarābulus (Tripoli di Libia) nel 416 H. / 1025 A.D. durante la ‘assenza’ dell’ Imām Al-Ḥākim bi-Amr Allāh: La zecca di al-Zawīlah in Fazzān</w:t>
      </w:r>
      <w:r w:rsidRPr="00660D1C">
        <w:rPr>
          <w:rFonts w:ascii="Gentium" w:hAnsi="Gentium"/>
          <w:color w:val="000000"/>
        </w:rPr>
        <w:t>. Milano: Sady Francinetti, 2002. 11 pp.</w:t>
      </w:r>
    </w:p>
    <w:p w14:paraId="6A02DAC1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Lévi-Provençal, Évariste. “La política africana de 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Abd al-Raḥmān III: El conflicto entre las influencias Omeya y Fāṭimī en el Magrib.” </w:t>
      </w:r>
      <w:r w:rsidRPr="00660D1C">
        <w:rPr>
          <w:rFonts w:ascii="Gentium" w:hAnsi="Gentium"/>
          <w:i/>
          <w:color w:val="000000"/>
        </w:rPr>
        <w:t xml:space="preserve">al-Andalus </w:t>
      </w:r>
      <w:r w:rsidRPr="00660D1C">
        <w:rPr>
          <w:rFonts w:ascii="Gentium" w:hAnsi="Gentium"/>
          <w:color w:val="000000"/>
        </w:rPr>
        <w:t>11:2 (1946): 351-378.</w:t>
      </w:r>
    </w:p>
    <w:p w14:paraId="0A8F0225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Lewcock, Ronald B., and G. Rex Smith. “Two Early Mosques in the Yemen: A Preliminary Report.” </w:t>
      </w:r>
      <w:r w:rsidRPr="00660D1C">
        <w:rPr>
          <w:rFonts w:ascii="Gentium" w:hAnsi="Gentium"/>
          <w:i/>
          <w:color w:val="000000"/>
        </w:rPr>
        <w:t>Art and Archaeology Research Papers</w:t>
      </w:r>
      <w:r w:rsidRPr="00660D1C">
        <w:rPr>
          <w:rFonts w:ascii="Gentium" w:hAnsi="Gentium"/>
          <w:color w:val="000000"/>
        </w:rPr>
        <w:t xml:space="preserve"> 4 (1973): 117-130.</w:t>
      </w:r>
    </w:p>
    <w:p w14:paraId="2B520BBA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Lewis, James R. “Shia Imani [</w:t>
      </w:r>
      <w:r w:rsidRPr="00660D1C">
        <w:rPr>
          <w:rFonts w:ascii="Gentium" w:hAnsi="Gentium"/>
          <w:i/>
          <w:color w:val="000000"/>
        </w:rPr>
        <w:t>sic</w:t>
      </w:r>
      <w:r w:rsidRPr="00660D1C">
        <w:rPr>
          <w:rFonts w:ascii="Gentium" w:hAnsi="Gentium"/>
          <w:color w:val="000000"/>
        </w:rPr>
        <w:t xml:space="preserve">] Ismaili Muslim Community.” In </w:t>
      </w:r>
      <w:r w:rsidRPr="00660D1C">
        <w:rPr>
          <w:rFonts w:ascii="Gentium" w:hAnsi="Gentium"/>
          <w:i/>
          <w:color w:val="000000"/>
        </w:rPr>
        <w:t>The Encyclopedia of Cults, Sects, and New Religions</w:t>
      </w:r>
      <w:r w:rsidRPr="00660D1C">
        <w:rPr>
          <w:rFonts w:ascii="Gentium" w:hAnsi="Gentium"/>
          <w:color w:val="000000"/>
        </w:rPr>
        <w:t>, 260-61. Amherst, N.Y.: Prometheus Books, 2002.</w:t>
      </w:r>
    </w:p>
    <w:p w14:paraId="0598A096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Lindsay, James E. “A Discussion of Abū 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>Abd Allāh’s Mission among the Kutāma Berbers (893-910).” M.A. thesis, University of Wisconsin, Madison, 1987. ix + 113 pp.</w:t>
      </w:r>
    </w:p>
    <w:p w14:paraId="4B554EF1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Lindvall, Lars. “Etre l’assassin de sa dame.” </w:t>
      </w:r>
      <w:r w:rsidRPr="00660D1C">
        <w:rPr>
          <w:rFonts w:ascii="Gentium" w:hAnsi="Gentium"/>
          <w:i/>
          <w:color w:val="000000"/>
        </w:rPr>
        <w:t>Studia Neophilologica</w:t>
      </w:r>
      <w:r w:rsidRPr="00660D1C">
        <w:rPr>
          <w:rFonts w:ascii="Gentium" w:hAnsi="Gentium"/>
          <w:color w:val="000000"/>
        </w:rPr>
        <w:t xml:space="preserve"> 46:1 (1974): 32-52.</w:t>
      </w:r>
    </w:p>
    <w:p w14:paraId="22C25316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Lipinsky, Angelo. “La falera equina del museo nazionale di Reggio Calabria: Un bronzo inedito di arte fatimita.” </w:t>
      </w:r>
      <w:r w:rsidRPr="00660D1C">
        <w:rPr>
          <w:rFonts w:ascii="Gentium" w:hAnsi="Gentium"/>
          <w:i/>
          <w:color w:val="000000"/>
        </w:rPr>
        <w:t xml:space="preserve">Archivio storico per la Calabria e la Lucania </w:t>
      </w:r>
      <w:r w:rsidRPr="00660D1C">
        <w:rPr>
          <w:rFonts w:ascii="Gentium" w:hAnsi="Gentium"/>
          <w:color w:val="000000"/>
        </w:rPr>
        <w:t>26:1-2 (1957): 143-152., + 4 plates.</w:t>
      </w:r>
    </w:p>
    <w:p w14:paraId="13FA3D2D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Lockhart, Laurence. “Alamut, Stronghold of the Assassins: The Historic Rock in Persia </w:t>
      </w:r>
      <w:r w:rsidRPr="00F035A1">
        <w:rPr>
          <w:rFonts w:ascii="Gentium" w:hAnsi="Gentium"/>
        </w:rPr>
        <w:t>where</w:t>
      </w:r>
      <w:r w:rsidRPr="00660D1C">
        <w:rPr>
          <w:rFonts w:ascii="Gentium" w:hAnsi="Gentium"/>
          <w:color w:val="000000"/>
        </w:rPr>
        <w:t xml:space="preserve"> the ‘Old Man of the Mountain’ Ruled.” </w:t>
      </w:r>
      <w:r w:rsidRPr="00660D1C">
        <w:rPr>
          <w:rFonts w:ascii="Gentium" w:hAnsi="Gentium"/>
          <w:i/>
          <w:color w:val="000000"/>
        </w:rPr>
        <w:t>Asia: Journal of the American Asiatic Association</w:t>
      </w:r>
      <w:r w:rsidRPr="00660D1C">
        <w:rPr>
          <w:rFonts w:ascii="Gentium" w:hAnsi="Gentium"/>
          <w:color w:val="000000"/>
        </w:rPr>
        <w:t xml:space="preserve"> 29:11 (1929): 866-869, 902.</w:t>
      </w:r>
    </w:p>
    <w:p w14:paraId="02099415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“Into the Stronghold of the Assassins.” </w:t>
      </w:r>
      <w:r w:rsidRPr="00660D1C">
        <w:rPr>
          <w:rFonts w:ascii="Gentium" w:hAnsi="Gentium"/>
          <w:i/>
          <w:color w:val="000000"/>
        </w:rPr>
        <w:t>Contemporary Review</w:t>
      </w:r>
      <w:r w:rsidRPr="00660D1C">
        <w:rPr>
          <w:rFonts w:ascii="Gentium" w:hAnsi="Gentium"/>
          <w:color w:val="000000"/>
        </w:rPr>
        <w:t xml:space="preserve"> 143 (1933): 343-350.</w:t>
      </w:r>
    </w:p>
    <w:p w14:paraId="4482ADF7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Lokhandwalla, Shamoon T. “Arabic Sources and Some Lesser Known Ismaili Material.” In </w:t>
      </w:r>
      <w:r w:rsidRPr="00660D1C">
        <w:rPr>
          <w:rFonts w:ascii="Gentium" w:hAnsi="Gentium"/>
          <w:i/>
          <w:color w:val="000000"/>
        </w:rPr>
        <w:t>Indian Civilization: The First Phase; Problems of a Sourcebook</w:t>
      </w:r>
      <w:r w:rsidRPr="00660D1C">
        <w:rPr>
          <w:rFonts w:ascii="Gentium" w:hAnsi="Gentium"/>
          <w:color w:val="000000"/>
        </w:rPr>
        <w:t>. Transactions of the Indian Institute of Advanced Study 17. Edited by Subhash Chandra Malik, 274-280. Simla: Indian Institute of Advanced Study, 1971.</w:t>
      </w:r>
    </w:p>
    <w:p w14:paraId="6458A962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Lopes, Maria Celeste Mateus das Neves de Canelas. “A Comunidade Ismaelita de Lisboa: Compartamentos económicos e possível incidência religiosa naesfera económica.” Monografia de licenciatura em Antropologia, Universidade Nova de Lisboa, 1988. 89 pp. [In Portuguese] [U]</w:t>
      </w:r>
    </w:p>
    <w:p w14:paraId="3866FE7A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Louhichi, Adnan. “Recherches archéologiques fatimides á Mahdia ‘Qasr al-Qaïm’: Les premiers resultants du sondage IV.” </w:t>
      </w:r>
      <w:r w:rsidRPr="00660D1C">
        <w:rPr>
          <w:rFonts w:ascii="Gentium" w:hAnsi="Gentium"/>
          <w:i/>
          <w:color w:val="000000"/>
        </w:rPr>
        <w:t>Bulletin des travaux de l’Institut National d’Archéologie et d’Art</w:t>
      </w:r>
      <w:r w:rsidRPr="00660D1C">
        <w:rPr>
          <w:rFonts w:ascii="Gentium" w:hAnsi="Gentium"/>
          <w:color w:val="000000"/>
        </w:rPr>
        <w:t xml:space="preserve"> 4 (1991): 161-177.</w:t>
      </w:r>
    </w:p>
    <w:p w14:paraId="623D5B0C" w14:textId="77777777" w:rsidR="00EA60B1" w:rsidRDefault="00EA60B1" w:rsidP="00EA60B1">
      <w:pPr>
        <w:rPr>
          <w:rFonts w:ascii="Gentium" w:hAnsi="Gentium"/>
          <w:color w:val="000000"/>
          <w:szCs w:val="24"/>
        </w:rPr>
      </w:pPr>
      <w:r w:rsidRPr="006363DE">
        <w:rPr>
          <w:rFonts w:ascii="Gentium" w:hAnsi="Gentium"/>
          <w:color w:val="000000"/>
          <w:szCs w:val="24"/>
        </w:rPr>
        <w:t xml:space="preserve">___. “La céramique fatimide et ziride de Mahdia d’après les fouilles de Qasr al-Qaïm.” In </w:t>
      </w:r>
      <w:r w:rsidRPr="006363DE">
        <w:rPr>
          <w:rFonts w:ascii="Gentium" w:hAnsi="Gentium"/>
          <w:i/>
          <w:color w:val="000000"/>
          <w:szCs w:val="24"/>
        </w:rPr>
        <w:t xml:space="preserve">La céramique médiévale en Méditerranée: Actes </w:t>
      </w:r>
      <w:r w:rsidRPr="006363DE">
        <w:rPr>
          <w:rFonts w:ascii="Gentium" w:hAnsi="Gentium"/>
          <w:i/>
          <w:szCs w:val="24"/>
        </w:rPr>
        <w:t>du VI</w:t>
      </w:r>
      <w:r w:rsidRPr="006363DE">
        <w:rPr>
          <w:rFonts w:ascii="Gentium" w:hAnsi="Gentium"/>
          <w:i/>
          <w:szCs w:val="24"/>
          <w:vertAlign w:val="superscript"/>
        </w:rPr>
        <w:t>E</w:t>
      </w:r>
      <w:r w:rsidRPr="006363DE">
        <w:rPr>
          <w:rFonts w:ascii="Gentium" w:hAnsi="Gentium"/>
          <w:i/>
          <w:color w:val="000000"/>
          <w:szCs w:val="24"/>
        </w:rPr>
        <w:t xml:space="preserve"> Congrès de l’AIECM2, Aix-en-Provence (13-18 novembre 1995).</w:t>
      </w:r>
      <w:r w:rsidRPr="006363DE">
        <w:rPr>
          <w:rFonts w:ascii="Gentium" w:hAnsi="Gentium"/>
          <w:color w:val="000000"/>
          <w:szCs w:val="24"/>
        </w:rPr>
        <w:t xml:space="preserve"> Edited by Gabrielle Démians d’Archimbaud, 301-310. Aix-en-Provence: Narration, 1997.</w:t>
      </w:r>
    </w:p>
    <w:p w14:paraId="66DAB532" w14:textId="77777777" w:rsidR="00EA60B1" w:rsidRPr="006363DE" w:rsidRDefault="00EA60B1" w:rsidP="00EA60B1">
      <w:pPr>
        <w:rPr>
          <w:rFonts w:ascii="Gentium" w:hAnsi="Gentium"/>
          <w:color w:val="000000"/>
          <w:szCs w:val="24"/>
        </w:rPr>
      </w:pPr>
      <w:r w:rsidRPr="00660D1C">
        <w:rPr>
          <w:rFonts w:ascii="Gentium" w:hAnsi="Gentium"/>
          <w:color w:val="000000"/>
        </w:rPr>
        <w:t xml:space="preserve">Macaluso, Pasquale. </w:t>
      </w:r>
      <w:r w:rsidRPr="00660D1C">
        <w:rPr>
          <w:rFonts w:ascii="Gentium" w:hAnsi="Gentium"/>
          <w:i/>
          <w:color w:val="000000"/>
        </w:rPr>
        <w:t xml:space="preserve">Appunti sui governatori della Sicilia musulmana nella prima epoca fatimita con riguardo all’opera di Idrīs </w:t>
      </w:r>
      <w:r w:rsidRPr="00660D1C">
        <w:rPr>
          <w:rFonts w:ascii="Calibri" w:hAnsi="Calibri" w:cs="Calibri"/>
          <w:i/>
          <w:color w:val="000000"/>
        </w:rPr>
        <w:t>ʿ</w:t>
      </w:r>
      <w:r w:rsidRPr="00660D1C">
        <w:rPr>
          <w:rFonts w:ascii="Gentium" w:hAnsi="Gentium"/>
          <w:i/>
          <w:color w:val="000000"/>
        </w:rPr>
        <w:t>Imād al-Dīn (1392-I468).</w:t>
      </w:r>
      <w:r w:rsidRPr="00660D1C">
        <w:rPr>
          <w:rFonts w:ascii="Gentium" w:hAnsi="Gentium"/>
          <w:color w:val="000000"/>
        </w:rPr>
        <w:t xml:space="preserve"> Palermo: Dipartimento di Scienze Filologiche e Linguistiche dell’Università di Palermo, 2003. 43 pp.</w:t>
      </w:r>
    </w:p>
    <w:p w14:paraId="6F663732" w14:textId="77777777" w:rsidR="00EA60B1" w:rsidRDefault="00EA60B1" w:rsidP="00EA60B1">
      <w:pPr>
        <w:rPr>
          <w:rFonts w:ascii="Gentium" w:hAnsi="Gentium"/>
          <w:color w:val="000000"/>
        </w:rPr>
      </w:pPr>
      <w:r w:rsidRPr="00D6749C">
        <w:rPr>
          <w:rFonts w:ascii="Gentium" w:hAnsi="Gentium"/>
          <w:color w:val="000000"/>
        </w:rPr>
        <w:t>MacEoin, Denis. “Isma</w:t>
      </w:r>
      <w:r w:rsidRPr="00D6749C">
        <w:rPr>
          <w:rFonts w:ascii="Calibri" w:hAnsi="Calibri" w:cs="Calibri"/>
          <w:color w:val="000000"/>
        </w:rPr>
        <w:t>ʿ</w:t>
      </w:r>
      <w:r w:rsidRPr="00D6749C">
        <w:rPr>
          <w:rFonts w:ascii="Gentium" w:hAnsi="Gentium"/>
          <w:color w:val="000000"/>
        </w:rPr>
        <w:t>ilis,” “Khojas,” “Musta</w:t>
      </w:r>
      <w:r w:rsidRPr="00D6749C">
        <w:rPr>
          <w:rFonts w:ascii="Calibri" w:hAnsi="Calibri" w:cs="Calibri"/>
          <w:color w:val="000000"/>
        </w:rPr>
        <w:t>ʿ</w:t>
      </w:r>
      <w:r w:rsidRPr="00D6749C">
        <w:rPr>
          <w:rFonts w:ascii="Gentium" w:hAnsi="Gentium"/>
          <w:color w:val="000000"/>
        </w:rPr>
        <w:t xml:space="preserve">lis,” “Nizaris,” “Seveners.” In </w:t>
      </w:r>
      <w:r w:rsidRPr="00D6749C">
        <w:rPr>
          <w:rFonts w:ascii="Gentium" w:hAnsi="Gentium"/>
          <w:i/>
          <w:color w:val="000000"/>
        </w:rPr>
        <w:t>Longman Guide to Living Religions</w:t>
      </w:r>
      <w:r w:rsidRPr="00D6749C">
        <w:rPr>
          <w:rFonts w:ascii="Gentium" w:hAnsi="Gentium"/>
          <w:color w:val="000000"/>
        </w:rPr>
        <w:t>. Edited by Ian C. Harris, Stuart Mews, and Paul Morris. New York, N.Y.: Stockton, 1994.</w:t>
      </w:r>
    </w:p>
    <w:p w14:paraId="3F6078EB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Maciuszak, Kinga. “Is the Northern-Iranian Dialect of Alamut Stronghold Still Alive? </w:t>
      </w:r>
      <w:r w:rsidRPr="00E73E27">
        <w:rPr>
          <w:rFonts w:ascii="Gentium" w:hAnsi="Gentium"/>
        </w:rPr>
        <w:t>(The Dialect of Marāghi in Rūdbār-e Alamut).”</w:t>
      </w:r>
      <w:r w:rsidRPr="00660D1C">
        <w:rPr>
          <w:rFonts w:ascii="Gentium" w:hAnsi="Gentium"/>
          <w:color w:val="000000"/>
        </w:rPr>
        <w:t xml:space="preserve"> In </w:t>
      </w:r>
      <w:r w:rsidRPr="00660D1C">
        <w:rPr>
          <w:rFonts w:ascii="Gentium" w:hAnsi="Gentium"/>
          <w:i/>
          <w:color w:val="000000"/>
        </w:rPr>
        <w:t>Iranica Cracoviensia: Cracow Iranian Studies in Memory of Władysław Dulęba</w:t>
      </w:r>
      <w:r w:rsidRPr="00660D1C">
        <w:rPr>
          <w:rFonts w:ascii="Gentium" w:hAnsi="Gentium"/>
          <w:color w:val="000000"/>
        </w:rPr>
        <w:t>. Edited by Anna Krasnowolska, 85-94. Kraków: Cornelius, 1996.</w:t>
      </w:r>
    </w:p>
    <w:p w14:paraId="730B9DAB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F035A1">
        <w:rPr>
          <w:rFonts w:ascii="Gentium" w:hAnsi="Gentium"/>
        </w:rPr>
        <w:t>Mackey,</w:t>
      </w:r>
      <w:r w:rsidRPr="00660D1C">
        <w:rPr>
          <w:rFonts w:ascii="Gentium" w:hAnsi="Gentium"/>
          <w:color w:val="000000"/>
        </w:rPr>
        <w:t xml:space="preserve"> Albert Gallatin. “Assassins” In </w:t>
      </w:r>
      <w:r w:rsidRPr="00660D1C">
        <w:rPr>
          <w:rFonts w:ascii="Gentium" w:hAnsi="Gentium"/>
          <w:i/>
          <w:color w:val="000000"/>
        </w:rPr>
        <w:t>An Encyclopedia of Freemasonry and Its Kindred Sciences: Comprising the Whole Range of Arts, Sciences and Literature As Connected with the Institution</w:t>
      </w:r>
      <w:r w:rsidRPr="00660D1C">
        <w:rPr>
          <w:rFonts w:ascii="Gentium" w:hAnsi="Gentium"/>
          <w:color w:val="000000"/>
        </w:rPr>
        <w:t>, 92-93. Philadelphia: Moss, 1874.</w:t>
      </w:r>
    </w:p>
    <w:p w14:paraId="1FACA235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Maclean, Derryl N. “Ismâ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îlism, Conversion, and Syncretism in Arab Sind.” </w:t>
      </w:r>
      <w:r w:rsidRPr="00660D1C">
        <w:rPr>
          <w:rFonts w:ascii="Gentium" w:hAnsi="Gentium"/>
          <w:i/>
          <w:color w:val="000000"/>
        </w:rPr>
        <w:t>Bulletin of the Henry Martyn Institute of Islamic Studies</w:t>
      </w:r>
      <w:r w:rsidRPr="00660D1C">
        <w:rPr>
          <w:rFonts w:ascii="Gentium" w:hAnsi="Gentium"/>
          <w:color w:val="000000"/>
        </w:rPr>
        <w:t xml:space="preserve"> 11:1-2 (1992): 5-13.</w:t>
      </w:r>
    </w:p>
    <w:p w14:paraId="3CD7931C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Madelung, Wilferd. “Isma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ilism: The Old and the New </w:t>
      </w:r>
      <w:r w:rsidRPr="00660D1C">
        <w:rPr>
          <w:rFonts w:ascii="Gentium" w:hAnsi="Gentium"/>
          <w:i/>
          <w:color w:val="000000"/>
        </w:rPr>
        <w:t>Da</w:t>
      </w:r>
      <w:r w:rsidRPr="00660D1C">
        <w:rPr>
          <w:rFonts w:ascii="Calibri" w:hAnsi="Calibri" w:cs="Calibri"/>
          <w:i/>
          <w:color w:val="000000"/>
        </w:rPr>
        <w:t>ʿ</w:t>
      </w:r>
      <w:r w:rsidRPr="00660D1C">
        <w:rPr>
          <w:rFonts w:ascii="Gentium" w:hAnsi="Gentium"/>
          <w:i/>
          <w:color w:val="000000"/>
        </w:rPr>
        <w:t>wa</w:t>
      </w:r>
      <w:r w:rsidRPr="00660D1C">
        <w:rPr>
          <w:rFonts w:ascii="Gentium" w:hAnsi="Gentium"/>
          <w:color w:val="000000"/>
        </w:rPr>
        <w:t xml:space="preserve">.” Chap. 7 in </w:t>
      </w:r>
      <w:r w:rsidRPr="00660D1C">
        <w:rPr>
          <w:rFonts w:ascii="Gentium" w:hAnsi="Gentium"/>
          <w:i/>
          <w:color w:val="000000"/>
        </w:rPr>
        <w:t>Religious Trends in Early Islamic Iran</w:t>
      </w:r>
      <w:r w:rsidRPr="00660D1C">
        <w:rPr>
          <w:rFonts w:ascii="Gentium" w:hAnsi="Gentium"/>
          <w:color w:val="000000"/>
        </w:rPr>
        <w:t>, 93-105. Columbia Lectures on Iranian Studies 4. Albany, N.Y.: Persian Heritage Foundation, 1988.</w:t>
      </w:r>
    </w:p>
    <w:p w14:paraId="35337A6E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Mahfoudh, Faouzi. “Les relations entre l’Ifriqiya et le Califat fatimide à la fin du Xé s. ap. J. C. d’après les documents épigraphiques.” </w:t>
      </w:r>
      <w:r w:rsidRPr="00660D1C">
        <w:rPr>
          <w:rFonts w:ascii="Gentium" w:hAnsi="Gentium"/>
          <w:i/>
          <w:color w:val="000000"/>
        </w:rPr>
        <w:t>Les Cahiers de Tunisie</w:t>
      </w:r>
      <w:r w:rsidRPr="00660D1C">
        <w:rPr>
          <w:rFonts w:ascii="Gentium" w:hAnsi="Gentium"/>
          <w:color w:val="000000"/>
        </w:rPr>
        <w:t xml:space="preserve"> 43:155-156 (1991): 313-324.</w:t>
      </w:r>
    </w:p>
    <w:p w14:paraId="12EC9EF6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Mahmood, Tahir. “Recent Religious Reform of Khoja Isma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ili Personal Law: An Appraisal.” </w:t>
      </w:r>
      <w:r w:rsidRPr="00660D1C">
        <w:rPr>
          <w:rFonts w:ascii="Gentium" w:hAnsi="Gentium"/>
          <w:i/>
          <w:color w:val="000000"/>
        </w:rPr>
        <w:t>Islamic and Comparative Law Review</w:t>
      </w:r>
      <w:r w:rsidRPr="00660D1C">
        <w:rPr>
          <w:rFonts w:ascii="Gentium" w:hAnsi="Gentium"/>
          <w:color w:val="000000"/>
        </w:rPr>
        <w:t xml:space="preserve"> 12:1 (1992): 55-75.</w:t>
      </w:r>
    </w:p>
    <w:p w14:paraId="1A9B0468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Malheiros, Jorge Macaísta. “Circulação Migratória e Estratégias de Inserção Local das Comunidades Católica Goesa e Ismaelita: Uma Interpretação a Partir de Lisboa.” [Migratory Circulation and Local Insertion Strategies of the Goan Catholic and Ismaili Communities: An Interpretation from Lisbon] </w:t>
      </w:r>
      <w:r w:rsidRPr="00660D1C">
        <w:rPr>
          <w:rFonts w:ascii="Gentium" w:hAnsi="Gentium"/>
          <w:i/>
          <w:color w:val="000000"/>
        </w:rPr>
        <w:t xml:space="preserve">Lusotopie </w:t>
      </w:r>
      <w:r w:rsidRPr="00660D1C">
        <w:rPr>
          <w:rFonts w:ascii="Gentium" w:hAnsi="Gentium"/>
          <w:color w:val="000000"/>
        </w:rPr>
        <w:t>(2000): 377-398. [In Portuguese]</w:t>
      </w:r>
    </w:p>
    <w:p w14:paraId="4804D6BC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al-Mallah, Majd Yaser. “The Role of Classical Arabic Panegyric Poetry in Court Ceremonial: al-Mutanabbī, Ibn Hānī</w:t>
      </w:r>
      <w:r w:rsidRPr="00660D1C">
        <w:rPr>
          <w:rFonts w:ascii="Calibri" w:hAnsi="Calibri" w:cs="Calibri"/>
          <w:color w:val="000000"/>
        </w:rPr>
        <w:t>ʾ</w:t>
      </w:r>
      <w:r w:rsidRPr="00660D1C">
        <w:rPr>
          <w:rFonts w:ascii="Gentium" w:hAnsi="Gentium"/>
          <w:color w:val="000000"/>
        </w:rPr>
        <w:t xml:space="preserve"> al-Andalusī, and Ibn Darrāj al-Qasṭallī.” Ph.D. diss., Department of Near Eastern Languages and Cultures, Indiana University, 2002. viii + 312 pp.</w:t>
      </w:r>
    </w:p>
    <w:p w14:paraId="7CAEB2AD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Mallison, Françoise. “Hymnologies vishnuite, jaina, parsi, </w:t>
      </w:r>
      <w:r w:rsidRPr="00AD6291">
        <w:rPr>
          <w:rFonts w:ascii="Gentium" w:hAnsi="Gentium"/>
        </w:rPr>
        <w:t xml:space="preserve">tantrique </w:t>
      </w:r>
      <w:r w:rsidRPr="00660D1C">
        <w:rPr>
          <w:rFonts w:ascii="Gentium" w:hAnsi="Gentium"/>
          <w:color w:val="000000"/>
        </w:rPr>
        <w:t xml:space="preserve">et islamique en gujarati: Mode de transmission et thèmes convergents.” In </w:t>
      </w:r>
      <w:r w:rsidRPr="00660D1C">
        <w:rPr>
          <w:rFonts w:ascii="Gentium" w:hAnsi="Gentium"/>
          <w:i/>
          <w:color w:val="000000"/>
        </w:rPr>
        <w:t>Traditions orales dans le monde indien</w:t>
      </w:r>
      <w:r w:rsidRPr="00660D1C">
        <w:rPr>
          <w:rFonts w:ascii="Gentium" w:hAnsi="Gentium"/>
          <w:color w:val="000000"/>
        </w:rPr>
        <w:t>. Edited</w:t>
      </w:r>
      <w:r>
        <w:rPr>
          <w:rFonts w:ascii="Gentium" w:hAnsi="Gentium"/>
          <w:color w:val="000000"/>
        </w:rPr>
        <w:t xml:space="preserve"> by Catherine Champion, 273-287.</w:t>
      </w:r>
      <w:r w:rsidRPr="00660D1C">
        <w:rPr>
          <w:rFonts w:ascii="Gentium" w:hAnsi="Gentium"/>
          <w:color w:val="000000"/>
        </w:rPr>
        <w:t xml:space="preserve"> Collection Puruṣārtha 18. Paris: Editions de l’Ecole des hautes études en sciences sociales, 1996.</w:t>
      </w:r>
    </w:p>
    <w:p w14:paraId="55098285" w14:textId="77777777" w:rsidR="00EA60B1" w:rsidRDefault="00EA60B1" w:rsidP="00EA60B1">
      <w:pPr>
        <w:rPr>
          <w:rFonts w:ascii="Gentium" w:hAnsi="Gentium"/>
          <w:color w:val="000000"/>
        </w:rPr>
      </w:pPr>
      <w:r>
        <w:rPr>
          <w:rFonts w:ascii="Gentium" w:hAnsi="Gentium"/>
          <w:color w:val="000000"/>
        </w:rPr>
        <w:t xml:space="preserve">___. </w:t>
      </w:r>
      <w:r w:rsidRPr="00660D1C">
        <w:rPr>
          <w:rFonts w:ascii="Gentium" w:hAnsi="Gentium"/>
          <w:color w:val="000000"/>
        </w:rPr>
        <w:t xml:space="preserve">“Saints and Sacred Places in Saurashtra and Kutch: The Cases of the Naklaṃki Cult and the Jakhs.” In </w:t>
      </w:r>
      <w:r w:rsidRPr="00660D1C">
        <w:rPr>
          <w:rFonts w:ascii="Gentium" w:hAnsi="Gentium"/>
          <w:i/>
          <w:color w:val="000000"/>
        </w:rPr>
        <w:t>Pilgrims, Patrons, and Place: Localizing Sanctity in Asian Religions</w:t>
      </w:r>
      <w:r w:rsidRPr="00660D1C">
        <w:rPr>
          <w:rFonts w:ascii="Gentium" w:hAnsi="Gentium"/>
          <w:color w:val="000000"/>
        </w:rPr>
        <w:t>. Edited by Phyllis Granoff and Koichi Shinohara, 332-349. Vancouver: University of British Columbia Press, 2003.</w:t>
      </w:r>
    </w:p>
    <w:p w14:paraId="68E102E7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Malysheva, D. B. “The Ismā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īlīs: A Historical Overview.” </w:t>
      </w:r>
      <w:r w:rsidRPr="00660D1C">
        <w:rPr>
          <w:rFonts w:ascii="Gentium" w:hAnsi="Gentium"/>
          <w:i/>
          <w:color w:val="000000"/>
        </w:rPr>
        <w:t>Voprosy Istorii</w:t>
      </w:r>
      <w:r w:rsidRPr="00660D1C">
        <w:rPr>
          <w:rFonts w:ascii="Gentium" w:hAnsi="Gentium"/>
          <w:color w:val="000000"/>
        </w:rPr>
        <w:t xml:space="preserve"> 2 (1977): 138-149. [In Russian]</w:t>
      </w:r>
    </w:p>
    <w:p w14:paraId="1B3948EA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Mandani, Yasmin D. “Acquired and Ascribe</w:t>
      </w:r>
      <w:r>
        <w:rPr>
          <w:rFonts w:ascii="Gentium" w:hAnsi="Gentium"/>
          <w:color w:val="000000"/>
        </w:rPr>
        <w:t>d Loyalties in the Age of the Fatimids:</w:t>
      </w:r>
      <w:r w:rsidRPr="00660D1C">
        <w:rPr>
          <w:rFonts w:ascii="Gentium" w:hAnsi="Gentium"/>
          <w:color w:val="000000"/>
        </w:rPr>
        <w:t xml:space="preserve"> An Examination of the Mottahedeh Thesis.” M.A. thesis, School of Oriental and African Studies, Univer</w:t>
      </w:r>
      <w:r>
        <w:rPr>
          <w:rFonts w:ascii="Gentium" w:hAnsi="Gentium"/>
          <w:color w:val="000000"/>
        </w:rPr>
        <w:t xml:space="preserve">sity of London, 1986. 51 pp.  </w:t>
      </w:r>
    </w:p>
    <w:p w14:paraId="7FAEE92F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</w:t>
      </w:r>
      <w:r w:rsidRPr="00660D1C">
        <w:rPr>
          <w:rFonts w:ascii="Gentium" w:hAnsi="Gentium"/>
          <w:i/>
          <w:color w:val="000000"/>
        </w:rPr>
        <w:t>Āratī Motī</w:t>
      </w:r>
      <w:r w:rsidRPr="00660D1C">
        <w:rPr>
          <w:rFonts w:ascii="Gentium" w:hAnsi="Gentium"/>
          <w:color w:val="000000"/>
        </w:rPr>
        <w:t xml:space="preserve">– En religiös hymn av missionär Sadardīn.” </w:t>
      </w:r>
      <w:r w:rsidRPr="00660D1C">
        <w:rPr>
          <w:rFonts w:ascii="Gentium" w:hAnsi="Gentium"/>
          <w:i/>
          <w:color w:val="000000"/>
        </w:rPr>
        <w:t>Orientaliska Studier</w:t>
      </w:r>
      <w:r w:rsidRPr="00660D1C">
        <w:rPr>
          <w:rFonts w:ascii="Gentium" w:hAnsi="Gentium"/>
          <w:color w:val="000000"/>
        </w:rPr>
        <w:t xml:space="preserve"> 80-81 (1994): 61-75</w:t>
      </w:r>
      <w:r w:rsidRPr="00413836">
        <w:rPr>
          <w:rFonts w:ascii="Gentium" w:hAnsi="Gentium"/>
          <w:color w:val="000000"/>
        </w:rPr>
        <w:t>. [In Swedish]</w:t>
      </w:r>
    </w:p>
    <w:p w14:paraId="7434A868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“The Supreme Reality – A Comparative Perspective in the Nizāri Ismaili Gināns and in the Sayings of Kabir.” B.A. thesis, Department of Oriental Languages, Stockholm University,</w:t>
      </w:r>
      <w:r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color w:val="000000"/>
        </w:rPr>
        <w:t>1996. 50 pp.</w:t>
      </w:r>
    </w:p>
    <w:p w14:paraId="232D9332" w14:textId="77777777" w:rsidR="00EA60B1" w:rsidRDefault="00EA60B1" w:rsidP="00EA60B1">
      <w:pPr>
        <w:rPr>
          <w:rFonts w:ascii="Gentium" w:hAnsi="Gentium"/>
          <w:color w:val="000000"/>
        </w:rPr>
      </w:pPr>
      <w:r w:rsidRPr="00954D44">
        <w:rPr>
          <w:rFonts w:ascii="Gentium" w:hAnsi="Gentium"/>
          <w:color w:val="000000"/>
        </w:rPr>
        <w:t xml:space="preserve">Mandel, Jerome. “Assassins.” In </w:t>
      </w:r>
      <w:r w:rsidRPr="00954D44">
        <w:rPr>
          <w:rFonts w:ascii="Gentium" w:hAnsi="Gentium"/>
          <w:i/>
          <w:color w:val="000000"/>
        </w:rPr>
        <w:t>Trade, Travel, and Exploration in the Middle Ages: An Encyclopedia</w:t>
      </w:r>
      <w:r w:rsidRPr="00954D44">
        <w:rPr>
          <w:rFonts w:ascii="Gentium" w:hAnsi="Gentium"/>
          <w:color w:val="000000"/>
        </w:rPr>
        <w:t>. Edited by John B. Friedman and Kristen M. Figg, 33-34. New York: Garland Pub</w:t>
      </w:r>
      <w:r>
        <w:rPr>
          <w:rFonts w:ascii="Gentium" w:hAnsi="Gentium"/>
          <w:color w:val="000000"/>
        </w:rPr>
        <w:t>.</w:t>
      </w:r>
      <w:r w:rsidRPr="00954D44">
        <w:rPr>
          <w:rFonts w:ascii="Gentium" w:hAnsi="Gentium"/>
          <w:color w:val="000000"/>
        </w:rPr>
        <w:t>, 2000.</w:t>
      </w:r>
    </w:p>
    <w:p w14:paraId="2674B0EB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Mandel, Jerry. “Hashish, Assassins, and the Love of God.” </w:t>
      </w:r>
      <w:r w:rsidRPr="00660D1C">
        <w:rPr>
          <w:rFonts w:ascii="Gentium" w:hAnsi="Gentium"/>
          <w:i/>
          <w:color w:val="000000"/>
        </w:rPr>
        <w:t>Issues in Criminology</w:t>
      </w:r>
      <w:r w:rsidRPr="00660D1C">
        <w:rPr>
          <w:rFonts w:ascii="Gentium" w:hAnsi="Gentium"/>
          <w:color w:val="000000"/>
        </w:rPr>
        <w:t xml:space="preserve"> 2:2 (1966): 149-156.</w:t>
      </w:r>
    </w:p>
    <w:p w14:paraId="65B3F359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Manduchi, Patrizia. “L’ismailismo: Aspetti spirituali e politici.” M.A. thesis, Facoltà di Scienze Politiche, Università di </w:t>
      </w:r>
      <w:r>
        <w:rPr>
          <w:rFonts w:ascii="Gentium" w:hAnsi="Gentium"/>
          <w:color w:val="000000"/>
        </w:rPr>
        <w:t xml:space="preserve">Cagliari, 1984. xx + 165 pp. </w:t>
      </w:r>
      <w:r w:rsidRPr="00660D1C">
        <w:rPr>
          <w:rFonts w:ascii="Gentium" w:hAnsi="Gentium"/>
          <w:color w:val="000000"/>
        </w:rPr>
        <w:t xml:space="preserve">  </w:t>
      </w:r>
    </w:p>
    <w:p w14:paraId="438B7E37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Maoudoud, Khaled. “Fouille de Qasr al-Qaim à Mahdia.” </w:t>
      </w:r>
      <w:r w:rsidRPr="00660D1C">
        <w:rPr>
          <w:rFonts w:ascii="Gentium" w:hAnsi="Gentium"/>
          <w:i/>
          <w:color w:val="000000"/>
        </w:rPr>
        <w:t>Bulletin des travaux de l’Institut National d’Archéologie et d’Art</w:t>
      </w:r>
      <w:r w:rsidRPr="00660D1C">
        <w:rPr>
          <w:rFonts w:ascii="Gentium" w:hAnsi="Gentium"/>
          <w:color w:val="000000"/>
        </w:rPr>
        <w:t xml:space="preserve"> 4 (1991): 139-159.</w:t>
      </w:r>
    </w:p>
    <w:p w14:paraId="5975D880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Marais, J.J. “Aga Khan,” “Ismailis.” In </w:t>
      </w:r>
      <w:r w:rsidRPr="00660D1C">
        <w:rPr>
          <w:rFonts w:ascii="Gentium" w:hAnsi="Gentium"/>
          <w:i/>
          <w:color w:val="000000"/>
        </w:rPr>
        <w:t>Standard Encyclopaedia of Southern Africa</w:t>
      </w:r>
      <w:r w:rsidRPr="00660D1C">
        <w:rPr>
          <w:rFonts w:ascii="Gentium" w:hAnsi="Gentium"/>
          <w:color w:val="000000"/>
        </w:rPr>
        <w:t>. 12 vols. E</w:t>
      </w:r>
      <w:r>
        <w:rPr>
          <w:rFonts w:ascii="Gentium" w:hAnsi="Gentium"/>
          <w:color w:val="000000"/>
        </w:rPr>
        <w:t>dited by D. J. Potgieter, 1:218;</w:t>
      </w:r>
      <w:r w:rsidRPr="00660D1C">
        <w:rPr>
          <w:rFonts w:ascii="Gentium" w:hAnsi="Gentium"/>
          <w:color w:val="000000"/>
        </w:rPr>
        <w:t xml:space="preserve"> 6:162-163. Cape Town: NASOU, 1970-1976.</w:t>
      </w:r>
    </w:p>
    <w:p w14:paraId="18FF7C25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Marçais, Georges. “Fāṭimid Art.” In </w:t>
      </w:r>
      <w:r w:rsidRPr="00660D1C">
        <w:rPr>
          <w:rFonts w:ascii="Gentium" w:hAnsi="Gentium"/>
          <w:i/>
          <w:color w:val="000000"/>
        </w:rPr>
        <w:t>The Encyclopaedia of Islam</w:t>
      </w:r>
      <w:r w:rsidRPr="00AA1437">
        <w:rPr>
          <w:rFonts w:ascii="Gentium" w:hAnsi="Gentium"/>
        </w:rPr>
        <w:t>. 2</w:t>
      </w:r>
      <w:r w:rsidRPr="00AA1437">
        <w:rPr>
          <w:rFonts w:ascii="Gentium" w:hAnsi="Gentium"/>
          <w:vertAlign w:val="superscript"/>
        </w:rPr>
        <w:t>nd</w:t>
      </w:r>
      <w:r w:rsidRPr="00660D1C">
        <w:rPr>
          <w:rFonts w:ascii="Gentium" w:hAnsi="Gentium"/>
          <w:color w:val="000000"/>
        </w:rPr>
        <w:t xml:space="preserve"> ed. 12 vols. Ed</w:t>
      </w:r>
      <w:r>
        <w:rPr>
          <w:rFonts w:ascii="Gentium" w:hAnsi="Gentium"/>
          <w:color w:val="000000"/>
        </w:rPr>
        <w:t>ited by P.J. Bearman et al., 2:</w:t>
      </w:r>
      <w:r w:rsidRPr="00660D1C">
        <w:rPr>
          <w:rFonts w:ascii="Gentium" w:hAnsi="Gentium"/>
          <w:color w:val="000000"/>
        </w:rPr>
        <w:t xml:space="preserve">862-864. Leiden: E.J. Brill, 1960-2005. </w:t>
      </w:r>
    </w:p>
    <w:p w14:paraId="1C4A6286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Marçais, Georges, and Gaston Wiet. “Le ‘Voile de Sainte Anne’ d’Apt.” </w:t>
      </w:r>
      <w:r w:rsidRPr="00660D1C">
        <w:rPr>
          <w:rFonts w:ascii="Gentium" w:hAnsi="Gentium"/>
          <w:i/>
          <w:color w:val="000000"/>
        </w:rPr>
        <w:t>Monuments et Mémoires publiés par l’Académie des Inscriptions et Belles-Lettres</w:t>
      </w:r>
      <w:r w:rsidRPr="00660D1C">
        <w:rPr>
          <w:rFonts w:ascii="Gentium" w:hAnsi="Gentium"/>
          <w:color w:val="000000"/>
        </w:rPr>
        <w:t xml:space="preserve"> 34 (1934): 177-194.</w:t>
      </w:r>
    </w:p>
    <w:p w14:paraId="6CB2624E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Marhoffer-Wolff, Maria. “Family History as Legitimizing Strategy: The Thui </w:t>
      </w:r>
      <w:r w:rsidRPr="00660D1C">
        <w:rPr>
          <w:rFonts w:ascii="Gentium" w:hAnsi="Gentium"/>
          <w:i/>
          <w:color w:val="000000"/>
        </w:rPr>
        <w:t>Khalīfa</w:t>
      </w:r>
      <w:r w:rsidRPr="00660D1C">
        <w:rPr>
          <w:rFonts w:ascii="Gentium" w:hAnsi="Gentium"/>
          <w:color w:val="000000"/>
        </w:rPr>
        <w:t xml:space="preserve">.” In </w:t>
      </w:r>
      <w:r w:rsidRPr="00660D1C">
        <w:rPr>
          <w:rFonts w:ascii="Gentium" w:hAnsi="Gentium"/>
          <w:i/>
          <w:color w:val="000000"/>
        </w:rPr>
        <w:t>The Past in the Present: Horizons of Remembering in the Pakistan Himalaya</w:t>
      </w:r>
      <w:r w:rsidRPr="00660D1C">
        <w:rPr>
          <w:rFonts w:ascii="Gentium" w:hAnsi="Gentium"/>
          <w:color w:val="000000"/>
        </w:rPr>
        <w:t>. Culture Area Karakorum Scientific Studies 2. Edited by Irmtraud Stellrecht, 135-160. Köln: Rüdiger Köppe, 1997.</w:t>
      </w:r>
    </w:p>
    <w:p w14:paraId="127229F3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Marquet, Yves. “Ikhwān al-Safā</w:t>
      </w:r>
      <w:r w:rsidRPr="00660D1C">
        <w:rPr>
          <w:rFonts w:ascii="Calibri" w:hAnsi="Calibri" w:cs="Calibri"/>
          <w:color w:val="000000"/>
        </w:rPr>
        <w:t>ʾ</w:t>
      </w:r>
      <w:r w:rsidRPr="00660D1C">
        <w:rPr>
          <w:rFonts w:ascii="Gentium" w:hAnsi="Gentium"/>
          <w:color w:val="000000"/>
        </w:rPr>
        <w:t xml:space="preserve">.” In </w:t>
      </w:r>
      <w:r w:rsidRPr="00660D1C">
        <w:rPr>
          <w:rFonts w:ascii="Gentium" w:hAnsi="Gentium"/>
          <w:i/>
          <w:color w:val="000000"/>
        </w:rPr>
        <w:t>Dictionary of Scientific Biography</w:t>
      </w:r>
      <w:r w:rsidRPr="00660D1C">
        <w:rPr>
          <w:rFonts w:ascii="Gentium" w:hAnsi="Gentium"/>
          <w:color w:val="000000"/>
        </w:rPr>
        <w:t>. 16 vols. Edited by Charles Coulston Gillispie, 15:249-251. New York: Scribner, 1970-1980.</w:t>
      </w:r>
    </w:p>
    <w:p w14:paraId="40BFFA10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Martínez Salvador, Carmen. “Moneda fatimí en hallazgos peninsulares.” </w:t>
      </w:r>
      <w:r w:rsidRPr="00660D1C">
        <w:rPr>
          <w:rFonts w:ascii="Gentium" w:hAnsi="Gentium"/>
          <w:i/>
          <w:color w:val="000000"/>
        </w:rPr>
        <w:t>Gaceta Numismática</w:t>
      </w:r>
      <w:r w:rsidRPr="00660D1C">
        <w:rPr>
          <w:rFonts w:ascii="Gentium" w:hAnsi="Gentium"/>
          <w:color w:val="000000"/>
        </w:rPr>
        <w:t xml:space="preserve"> 97-98 (1990): 135-141.</w:t>
      </w:r>
    </w:p>
    <w:p w14:paraId="1FE906CA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Martínez Salvador, Carmen, and Francisco J. Navarro Suárez. “Relaciones Económicas entre Omeyas y Fatimies en el Mediterráneo Occidental (Siglos X y XI).” In </w:t>
      </w:r>
      <w:r w:rsidRPr="00660D1C">
        <w:rPr>
          <w:rFonts w:ascii="Gentium" w:hAnsi="Gentium"/>
          <w:i/>
          <w:color w:val="000000"/>
        </w:rPr>
        <w:t>Mediterranean Perspectives: Literature, Social Studies and Philosophy</w:t>
      </w:r>
      <w:r w:rsidRPr="00660D1C">
        <w:rPr>
          <w:rFonts w:ascii="Gentium" w:hAnsi="Gentium"/>
          <w:color w:val="000000"/>
        </w:rPr>
        <w:t>. Edited by James E. Caraway, 97-110. Oakdale, N.Y.: Dowling College Press, 1996.</w:t>
      </w:r>
    </w:p>
    <w:p w14:paraId="49B63817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Marzouk, Muhammad Abdul Aziz. “Fatimid Art: Decorative Arts.” In </w:t>
      </w:r>
      <w:r w:rsidRPr="00660D1C">
        <w:rPr>
          <w:rFonts w:ascii="Gentium" w:hAnsi="Gentium"/>
          <w:i/>
          <w:color w:val="000000"/>
        </w:rPr>
        <w:t>Encyclopedia of World Art</w:t>
      </w:r>
      <w:r w:rsidRPr="00660D1C">
        <w:rPr>
          <w:rFonts w:ascii="Gentium" w:hAnsi="Gentium"/>
          <w:color w:val="000000"/>
        </w:rPr>
        <w:t>. 17 vols. Edited by Bernard Samuel Myers, 5:364-369. New York: McGraw-Hill, 1959-1987.</w:t>
      </w:r>
    </w:p>
    <w:p w14:paraId="6E92B9D9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Mastelloni, Maria Amalia. “Aspetti fatimiti del potere normanno a Messina.” </w:t>
      </w:r>
      <w:r w:rsidRPr="00660D1C">
        <w:rPr>
          <w:rFonts w:ascii="Gentium" w:hAnsi="Gentium"/>
          <w:i/>
          <w:color w:val="000000"/>
        </w:rPr>
        <w:t>Quaderni dell’attività didattica del Museo regionale di Messina</w:t>
      </w:r>
      <w:r w:rsidRPr="00660D1C">
        <w:rPr>
          <w:rFonts w:ascii="Gentium" w:hAnsi="Gentium"/>
          <w:color w:val="000000"/>
        </w:rPr>
        <w:t xml:space="preserve"> 6 (1997): 135-160.</w:t>
      </w:r>
    </w:p>
    <w:p w14:paraId="0DF09E77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“Porfidi egizi ed influssi fatimiti nelle coniazioni e nelle produzioni normanne.” In </w:t>
      </w:r>
      <w:r w:rsidRPr="00660D1C">
        <w:rPr>
          <w:rFonts w:ascii="Gentium" w:hAnsi="Gentium"/>
          <w:i/>
          <w:color w:val="000000"/>
        </w:rPr>
        <w:t>L’E</w:t>
      </w:r>
      <w:r>
        <w:rPr>
          <w:rFonts w:ascii="Gentium" w:hAnsi="Gentium"/>
          <w:i/>
          <w:color w:val="000000"/>
        </w:rPr>
        <w:t xml:space="preserve">gitto in Italia: </w:t>
      </w:r>
      <w:r w:rsidRPr="00660D1C">
        <w:rPr>
          <w:rFonts w:ascii="Gentium" w:hAnsi="Gentium"/>
          <w:i/>
          <w:color w:val="000000"/>
        </w:rPr>
        <w:t>Dall’antichitá</w:t>
      </w:r>
      <w:r>
        <w:rPr>
          <w:rFonts w:ascii="Gentium" w:hAnsi="Gentium"/>
          <w:i/>
          <w:color w:val="000000"/>
        </w:rPr>
        <w:t xml:space="preserve"> al Medioevo;</w:t>
      </w:r>
      <w:r w:rsidRPr="00660D1C">
        <w:rPr>
          <w:rFonts w:ascii="Gentium" w:hAnsi="Gentium"/>
          <w:i/>
          <w:color w:val="000000"/>
        </w:rPr>
        <w:t xml:space="preserve"> Atti del III Congresso Internazionale Italo-Egiziano, Roma, CNR-Pompei, 13-19 Novembre 1995</w:t>
      </w:r>
      <w:r w:rsidRPr="00660D1C">
        <w:rPr>
          <w:rFonts w:ascii="Gentium" w:hAnsi="Gentium"/>
          <w:color w:val="000000"/>
        </w:rPr>
        <w:t>. Monografie scientifiche. Edited by Nicola Bonacasa et al., 715-738. Roma: Consiglio nazionale delle ricerche, 1998.</w:t>
      </w:r>
    </w:p>
    <w:p w14:paraId="62FBEC9B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Matsumoto, Akiro. “On Love Theory in Islamic Philosophy: ‘The Brethren of Purity’ and Ibn Sina.” </w:t>
      </w:r>
      <w:r w:rsidRPr="0000219F">
        <w:rPr>
          <w:rFonts w:ascii="Gentium" w:hAnsi="Gentium"/>
          <w:i/>
        </w:rPr>
        <w:t>The</w:t>
      </w:r>
      <w:r w:rsidRPr="00660D1C">
        <w:rPr>
          <w:rFonts w:ascii="Gentium" w:hAnsi="Gentium"/>
          <w:i/>
          <w:color w:val="000000"/>
        </w:rPr>
        <w:t xml:space="preserve"> Sapientia University Review</w:t>
      </w:r>
      <w:r w:rsidRPr="00660D1C">
        <w:rPr>
          <w:rFonts w:ascii="Gentium" w:hAnsi="Gentium"/>
          <w:color w:val="000000"/>
        </w:rPr>
        <w:t xml:space="preserve"> 35 (2001): 1-20. [In Japanese with English Summary]</w:t>
      </w:r>
    </w:p>
    <w:p w14:paraId="75B0EB0B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Matthews, Kim Christina. “Shiftings of the Self: Toward a Deterritorialized View of Identity and Belonging; The Case of East and Central African-Asians in Canada.” M.A thesis, Department of Sociology and Anthropology, Concordia University, 2000. iv + 124 pp.</w:t>
      </w:r>
    </w:p>
    <w:p w14:paraId="1F36050D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“Boundaries of Diaspora Identity: The Case of Central and East African-Asians in Canada.” In </w:t>
      </w:r>
      <w:r w:rsidRPr="00660D1C">
        <w:rPr>
          <w:rFonts w:ascii="Gentium" w:hAnsi="Gentium"/>
          <w:i/>
          <w:color w:val="000000"/>
        </w:rPr>
        <w:t>Communities Across Borders: New Immigrants and Transnational Cultures</w:t>
      </w:r>
      <w:r w:rsidRPr="00660D1C">
        <w:rPr>
          <w:rFonts w:ascii="Gentium" w:hAnsi="Gentium"/>
          <w:color w:val="000000"/>
        </w:rPr>
        <w:t>. Routledge Research in Transnationalism 5. Edited by Paul T. Kennedy and Victor Roudometof, 68-82. London: Routledge, 2002.</w:t>
      </w:r>
    </w:p>
    <w:p w14:paraId="766C8788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Mawani, Sharmina. “Devotional Songs of the South Asian Nizari Ismailis in Toronto: The Attitudes of the Older Generation.” M.Sc. thesis, London School of Economics and Political Science, 2002. [U]</w:t>
      </w:r>
    </w:p>
    <w:p w14:paraId="3C985502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Mawani, Sharmina, and Anjoom A. Mukadam. “Turning Back the Clocks: Linguistic Identity amongst Diasporic and Post-Diasporic Gujaratis in the West.” </w:t>
      </w:r>
      <w:r w:rsidRPr="00660D1C">
        <w:rPr>
          <w:rFonts w:ascii="Gentium" w:hAnsi="Gentium"/>
          <w:i/>
          <w:color w:val="000000"/>
        </w:rPr>
        <w:t>CamLing</w:t>
      </w:r>
      <w:r w:rsidRPr="00660D1C">
        <w:rPr>
          <w:rFonts w:ascii="Gentium" w:hAnsi="Gentium"/>
          <w:color w:val="000000"/>
        </w:rPr>
        <w:t xml:space="preserve"> (2003): 324-330.  </w:t>
      </w:r>
    </w:p>
    <w:p w14:paraId="3B01F715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Mazot, Sibylle. “The Fatimids.” In </w:t>
      </w:r>
      <w:r w:rsidRPr="00660D1C">
        <w:rPr>
          <w:rFonts w:ascii="Gentium" w:hAnsi="Gentium"/>
          <w:i/>
          <w:color w:val="000000"/>
        </w:rPr>
        <w:t>Islam: Art and Architecture</w:t>
      </w:r>
      <w:r w:rsidRPr="00660D1C">
        <w:rPr>
          <w:rFonts w:ascii="Gentium" w:hAnsi="Gentium"/>
          <w:color w:val="000000"/>
        </w:rPr>
        <w:t>. Edited by Markus Hattstein and Peter Delius, 140-158, 605. Cologne: Könemann, 2000.</w:t>
      </w:r>
    </w:p>
    <w:p w14:paraId="5570B3CC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“Fatimid Influences in Sicily and Southern Italy.” In </w:t>
      </w:r>
      <w:r w:rsidRPr="00660D1C">
        <w:rPr>
          <w:rFonts w:ascii="Gentium" w:hAnsi="Gentium"/>
          <w:i/>
          <w:color w:val="000000"/>
        </w:rPr>
        <w:t>Islam: Art and Architecture</w:t>
      </w:r>
      <w:r w:rsidRPr="00660D1C">
        <w:rPr>
          <w:rFonts w:ascii="Gentium" w:hAnsi="Gentium"/>
          <w:color w:val="000000"/>
        </w:rPr>
        <w:t>. Edited by Markus Hattstein and Peter Delius, 159-163, 605. Cologne: Könemann, 2000.</w:t>
      </w:r>
    </w:p>
    <w:p w14:paraId="5FAE8AC6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McCarthy, Kevin M. “The Origin of </w:t>
      </w:r>
      <w:r w:rsidRPr="00660D1C">
        <w:rPr>
          <w:rFonts w:ascii="Gentium" w:hAnsi="Gentium"/>
          <w:i/>
          <w:color w:val="000000"/>
        </w:rPr>
        <w:t>Assassin</w:t>
      </w:r>
      <w:r w:rsidRPr="00660D1C">
        <w:rPr>
          <w:rFonts w:ascii="Gentium" w:hAnsi="Gentium"/>
          <w:color w:val="000000"/>
        </w:rPr>
        <w:t xml:space="preserve">.” </w:t>
      </w:r>
      <w:r w:rsidRPr="00660D1C">
        <w:rPr>
          <w:rFonts w:ascii="Gentium" w:hAnsi="Gentium"/>
          <w:i/>
          <w:color w:val="000000"/>
        </w:rPr>
        <w:t>American Speech</w:t>
      </w:r>
      <w:r w:rsidRPr="00660D1C">
        <w:rPr>
          <w:rFonts w:ascii="Gentium" w:hAnsi="Gentium"/>
          <w:color w:val="000000"/>
        </w:rPr>
        <w:t xml:space="preserve"> 48:1-2 (1973): 77-83.</w:t>
      </w:r>
    </w:p>
    <w:p w14:paraId="460EBCD3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Meherally, Akbarally. </w:t>
      </w:r>
      <w:r w:rsidRPr="00660D1C">
        <w:rPr>
          <w:rFonts w:ascii="Gentium" w:hAnsi="Gentium"/>
          <w:i/>
          <w:color w:val="000000"/>
        </w:rPr>
        <w:t>From Abraham to Aga Khan</w:t>
      </w:r>
      <w:r w:rsidRPr="00660D1C">
        <w:rPr>
          <w:rFonts w:ascii="Gentium" w:hAnsi="Gentium"/>
          <w:color w:val="000000"/>
        </w:rPr>
        <w:t>. Vancouver, B.C.: Akbaraly Mehirnally, 1982. 43 pp.</w:t>
      </w:r>
    </w:p>
    <w:p w14:paraId="3E6EBDE6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</w:t>
      </w:r>
      <w:r w:rsidRPr="00660D1C">
        <w:rPr>
          <w:rFonts w:ascii="Gentium" w:hAnsi="Gentium"/>
          <w:i/>
          <w:color w:val="000000"/>
        </w:rPr>
        <w:t>Understanding Ismailism: A Unique Tariqah of Islam</w:t>
      </w:r>
      <w:r w:rsidRPr="00660D1C">
        <w:rPr>
          <w:rFonts w:ascii="Gentium" w:hAnsi="Gentium"/>
          <w:color w:val="000000"/>
        </w:rPr>
        <w:t>. Burnaby, B.C.: A.M. Trust, 1988. 171 pp.</w:t>
      </w:r>
    </w:p>
    <w:p w14:paraId="3977F2D4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</w:t>
      </w:r>
      <w:r w:rsidRPr="00660D1C">
        <w:rPr>
          <w:rFonts w:ascii="Gentium" w:hAnsi="Gentium"/>
          <w:i/>
          <w:color w:val="000000"/>
        </w:rPr>
        <w:t>A History of the Agakhani Ismailis</w:t>
      </w:r>
      <w:r w:rsidRPr="00660D1C">
        <w:rPr>
          <w:rFonts w:ascii="Gentium" w:hAnsi="Gentium"/>
          <w:color w:val="000000"/>
        </w:rPr>
        <w:t>. Burnaby, B.C.: A.M. Trust, 1991. 195 pp.</w:t>
      </w:r>
    </w:p>
    <w:p w14:paraId="49AB736D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Meinecke, Michael. “Materialien zu fāṭimidischen Holzdekorationen in Kairo II: Die Holzpanele der Moschee des Aḥmad Bāy Kuḥya.” </w:t>
      </w:r>
      <w:r w:rsidRPr="00660D1C">
        <w:rPr>
          <w:rFonts w:ascii="Gentium" w:hAnsi="Gentium"/>
          <w:i/>
          <w:color w:val="000000"/>
        </w:rPr>
        <w:t>Mitteilungen des Deutschen Archäologischen Instituts - Abteilung Kairo (Festschrift Werner Kaiser)</w:t>
      </w:r>
      <w:r w:rsidRPr="00660D1C">
        <w:rPr>
          <w:rFonts w:ascii="Gentium" w:hAnsi="Gentium"/>
          <w:color w:val="000000"/>
        </w:rPr>
        <w:t xml:space="preserve"> 47 (1991): 235-242.</w:t>
      </w:r>
    </w:p>
    <w:p w14:paraId="5177F038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Melt</w:t>
      </w:r>
      <w:r>
        <w:rPr>
          <w:rFonts w:ascii="Gentium" w:hAnsi="Gentium"/>
          <w:color w:val="000000"/>
        </w:rPr>
        <w:t xml:space="preserve">on, </w:t>
      </w:r>
      <w:r w:rsidRPr="00660D1C">
        <w:rPr>
          <w:rFonts w:ascii="Gentium" w:hAnsi="Gentium"/>
          <w:color w:val="000000"/>
        </w:rPr>
        <w:t xml:space="preserve">J. Gordon. “Assassins.” In </w:t>
      </w:r>
      <w:r w:rsidRPr="00660D1C">
        <w:rPr>
          <w:rFonts w:ascii="Gentium" w:hAnsi="Gentium"/>
          <w:i/>
          <w:color w:val="000000"/>
        </w:rPr>
        <w:t>Encyclopedia of Occultism and Parapsychology</w:t>
      </w:r>
      <w:r w:rsidRPr="00AA1437">
        <w:rPr>
          <w:rFonts w:ascii="Gentium" w:hAnsi="Gentium"/>
        </w:rPr>
        <w:t>. 5</w:t>
      </w:r>
      <w:r w:rsidRPr="00AA1437">
        <w:rPr>
          <w:rFonts w:ascii="Gentium" w:hAnsi="Gentium"/>
          <w:vertAlign w:val="superscript"/>
        </w:rPr>
        <w:t>th</w:t>
      </w:r>
      <w:r w:rsidRPr="00660D1C">
        <w:rPr>
          <w:rFonts w:ascii="Gentium" w:hAnsi="Gentium"/>
          <w:color w:val="000000"/>
        </w:rPr>
        <w:t xml:space="preserve"> ed. 2 vols. 1:96-97. Detroit: Gale Group, 2001.</w:t>
      </w:r>
    </w:p>
    <w:p w14:paraId="01476319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“His Highness Prince Aga Khan Shia Imani </w:t>
      </w:r>
      <w:r w:rsidRPr="00F035A1">
        <w:rPr>
          <w:rFonts w:ascii="Gentium" w:hAnsi="Gentium"/>
          <w:color w:val="000000"/>
        </w:rPr>
        <w:t>[</w:t>
      </w:r>
      <w:r w:rsidRPr="00F035A1">
        <w:rPr>
          <w:rFonts w:ascii="Gentium" w:hAnsi="Gentium"/>
          <w:i/>
          <w:color w:val="000000"/>
        </w:rPr>
        <w:t>sic</w:t>
      </w:r>
      <w:r w:rsidRPr="00F035A1">
        <w:rPr>
          <w:rFonts w:ascii="Gentium" w:hAnsi="Gentium"/>
          <w:color w:val="000000"/>
        </w:rPr>
        <w:t>]</w:t>
      </w:r>
      <w:r w:rsidRPr="00660D1C">
        <w:rPr>
          <w:rFonts w:ascii="Gentium" w:hAnsi="Gentium"/>
          <w:color w:val="000000"/>
        </w:rPr>
        <w:t xml:space="preserve"> Ismaili Council for the United States of America,” “Shiah Fatimi Ismaili Tayyibi Dawoodi Bohra (Daudi Bohras).” In </w:t>
      </w:r>
      <w:r w:rsidRPr="00660D1C">
        <w:rPr>
          <w:rFonts w:ascii="Gentium" w:hAnsi="Gentium"/>
          <w:i/>
          <w:color w:val="000000"/>
        </w:rPr>
        <w:t>Encyclopedia of American Religions</w:t>
      </w:r>
      <w:r w:rsidRPr="00AA1437">
        <w:rPr>
          <w:rFonts w:ascii="Gentium" w:hAnsi="Gentium"/>
        </w:rPr>
        <w:t>. 7</w:t>
      </w:r>
      <w:r w:rsidRPr="00AA1437">
        <w:rPr>
          <w:rFonts w:ascii="Gentium" w:hAnsi="Gentium"/>
          <w:vertAlign w:val="superscript"/>
        </w:rPr>
        <w:t>th</w:t>
      </w:r>
      <w:r w:rsidRPr="00AA1437">
        <w:rPr>
          <w:rFonts w:ascii="Gentium" w:hAnsi="Gentium"/>
        </w:rPr>
        <w:t xml:space="preserve"> ed.,</w:t>
      </w:r>
      <w:r>
        <w:rPr>
          <w:rFonts w:ascii="Gentium" w:hAnsi="Gentium"/>
          <w:color w:val="000000"/>
        </w:rPr>
        <w:t xml:space="preserve"> 964-965; </w:t>
      </w:r>
      <w:r w:rsidRPr="00660D1C">
        <w:rPr>
          <w:rFonts w:ascii="Gentium" w:hAnsi="Gentium"/>
          <w:color w:val="000000"/>
        </w:rPr>
        <w:t>967-968. Detroit: Gale, 2003.</w:t>
      </w:r>
    </w:p>
    <w:p w14:paraId="2AB165E3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Melton, J. Gordon, and Martin Baumann, eds. “Bohras (Islam),” “His Highness Prince Aga Khan Shia Imami Ismaili Council,” “Ismaili Islam,” “Shiah Fatimi Ismaili Tayyibi Dawoodi Bohra.” In </w:t>
      </w:r>
      <w:r w:rsidRPr="00660D1C">
        <w:rPr>
          <w:rFonts w:ascii="Gentium" w:hAnsi="Gentium"/>
          <w:i/>
          <w:color w:val="000000"/>
        </w:rPr>
        <w:t>Religions of the World: A Comprehensive Encyclopedia of Beliefs and Practices</w:t>
      </w:r>
      <w:r w:rsidRPr="00660D1C">
        <w:rPr>
          <w:rFonts w:ascii="Gentium" w:hAnsi="Gentium"/>
          <w:color w:val="000000"/>
        </w:rPr>
        <w:t>. 4 vols. Santa Barbara, Calif: ABC-CLIO, 2002.</w:t>
      </w:r>
    </w:p>
    <w:p w14:paraId="729E8AF5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Meouak, Mohamed. “Identité nationale et hégémonie territoriale: Les Umayyades et les Fāṭimids au Maghreb.” </w:t>
      </w:r>
      <w:r w:rsidRPr="00660D1C">
        <w:rPr>
          <w:rFonts w:ascii="Gentium" w:hAnsi="Gentium"/>
          <w:i/>
          <w:color w:val="000000"/>
        </w:rPr>
        <w:t xml:space="preserve">Orientalia Suecana </w:t>
      </w:r>
      <w:r w:rsidRPr="00660D1C">
        <w:rPr>
          <w:rFonts w:ascii="Gentium" w:hAnsi="Gentium"/>
          <w:color w:val="000000"/>
        </w:rPr>
        <w:t>47 (1998): 105-110.</w:t>
      </w:r>
    </w:p>
    <w:p w14:paraId="4745C803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Mernissi, Fatima. </w:t>
      </w:r>
      <w:r w:rsidRPr="004A406F">
        <w:rPr>
          <w:rFonts w:ascii="Gentium" w:hAnsi="Gentium"/>
          <w:color w:val="000000"/>
        </w:rPr>
        <w:t xml:space="preserve">“La dynastie Shiite du Yemen.” Chap. 7 in </w:t>
      </w:r>
      <w:r w:rsidRPr="004A406F">
        <w:rPr>
          <w:rFonts w:ascii="Gentium" w:hAnsi="Gentium"/>
          <w:i/>
          <w:color w:val="000000"/>
        </w:rPr>
        <w:t>Sultanes oubliées: Femmes chefs d’Etat en Islam</w:t>
      </w:r>
      <w:r w:rsidRPr="004A406F">
        <w:rPr>
          <w:rFonts w:ascii="Gentium" w:hAnsi="Gentium"/>
          <w:color w:val="000000"/>
        </w:rPr>
        <w:t>, 157-190, 277-282. Paris: Albin Michel, 1990.</w:t>
      </w:r>
    </w:p>
    <w:p w14:paraId="5B16E5A4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</w:t>
      </w:r>
      <w:r w:rsidRPr="004A406F">
        <w:rPr>
          <w:rFonts w:ascii="Gentium" w:hAnsi="Gentium"/>
          <w:color w:val="000000"/>
        </w:rPr>
        <w:t xml:space="preserve">“Les petites reines de Saba.” Chap. 8 in </w:t>
      </w:r>
      <w:r w:rsidRPr="004A406F">
        <w:rPr>
          <w:rFonts w:ascii="Gentium" w:hAnsi="Gentium"/>
          <w:i/>
          <w:color w:val="000000"/>
        </w:rPr>
        <w:t>Sultanes oubliées: Femmes chefs d’Etat en Islam</w:t>
      </w:r>
      <w:r w:rsidRPr="004A406F">
        <w:rPr>
          <w:rFonts w:ascii="Gentium" w:hAnsi="Gentium"/>
          <w:color w:val="000000"/>
        </w:rPr>
        <w:t>, 191-218, 282-286. Paris: Albin Michel, 1990.</w:t>
      </w:r>
    </w:p>
    <w:p w14:paraId="1874BA85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 ___. </w:t>
      </w:r>
      <w:r w:rsidRPr="004A406F">
        <w:rPr>
          <w:rFonts w:ascii="Gentium" w:hAnsi="Gentium"/>
          <w:color w:val="000000"/>
        </w:rPr>
        <w:t xml:space="preserve">“La dame du Caire.” Chap. 9 in </w:t>
      </w:r>
      <w:r w:rsidRPr="004A406F">
        <w:rPr>
          <w:rFonts w:ascii="Gentium" w:hAnsi="Gentium"/>
          <w:i/>
          <w:color w:val="000000"/>
        </w:rPr>
        <w:t>Sultanes oubliées: Femmes chefs d’Etat en Islam</w:t>
      </w:r>
      <w:r w:rsidRPr="004A406F">
        <w:rPr>
          <w:rFonts w:ascii="Gentium" w:hAnsi="Gentium"/>
          <w:color w:val="000000"/>
        </w:rPr>
        <w:t>, 219-245, 286-290. Paris: Albin Michel, 1990.</w:t>
      </w:r>
    </w:p>
    <w:p w14:paraId="5124300C" w14:textId="77777777" w:rsidR="00EA60B1" w:rsidRPr="00660D1C" w:rsidRDefault="00EA60B1" w:rsidP="00EA60B1">
      <w:pPr>
        <w:rPr>
          <w:rFonts w:ascii="Gentium" w:hAnsi="Gentium"/>
          <w:color w:val="000000"/>
        </w:rPr>
      </w:pPr>
      <w:r>
        <w:rPr>
          <w:rFonts w:ascii="Gentium" w:hAnsi="Gentium"/>
          <w:color w:val="000000"/>
        </w:rPr>
        <w:t xml:space="preserve">Meyerhof, Max. </w:t>
      </w:r>
      <w:r w:rsidRPr="00660D1C">
        <w:rPr>
          <w:rFonts w:ascii="Gentium" w:hAnsi="Gentium"/>
          <w:color w:val="000000"/>
        </w:rPr>
        <w:t xml:space="preserve">“Jewish Physicians under the Reign of the Fatimid Caliphs in Egypt (969-1171 C.E.).” </w:t>
      </w:r>
      <w:r w:rsidRPr="00660D1C">
        <w:rPr>
          <w:rFonts w:ascii="Gentium" w:hAnsi="Gentium"/>
          <w:i/>
          <w:color w:val="000000"/>
        </w:rPr>
        <w:t>Medical Leaves</w:t>
      </w:r>
      <w:r w:rsidRPr="00660D1C">
        <w:rPr>
          <w:rFonts w:ascii="Gentium" w:hAnsi="Gentium"/>
          <w:color w:val="000000"/>
        </w:rPr>
        <w:t xml:space="preserve"> 2 (1939): 131-139.</w:t>
      </w:r>
    </w:p>
    <w:p w14:paraId="74540AE2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Mills, Margaret A. “A</w:t>
      </w:r>
      <w:r w:rsidRPr="007E6D21">
        <w:rPr>
          <w:rFonts w:ascii="Gentium" w:hAnsi="Gentium"/>
        </w:rPr>
        <w:t xml:space="preserve"> Cinderella</w:t>
      </w:r>
      <w:r w:rsidRPr="001A43A8">
        <w:rPr>
          <w:rFonts w:ascii="Gentium" w:hAnsi="Gentium"/>
          <w:color w:val="FF0000"/>
        </w:rPr>
        <w:t xml:space="preserve"> </w:t>
      </w:r>
      <w:r w:rsidRPr="00660D1C">
        <w:rPr>
          <w:rFonts w:ascii="Gentium" w:hAnsi="Gentium"/>
          <w:color w:val="000000"/>
        </w:rPr>
        <w:t xml:space="preserve">Variant in the Context of a Muslim Women’s Ritual.” In </w:t>
      </w:r>
      <w:r w:rsidRPr="00660D1C">
        <w:rPr>
          <w:rFonts w:ascii="Gentium" w:hAnsi="Gentium"/>
          <w:i/>
          <w:color w:val="000000"/>
        </w:rPr>
        <w:t>Cinderella: A Folklore Casebook</w:t>
      </w:r>
      <w:r w:rsidRPr="00660D1C">
        <w:rPr>
          <w:rFonts w:ascii="Gentium" w:hAnsi="Gentium"/>
          <w:color w:val="000000"/>
        </w:rPr>
        <w:t>. Garland Folklore Casebooks 3. Edited by Alan Dundes, 180-192. New York: Garland Pub., 1982.</w:t>
      </w:r>
    </w:p>
    <w:p w14:paraId="573267BA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Misra, Satish Chandra. “Dissent and Reform in Medieval India: A Case Study of the Ismaili Nizari Mission in Gujarat.” In </w:t>
      </w:r>
      <w:r w:rsidRPr="00660D1C">
        <w:rPr>
          <w:rFonts w:ascii="Gentium" w:hAnsi="Gentium"/>
          <w:i/>
          <w:color w:val="000000"/>
        </w:rPr>
        <w:t>Dissent, Protest, and Reform in Indian Civilization</w:t>
      </w:r>
      <w:r w:rsidRPr="00660D1C">
        <w:rPr>
          <w:rFonts w:ascii="Gentium" w:hAnsi="Gentium"/>
          <w:color w:val="000000"/>
        </w:rPr>
        <w:t>. Studies in Indian and Asian Civilizations. Edited by Subhash Chandra Malik</w:t>
      </w:r>
      <w:r>
        <w:rPr>
          <w:rFonts w:ascii="Gentium" w:hAnsi="Gentium"/>
          <w:color w:val="000000"/>
        </w:rPr>
        <w:t xml:space="preserve">, </w:t>
      </w:r>
      <w:r w:rsidRPr="00660D1C">
        <w:rPr>
          <w:rFonts w:ascii="Gentium" w:hAnsi="Gentium"/>
          <w:color w:val="000000"/>
        </w:rPr>
        <w:t>145-158. Simla: Indian Institute of Advanced Study, 1977.</w:t>
      </w:r>
    </w:p>
    <w:p w14:paraId="43C22C80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Mitha, Farouk. “The Role of Religious Education in the Context of the Emerging Canadian Ismā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>īlī Identity.” M.A. thesis, Institute of Education, Univers</w:t>
      </w:r>
      <w:r>
        <w:rPr>
          <w:rFonts w:ascii="Gentium" w:hAnsi="Gentium"/>
          <w:color w:val="000000"/>
        </w:rPr>
        <w:t xml:space="preserve">ity of London, 1986. 143 pp. </w:t>
      </w:r>
    </w:p>
    <w:p w14:paraId="0B3213DA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Mithani, Ahmed K. “The Compendium of </w:t>
      </w:r>
      <w:r w:rsidRPr="0000219F">
        <w:rPr>
          <w:rFonts w:ascii="Gentium" w:hAnsi="Gentium"/>
          <w:i/>
        </w:rPr>
        <w:t>Ginan-e-Sharrif</w:t>
      </w:r>
      <w:r w:rsidRPr="0000219F">
        <w:rPr>
          <w:rFonts w:ascii="Gentium" w:hAnsi="Gentium"/>
        </w:rPr>
        <w:t>.”</w:t>
      </w:r>
      <w:r w:rsidRPr="00660D1C">
        <w:rPr>
          <w:rFonts w:ascii="Gentium" w:hAnsi="Gentium"/>
          <w:color w:val="000000"/>
        </w:rPr>
        <w:t xml:space="preserve"> In </w:t>
      </w:r>
      <w:r>
        <w:rPr>
          <w:rFonts w:ascii="Gentium" w:hAnsi="Gentium"/>
          <w:i/>
          <w:color w:val="000000"/>
        </w:rPr>
        <w:t>SOS</w:t>
      </w:r>
      <w:r w:rsidRPr="00660D1C">
        <w:rPr>
          <w:rFonts w:ascii="Gentium" w:hAnsi="Gentium"/>
          <w:color w:val="000000"/>
        </w:rPr>
        <w:t>, 134-137.</w:t>
      </w:r>
    </w:p>
    <w:p w14:paraId="1B305482" w14:textId="77777777" w:rsidR="00EA60B1" w:rsidRDefault="00EA60B1" w:rsidP="00EA60B1">
      <w:pPr>
        <w:rPr>
          <w:rFonts w:ascii="Gentium" w:hAnsi="Gentium"/>
          <w:color w:val="000000"/>
        </w:rPr>
      </w:pPr>
      <w:r w:rsidRPr="00266F1E">
        <w:rPr>
          <w:rFonts w:ascii="Gentium" w:hAnsi="Gentium"/>
          <w:color w:val="000000"/>
        </w:rPr>
        <w:t>Mochref, Reza. “Hasan Sabbâh (1090-1124): Essai d’ethnologie religieuse et historique en Iran.” Thèse de doctorat de 3</w:t>
      </w:r>
      <w:r w:rsidRPr="00266F1E">
        <w:rPr>
          <w:rFonts w:ascii="Gentium" w:hAnsi="Gentium"/>
          <w:color w:val="000000"/>
          <w:vertAlign w:val="superscript"/>
        </w:rPr>
        <w:t xml:space="preserve">e </w:t>
      </w:r>
      <w:r w:rsidRPr="00266F1E">
        <w:rPr>
          <w:rFonts w:ascii="Gentium" w:hAnsi="Gentium"/>
          <w:color w:val="000000"/>
        </w:rPr>
        <w:t>cycle, Université de Paris VII, 1975. 210 pp.</w:t>
      </w:r>
    </w:p>
    <w:p w14:paraId="2826CF8D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Mohamad, Ismail. “Pemikiran Politik Ikhwān al-Ṣafā</w:t>
      </w:r>
      <w:r w:rsidRPr="00660D1C">
        <w:rPr>
          <w:rFonts w:ascii="Calibri" w:hAnsi="Calibri" w:cs="Calibri"/>
          <w:color w:val="000000"/>
        </w:rPr>
        <w:t>ʾ</w:t>
      </w:r>
      <w:r w:rsidRPr="00660D1C">
        <w:rPr>
          <w:rFonts w:ascii="Gentium" w:hAnsi="Gentium"/>
          <w:color w:val="000000"/>
        </w:rPr>
        <w:t>.” [The Political Thought of the Ikhwān al-Ṣafā</w:t>
      </w:r>
      <w:r w:rsidRPr="00660D1C">
        <w:rPr>
          <w:rFonts w:ascii="Calibri" w:hAnsi="Calibri" w:cs="Calibri"/>
          <w:color w:val="000000"/>
        </w:rPr>
        <w:t>ʾ</w:t>
      </w:r>
      <w:r w:rsidRPr="00660D1C">
        <w:rPr>
          <w:rFonts w:ascii="Gentium" w:hAnsi="Gentium"/>
          <w:color w:val="000000"/>
        </w:rPr>
        <w:t>] Ph.</w:t>
      </w:r>
      <w:r>
        <w:rPr>
          <w:rFonts w:ascii="Gentium" w:hAnsi="Gentium"/>
          <w:color w:val="000000"/>
        </w:rPr>
        <w:t>D. diss., University of Malaya</w:t>
      </w:r>
      <w:r w:rsidRPr="00660D1C">
        <w:rPr>
          <w:rFonts w:ascii="Gentium" w:hAnsi="Gentium"/>
          <w:color w:val="000000"/>
        </w:rPr>
        <w:t>, 1993. xiii + 517 pp. [In Malay with English Summary]</w:t>
      </w:r>
    </w:p>
    <w:p w14:paraId="73F52345" w14:textId="77777777" w:rsidR="00EA60B1" w:rsidRPr="00660D1C" w:rsidRDefault="00EA60B1" w:rsidP="00EA60B1">
      <w:pPr>
        <w:rPr>
          <w:rFonts w:ascii="Gentium" w:hAnsi="Gentium"/>
          <w:color w:val="FF0000"/>
        </w:rPr>
      </w:pPr>
      <w:r w:rsidRPr="00660D1C">
        <w:rPr>
          <w:rFonts w:ascii="Gentium" w:hAnsi="Gentium"/>
          <w:color w:val="000000"/>
        </w:rPr>
        <w:t xml:space="preserve">Mohamed, H. E. </w:t>
      </w:r>
      <w:r w:rsidRPr="00660D1C">
        <w:rPr>
          <w:rFonts w:ascii="Gentium" w:hAnsi="Gentium"/>
          <w:i/>
          <w:color w:val="000000"/>
        </w:rPr>
        <w:t>Memoirs of Diwan Sir Eboo Pirbhai (Volume 1): Charter of Leadership and Concept of Ismailism</w:t>
      </w:r>
      <w:r w:rsidRPr="00660D1C">
        <w:rPr>
          <w:rFonts w:ascii="Gentium" w:hAnsi="Gentium"/>
          <w:color w:val="000000"/>
        </w:rPr>
        <w:t xml:space="preserve">. Calgary: Hassanali E. Mohamed, 1985. </w:t>
      </w:r>
      <w:r w:rsidRPr="00584459">
        <w:rPr>
          <w:rFonts w:ascii="Gentium" w:hAnsi="Gentium"/>
        </w:rPr>
        <w:t>288 pp.</w:t>
      </w:r>
    </w:p>
    <w:p w14:paraId="1E57001C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Mohamed, Shamsah J. “Ismā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>īlī Women’s Experiences of In-Group Discrimination.” M.A. thesis, Department of Educational and Counselling Psychology</w:t>
      </w:r>
      <w:r w:rsidRPr="00127018">
        <w:rPr>
          <w:rFonts w:ascii="Gentium" w:hAnsi="Gentium"/>
        </w:rPr>
        <w:t>,</w:t>
      </w:r>
      <w:r w:rsidRPr="00660D1C">
        <w:rPr>
          <w:rFonts w:ascii="Gentium" w:hAnsi="Gentium"/>
          <w:color w:val="000000"/>
        </w:rPr>
        <w:t xml:space="preserve"> and Special Education, University of British Columbia, 2002. ix + 231 pp.</w:t>
      </w:r>
    </w:p>
    <w:p w14:paraId="0AABF756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Mohamedi, Yasmin. “The Role of the </w:t>
      </w:r>
      <w:r w:rsidRPr="00660D1C">
        <w:rPr>
          <w:rFonts w:ascii="Gentium" w:hAnsi="Gentium"/>
          <w:i/>
          <w:color w:val="000000"/>
        </w:rPr>
        <w:t>Imam</w:t>
      </w:r>
      <w:r w:rsidRPr="00660D1C">
        <w:rPr>
          <w:rFonts w:ascii="Gentium" w:hAnsi="Gentium"/>
          <w:color w:val="000000"/>
        </w:rPr>
        <w:t xml:space="preserve"> in </w:t>
      </w:r>
      <w:r w:rsidRPr="00660D1C">
        <w:rPr>
          <w:rFonts w:ascii="Gentium" w:hAnsi="Gentium"/>
          <w:i/>
          <w:color w:val="000000"/>
        </w:rPr>
        <w:t>Isma</w:t>
      </w:r>
      <w:r w:rsidRPr="00660D1C">
        <w:rPr>
          <w:rFonts w:ascii="Calibri" w:hAnsi="Calibri" w:cs="Calibri"/>
          <w:i/>
          <w:color w:val="000000"/>
        </w:rPr>
        <w:t>ʿ</w:t>
      </w:r>
      <w:r w:rsidRPr="00660D1C">
        <w:rPr>
          <w:rFonts w:ascii="Gentium" w:hAnsi="Gentium"/>
          <w:i/>
          <w:color w:val="000000"/>
        </w:rPr>
        <w:t>ili</w:t>
      </w:r>
      <w:r w:rsidRPr="00660D1C">
        <w:rPr>
          <w:rFonts w:ascii="Gentium" w:hAnsi="Gentium"/>
          <w:color w:val="000000"/>
        </w:rPr>
        <w:t xml:space="preserve"> History.” M.A. thesis, Georgetown University, 1989. vi + 98 pp.</w:t>
      </w:r>
    </w:p>
    <w:p w14:paraId="023C4476" w14:textId="77777777" w:rsidR="00EA60B1" w:rsidRDefault="00EA60B1" w:rsidP="00EA60B1">
      <w:pPr>
        <w:rPr>
          <w:rFonts w:ascii="Gentium" w:hAnsi="Gentium"/>
          <w:color w:val="000000"/>
        </w:rPr>
      </w:pPr>
      <w:r w:rsidRPr="007D58F0">
        <w:rPr>
          <w:rFonts w:ascii="Gentium" w:hAnsi="Gentium"/>
          <w:color w:val="000000"/>
          <w:szCs w:val="24"/>
        </w:rPr>
        <w:t>Mohidden, Md. Azeez.</w:t>
      </w:r>
      <w:r>
        <w:rPr>
          <w:rFonts w:ascii="Gentium" w:hAnsi="Gentium"/>
          <w:color w:val="000000"/>
          <w:szCs w:val="24"/>
        </w:rPr>
        <w:t xml:space="preserve"> </w:t>
      </w:r>
      <w:r w:rsidRPr="007D58F0">
        <w:rPr>
          <w:rFonts w:ascii="Gentium" w:hAnsi="Gentium"/>
          <w:color w:val="000000"/>
          <w:szCs w:val="24"/>
        </w:rPr>
        <w:t xml:space="preserve">“Bohra/Alivi,” “Bohra/Daudi,” “Bohra/Sulaimani,” “Khoja.” In </w:t>
      </w:r>
      <w:r w:rsidRPr="007D58F0">
        <w:rPr>
          <w:rFonts w:ascii="Gentium" w:hAnsi="Gentium"/>
          <w:i/>
          <w:color w:val="000000"/>
          <w:szCs w:val="24"/>
        </w:rPr>
        <w:t>Gujarat</w:t>
      </w:r>
      <w:r w:rsidRPr="007D58F0">
        <w:rPr>
          <w:rFonts w:ascii="Gentium" w:hAnsi="Gentium"/>
          <w:color w:val="000000"/>
          <w:szCs w:val="24"/>
        </w:rPr>
        <w:t xml:space="preserve">. Vol. 22 </w:t>
      </w:r>
      <w:r>
        <w:rPr>
          <w:rFonts w:ascii="Gentium" w:hAnsi="Gentium"/>
          <w:color w:val="000000"/>
          <w:szCs w:val="24"/>
        </w:rPr>
        <w:t xml:space="preserve">[3 bks.] </w:t>
      </w:r>
      <w:r w:rsidRPr="007D58F0">
        <w:rPr>
          <w:rFonts w:ascii="Gentium" w:hAnsi="Gentium"/>
          <w:color w:val="000000"/>
          <w:szCs w:val="24"/>
        </w:rPr>
        <w:t xml:space="preserve">of </w:t>
      </w:r>
      <w:r w:rsidRPr="007D58F0">
        <w:rPr>
          <w:rFonts w:ascii="Gentium" w:hAnsi="Gentium"/>
          <w:i/>
          <w:color w:val="000000"/>
          <w:szCs w:val="24"/>
        </w:rPr>
        <w:t>People of India</w:t>
      </w:r>
      <w:r w:rsidRPr="007D58F0">
        <w:rPr>
          <w:rFonts w:ascii="Gentium" w:hAnsi="Gentium"/>
          <w:color w:val="000000"/>
          <w:szCs w:val="24"/>
        </w:rPr>
        <w:t>. 48 vols. Edited by Kumar Suresh Singh. Calcutta: Anthropological Survey of India, 2003.</w:t>
      </w:r>
    </w:p>
    <w:p w14:paraId="5D1B0868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Mohiuddin, Momin. “Ismā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īlī-Muslim Communities in Medieval Konkan: The </w:t>
      </w:r>
      <w:r w:rsidRPr="00AA1437">
        <w:rPr>
          <w:rFonts w:ascii="Gentium" w:hAnsi="Gentium"/>
        </w:rPr>
        <w:t>Musta</w:t>
      </w:r>
      <w:r w:rsidRPr="00AA1437">
        <w:rPr>
          <w:rFonts w:ascii="Calibri" w:hAnsi="Calibri" w:cs="Calibri"/>
        </w:rPr>
        <w:t>ʿ</w:t>
      </w:r>
      <w:r w:rsidRPr="00AA1437">
        <w:rPr>
          <w:rFonts w:ascii="Gentium" w:hAnsi="Gentium"/>
        </w:rPr>
        <w:t>liān</w:t>
      </w:r>
      <w:r w:rsidRPr="00660D1C">
        <w:rPr>
          <w:rFonts w:ascii="Gentium" w:hAnsi="Gentium"/>
          <w:color w:val="000000"/>
        </w:rPr>
        <w:t xml:space="preserve"> (Bohoras).” Chap. 10 in </w:t>
      </w:r>
      <w:r w:rsidRPr="00660D1C">
        <w:rPr>
          <w:rFonts w:ascii="Gentium" w:hAnsi="Gentium"/>
          <w:i/>
          <w:color w:val="000000"/>
        </w:rPr>
        <w:t>Muslim Communities in Medieval Konkan (1610-1900 AD)</w:t>
      </w:r>
      <w:r w:rsidRPr="00660D1C">
        <w:rPr>
          <w:rFonts w:ascii="Gentium" w:hAnsi="Gentium"/>
          <w:color w:val="000000"/>
        </w:rPr>
        <w:t>, 177-195. New Delhi: Sundeep Prakashan, 2002.</w:t>
      </w:r>
    </w:p>
    <w:p w14:paraId="711E57B2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“Ismā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īlī-Muslim Communities in Medieval Konkan: The Nizārian (Khojas).” Chap. 11 in </w:t>
      </w:r>
      <w:r w:rsidRPr="00660D1C">
        <w:rPr>
          <w:rFonts w:ascii="Gentium" w:hAnsi="Gentium"/>
          <w:i/>
          <w:color w:val="000000"/>
        </w:rPr>
        <w:t>Muslim Communities in Medieval Konkan (1610-1900 AD)</w:t>
      </w:r>
      <w:r w:rsidRPr="00660D1C">
        <w:rPr>
          <w:rFonts w:ascii="Gentium" w:hAnsi="Gentium"/>
          <w:color w:val="000000"/>
        </w:rPr>
        <w:t>, 197-227. New Delhi: Sundeep Prakashan, 2002.</w:t>
      </w:r>
    </w:p>
    <w:p w14:paraId="3417374F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Moir (Noorally), Zawahir. “Khwajah Sindhi Literature.” </w:t>
      </w:r>
      <w:r w:rsidRPr="00660D1C">
        <w:rPr>
          <w:rFonts w:ascii="Gentium" w:hAnsi="Gentium"/>
          <w:i/>
          <w:color w:val="000000"/>
        </w:rPr>
        <w:t>Sind Quarterly</w:t>
      </w:r>
      <w:r w:rsidRPr="00660D1C">
        <w:rPr>
          <w:rFonts w:ascii="Gentium" w:hAnsi="Gentium"/>
          <w:color w:val="000000"/>
        </w:rPr>
        <w:t xml:space="preserve"> 14:2 (1986): 36-40.</w:t>
      </w:r>
    </w:p>
    <w:p w14:paraId="79B19E0C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“Khojki Manuscripts.” </w:t>
      </w:r>
      <w:r w:rsidRPr="00660D1C">
        <w:rPr>
          <w:rFonts w:ascii="Gentium" w:hAnsi="Gentium"/>
          <w:i/>
          <w:color w:val="000000"/>
        </w:rPr>
        <w:t xml:space="preserve">South Asia Library Group </w:t>
      </w:r>
      <w:r w:rsidRPr="002F1EB9">
        <w:rPr>
          <w:rFonts w:ascii="Gentium" w:hAnsi="Gentium"/>
          <w:color w:val="000000"/>
        </w:rPr>
        <w:t>(</w:t>
      </w:r>
      <w:r w:rsidRPr="002F1EB9">
        <w:rPr>
          <w:rFonts w:ascii="Gentium" w:hAnsi="Gentium"/>
          <w:i/>
          <w:color w:val="000000"/>
        </w:rPr>
        <w:t>SALG</w:t>
      </w:r>
      <w:r w:rsidRPr="002F1EB9">
        <w:rPr>
          <w:rFonts w:ascii="Gentium" w:hAnsi="Gentium"/>
          <w:color w:val="000000"/>
        </w:rPr>
        <w:t>)</w:t>
      </w:r>
      <w:r>
        <w:rPr>
          <w:rFonts w:ascii="Gentium" w:hAnsi="Gentium"/>
          <w:i/>
          <w:color w:val="000000"/>
        </w:rPr>
        <w:t xml:space="preserve"> </w:t>
      </w:r>
      <w:r w:rsidRPr="00660D1C">
        <w:rPr>
          <w:rFonts w:ascii="Gentium" w:hAnsi="Gentium"/>
          <w:i/>
          <w:color w:val="000000"/>
        </w:rPr>
        <w:t xml:space="preserve">Newsletter </w:t>
      </w:r>
      <w:r w:rsidRPr="00660D1C">
        <w:rPr>
          <w:rFonts w:ascii="Gentium" w:hAnsi="Gentium"/>
          <w:color w:val="000000"/>
        </w:rPr>
        <w:t>44 (1997): 18-22.</w:t>
      </w:r>
    </w:p>
    <w:p w14:paraId="2E093616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Moll Mercadal, Bernat. “Revisió d’una vella troballa: El tresoret fatimita d’es Migjorn Gran (Menorca).” </w:t>
      </w:r>
      <w:r w:rsidRPr="00660D1C">
        <w:rPr>
          <w:rFonts w:ascii="Gentium" w:hAnsi="Gentium"/>
          <w:i/>
          <w:color w:val="000000"/>
        </w:rPr>
        <w:t>Acta Numismática</w:t>
      </w:r>
      <w:r w:rsidRPr="00660D1C">
        <w:rPr>
          <w:rFonts w:ascii="Gentium" w:hAnsi="Gentium"/>
          <w:color w:val="000000"/>
        </w:rPr>
        <w:t xml:space="preserve"> 27 (1997): 43-52. [In Catalan]</w:t>
      </w:r>
    </w:p>
    <w:p w14:paraId="326CAA0F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Morgan, David. “The Assassins: A Terror Cult.” In </w:t>
      </w:r>
      <w:r w:rsidRPr="00660D1C">
        <w:rPr>
          <w:rFonts w:ascii="Gentium" w:hAnsi="Gentium"/>
          <w:i/>
          <w:color w:val="000000"/>
        </w:rPr>
        <w:t>Encyclopedia of World Terrorism</w:t>
      </w:r>
      <w:r w:rsidRPr="00660D1C">
        <w:rPr>
          <w:rFonts w:ascii="Gentium" w:hAnsi="Gentium"/>
          <w:color w:val="000000"/>
        </w:rPr>
        <w:t>. 3 vols. Edited by Martha Crenshaw and John Pimlott, 1:38-39. Armonk, N.Y.: Sharpe Reference, 1997.</w:t>
      </w:r>
    </w:p>
    <w:p w14:paraId="0DC4C08B" w14:textId="77777777" w:rsidR="00EA60B1" w:rsidRPr="0024745A" w:rsidRDefault="00EA60B1" w:rsidP="00EA60B1">
      <w:pPr>
        <w:rPr>
          <w:rFonts w:ascii="Gentium" w:hAnsi="Gentium"/>
          <w:color w:val="000000"/>
          <w:szCs w:val="24"/>
        </w:rPr>
      </w:pPr>
      <w:r w:rsidRPr="0024745A">
        <w:rPr>
          <w:rFonts w:ascii="Gentium" w:hAnsi="Gentium"/>
          <w:color w:val="000000"/>
          <w:szCs w:val="24"/>
        </w:rPr>
        <w:t xml:space="preserve">Mossakowska-Gaubert, Maria. “Les objets en verre trouvés dans les tombeaux Coptes des époques Fatimide et Ayyoubide, (Deir el-Naqlun, Egypt).” In </w:t>
      </w:r>
      <w:r w:rsidRPr="0024745A">
        <w:rPr>
          <w:rFonts w:ascii="Gentium" w:hAnsi="Gentium"/>
          <w:i/>
          <w:color w:val="000000"/>
          <w:szCs w:val="24"/>
        </w:rPr>
        <w:t>Annales du 15</w:t>
      </w:r>
      <w:r w:rsidRPr="0024745A">
        <w:rPr>
          <w:rFonts w:ascii="Gentium" w:hAnsi="Gentium"/>
          <w:i/>
          <w:color w:val="000000"/>
          <w:szCs w:val="24"/>
          <w:vertAlign w:val="superscript"/>
        </w:rPr>
        <w:t>e</w:t>
      </w:r>
      <w:r w:rsidRPr="0024745A">
        <w:rPr>
          <w:rFonts w:ascii="Gentium" w:hAnsi="Gentium"/>
          <w:i/>
          <w:color w:val="000000"/>
          <w:szCs w:val="24"/>
        </w:rPr>
        <w:t xml:space="preserve"> Congrès de l’Association Internationale pour l’histoire du verre, New York-Corning, [15-20 October] 2001</w:t>
      </w:r>
      <w:r w:rsidRPr="0024745A">
        <w:rPr>
          <w:rFonts w:ascii="Gentium" w:hAnsi="Gentium"/>
          <w:color w:val="000000"/>
          <w:szCs w:val="24"/>
        </w:rPr>
        <w:t>, 185-189. Nottingham: Association Internationale pour l’Histoire du Verre, 2003.</w:t>
      </w:r>
    </w:p>
    <w:p w14:paraId="501B45B9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Mostafa, Mohamed. “Fatimid Lustered Ceramics with Human Figures.” </w:t>
      </w:r>
      <w:r w:rsidRPr="00660D1C">
        <w:rPr>
          <w:rFonts w:ascii="Gentium" w:hAnsi="Gentium"/>
          <w:i/>
          <w:color w:val="000000"/>
        </w:rPr>
        <w:t xml:space="preserve">Egypt Travel Magazine </w:t>
      </w:r>
      <w:r w:rsidRPr="00660D1C">
        <w:rPr>
          <w:rFonts w:ascii="Gentium" w:hAnsi="Gentium"/>
          <w:color w:val="000000"/>
        </w:rPr>
        <w:t>2 (1954): 18-23.</w:t>
      </w:r>
    </w:p>
    <w:p w14:paraId="414EB102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“Wood Carvings of the Western Fatimid Palace.” </w:t>
      </w:r>
      <w:r w:rsidRPr="00660D1C">
        <w:rPr>
          <w:rFonts w:ascii="Gentium" w:hAnsi="Gentium"/>
          <w:i/>
          <w:color w:val="000000"/>
        </w:rPr>
        <w:t>Egypt Travel Magazine</w:t>
      </w:r>
      <w:r w:rsidRPr="00660D1C">
        <w:rPr>
          <w:rFonts w:ascii="Gentium" w:hAnsi="Gentium"/>
          <w:color w:val="000000"/>
        </w:rPr>
        <w:t xml:space="preserve"> 4 (1954): 20-25.</w:t>
      </w:r>
    </w:p>
    <w:p w14:paraId="02E97BA9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“Musicians on Fatimid Objects of Art.” </w:t>
      </w:r>
      <w:r w:rsidRPr="00660D1C">
        <w:rPr>
          <w:rFonts w:ascii="Gentium" w:hAnsi="Gentium"/>
          <w:i/>
          <w:color w:val="000000"/>
        </w:rPr>
        <w:t>Egypt Travel Magazine</w:t>
      </w:r>
      <w:r w:rsidRPr="00660D1C">
        <w:rPr>
          <w:rFonts w:ascii="Gentium" w:hAnsi="Gentium"/>
          <w:color w:val="000000"/>
        </w:rPr>
        <w:t xml:space="preserve"> 16 (1955): 21-25.</w:t>
      </w:r>
    </w:p>
    <w:p w14:paraId="5239C561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Motani, Nizar A. “Ismailis.” In </w:t>
      </w:r>
      <w:r w:rsidRPr="00660D1C">
        <w:rPr>
          <w:rFonts w:ascii="Gentium" w:hAnsi="Gentium"/>
          <w:i/>
          <w:color w:val="000000"/>
        </w:rPr>
        <w:t>American Immigrant Cultures: Builders of a Nation</w:t>
      </w:r>
      <w:r w:rsidRPr="00660D1C">
        <w:rPr>
          <w:rFonts w:ascii="Gentium" w:hAnsi="Gentium"/>
          <w:color w:val="000000"/>
        </w:rPr>
        <w:t xml:space="preserve">. 2 vols. Edited by David Levinson and Melvin Ember, 1:469-474. New York: </w:t>
      </w:r>
      <w:r w:rsidRPr="00CF6FDB">
        <w:rPr>
          <w:rFonts w:ascii="Gentium" w:hAnsi="Gentium"/>
          <w:color w:val="000000"/>
        </w:rPr>
        <w:t>Macmillan</w:t>
      </w:r>
      <w:r w:rsidRPr="00660D1C">
        <w:rPr>
          <w:rFonts w:ascii="Gentium" w:hAnsi="Gentium"/>
          <w:color w:val="000000"/>
        </w:rPr>
        <w:t>, 1997.</w:t>
      </w:r>
      <w:r w:rsidRPr="00660D1C">
        <w:rPr>
          <w:rFonts w:ascii="Gentium" w:hAnsi="Gentium"/>
          <w:color w:val="000000"/>
        </w:rPr>
        <w:tab/>
      </w:r>
    </w:p>
    <w:p w14:paraId="0D5602EB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Moulvi, Shaikh Dawood. </w:t>
      </w:r>
      <w:r w:rsidRPr="00660D1C">
        <w:rPr>
          <w:rFonts w:ascii="Gentium" w:hAnsi="Gentium"/>
          <w:i/>
          <w:color w:val="000000"/>
        </w:rPr>
        <w:t>An Authentic Account of the Pontifical Office of Dai al Mutlaq and its Fifty-First Incumbent His Holiness Sardar Saiyedna Taher Saifuddin Saheb</w:t>
      </w:r>
      <w:r w:rsidRPr="00660D1C">
        <w:rPr>
          <w:rFonts w:ascii="Gentium" w:hAnsi="Gentium"/>
          <w:color w:val="000000"/>
        </w:rPr>
        <w:t>. Bombay: Times of India Press, 1940. vi + 43 pp.</w:t>
      </w:r>
    </w:p>
    <w:p w14:paraId="37BAB256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Mrozek, Anna. “Wybrane poglądy filozoficzne Ihwan as-Sāfā z Basry.” [Sel</w:t>
      </w:r>
      <w:r>
        <w:rPr>
          <w:rFonts w:ascii="Gentium" w:hAnsi="Gentium"/>
          <w:color w:val="000000"/>
        </w:rPr>
        <w:t xml:space="preserve">ected Philosophical Opinions of the </w:t>
      </w:r>
      <w:r w:rsidRPr="00660D1C">
        <w:rPr>
          <w:rFonts w:ascii="Gentium" w:hAnsi="Gentium"/>
          <w:color w:val="000000"/>
        </w:rPr>
        <w:t xml:space="preserve">Ihwan as-Safa from Basra] </w:t>
      </w:r>
      <w:r w:rsidRPr="00660D1C">
        <w:rPr>
          <w:rFonts w:ascii="Gentium" w:hAnsi="Gentium"/>
          <w:i/>
          <w:color w:val="000000"/>
        </w:rPr>
        <w:t>Studia Filozoficzne</w:t>
      </w:r>
      <w:r w:rsidRPr="00660D1C">
        <w:rPr>
          <w:rFonts w:ascii="Gentium" w:hAnsi="Gentium"/>
          <w:color w:val="000000"/>
        </w:rPr>
        <w:t xml:space="preserve"> 6:21 (1960): 131-155. [In Polish with English Summary]</w:t>
      </w:r>
    </w:p>
    <w:p w14:paraId="1058533A" w14:textId="77777777" w:rsidR="00EA60B1" w:rsidRDefault="00EA60B1" w:rsidP="00EA60B1">
      <w:pPr>
        <w:rPr>
          <w:rFonts w:ascii="Gentium" w:hAnsi="Gentium"/>
          <w:color w:val="000000"/>
        </w:rPr>
      </w:pPr>
      <w:r w:rsidRPr="00F05ABB">
        <w:rPr>
          <w:rFonts w:ascii="Gentium" w:hAnsi="Gentium"/>
          <w:color w:val="000000"/>
        </w:rPr>
        <w:t xml:space="preserve">Muneyb, Izzat. “The Ismaili </w:t>
      </w:r>
      <w:r w:rsidRPr="002177EC">
        <w:rPr>
          <w:rFonts w:ascii="Gentium" w:hAnsi="Gentium"/>
          <w:color w:val="000000"/>
        </w:rPr>
        <w:t>Bait al-Ilm</w:t>
      </w:r>
      <w:r w:rsidRPr="00F05ABB">
        <w:rPr>
          <w:rFonts w:ascii="Gentium" w:hAnsi="Gentium"/>
          <w:color w:val="000000"/>
        </w:rPr>
        <w:t xml:space="preserve"> and an Experim</w:t>
      </w:r>
      <w:r>
        <w:rPr>
          <w:rFonts w:ascii="Gentium" w:hAnsi="Gentium"/>
          <w:color w:val="000000"/>
        </w:rPr>
        <w:t xml:space="preserve">ent in Pupil Self-Assessment.” </w:t>
      </w:r>
      <w:r w:rsidRPr="00F05ABB">
        <w:rPr>
          <w:rFonts w:ascii="Gentium" w:hAnsi="Gentium"/>
          <w:color w:val="000000"/>
        </w:rPr>
        <w:t xml:space="preserve">M.A. thesis, Institute of Education, University of London, 1999. 126 pp.  </w:t>
      </w:r>
      <w:r w:rsidRPr="00660D1C">
        <w:rPr>
          <w:rFonts w:ascii="Gentium" w:hAnsi="Gentium"/>
          <w:color w:val="000000"/>
        </w:rPr>
        <w:tab/>
      </w:r>
    </w:p>
    <w:p w14:paraId="277DA493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Murphy, Timothy S. “‘I Hassan i Sabbah </w:t>
      </w:r>
      <w:r w:rsidRPr="00660D1C">
        <w:rPr>
          <w:rFonts w:ascii="Gentium" w:hAnsi="Gentium"/>
          <w:i/>
          <w:color w:val="000000"/>
        </w:rPr>
        <w:t>rub out the word forever</w:t>
      </w:r>
      <w:r w:rsidRPr="00660D1C">
        <w:rPr>
          <w:rFonts w:ascii="Gentium" w:hAnsi="Gentium"/>
          <w:color w:val="000000"/>
        </w:rPr>
        <w:t xml:space="preserve">’: The Dialectic of Treason and the Abolition of the Law in the Nova Trilogy.” Chap. 4 in </w:t>
      </w:r>
      <w:r w:rsidRPr="00660D1C">
        <w:rPr>
          <w:rFonts w:ascii="Gentium" w:hAnsi="Gentium"/>
          <w:i/>
          <w:color w:val="000000"/>
        </w:rPr>
        <w:t>Wising Up the Marks: The Amodern William Burroughs</w:t>
      </w:r>
      <w:r w:rsidRPr="00660D1C">
        <w:rPr>
          <w:rFonts w:ascii="Gentium" w:hAnsi="Gentium"/>
          <w:color w:val="000000"/>
        </w:rPr>
        <w:t>, 103-141, 244-249. Berkeley: University of California Press, 1997.</w:t>
      </w:r>
    </w:p>
    <w:p w14:paraId="1A1F6057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Mussa, Salim. “The Athias: A For</w:t>
      </w:r>
      <w:r>
        <w:rPr>
          <w:rFonts w:ascii="Gentium" w:hAnsi="Gentium"/>
          <w:color w:val="000000"/>
        </w:rPr>
        <w:t>gotten Branch of Ismailism and t</w:t>
      </w:r>
      <w:r w:rsidRPr="00660D1C">
        <w:rPr>
          <w:rFonts w:ascii="Gentium" w:hAnsi="Gentium"/>
          <w:color w:val="000000"/>
        </w:rPr>
        <w:t xml:space="preserve">heir Religious Literature.” In </w:t>
      </w:r>
      <w:r>
        <w:rPr>
          <w:rFonts w:ascii="Gentium" w:hAnsi="Gentium"/>
          <w:i/>
          <w:color w:val="000000"/>
        </w:rPr>
        <w:t>SOS</w:t>
      </w:r>
      <w:r w:rsidRPr="00660D1C">
        <w:rPr>
          <w:rFonts w:ascii="Gentium" w:hAnsi="Gentium"/>
          <w:color w:val="000000"/>
        </w:rPr>
        <w:t>, 70-76.</w:t>
      </w:r>
    </w:p>
    <w:p w14:paraId="40BFA147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Nader, Albert. “Traces des épîtres des Frères de la Pureté dans l’oeuvre </w:t>
      </w:r>
      <w:r w:rsidRPr="00660D1C">
        <w:rPr>
          <w:rFonts w:ascii="Gentium" w:hAnsi="Gentium"/>
          <w:i/>
          <w:color w:val="000000"/>
        </w:rPr>
        <w:t xml:space="preserve">La disputation de l’âne </w:t>
      </w:r>
      <w:r w:rsidRPr="00660D1C">
        <w:rPr>
          <w:rFonts w:ascii="Gentium" w:hAnsi="Gentium"/>
          <w:color w:val="000000"/>
        </w:rPr>
        <w:t xml:space="preserve">d’Anselme de Turmeda.” In </w:t>
      </w:r>
      <w:r w:rsidRPr="00660D1C">
        <w:rPr>
          <w:rFonts w:ascii="Gentium" w:hAnsi="Gentium"/>
          <w:i/>
          <w:color w:val="000000"/>
        </w:rPr>
        <w:t>Diálogo filosófico-religioso entre cristianismo, judaísmo e islamismo durante la edad media en la Península Ibérica: Actes du colloque international de San Lorenzo de El Escorial, 23-26 juin 1991</w:t>
      </w:r>
      <w:r w:rsidRPr="00660D1C">
        <w:rPr>
          <w:rFonts w:ascii="Gentium" w:hAnsi="Gentium"/>
          <w:color w:val="000000"/>
        </w:rPr>
        <w:t>. Rencontres de philosophie médiévale 3. Edited by Horacio Santiago-Otero, 443-459. Belgique: Brepols, 1994.</w:t>
      </w:r>
    </w:p>
    <w:p w14:paraId="129AF910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Najmuddin, Yusuf</w:t>
      </w:r>
      <w:r w:rsidRPr="00AA1437">
        <w:rPr>
          <w:rFonts w:ascii="Gentium" w:hAnsi="Gentium"/>
        </w:rPr>
        <w:t xml:space="preserve">. </w:t>
      </w:r>
      <w:r w:rsidRPr="00AA1437">
        <w:rPr>
          <w:rFonts w:ascii="Gentium" w:hAnsi="Gentium"/>
          <w:i/>
        </w:rPr>
        <w:t>52</w:t>
      </w:r>
      <w:r w:rsidRPr="00AA1437">
        <w:rPr>
          <w:rFonts w:ascii="Gentium" w:hAnsi="Gentium"/>
          <w:i/>
          <w:vertAlign w:val="superscript"/>
        </w:rPr>
        <w:t>nd</w:t>
      </w:r>
      <w:r w:rsidRPr="00AA1437">
        <w:rPr>
          <w:rFonts w:ascii="Gentium" w:hAnsi="Gentium"/>
          <w:i/>
        </w:rPr>
        <w:t xml:space="preserve"> Al</w:t>
      </w:r>
      <w:r w:rsidRPr="00660D1C">
        <w:rPr>
          <w:rFonts w:ascii="Gentium" w:hAnsi="Gentium"/>
          <w:i/>
          <w:color w:val="000000"/>
        </w:rPr>
        <w:t xml:space="preserve"> Dai Al Fatimi: 75 Momentous Years in Retrospect</w:t>
      </w:r>
      <w:r w:rsidRPr="00660D1C">
        <w:rPr>
          <w:rFonts w:ascii="Gentium" w:hAnsi="Gentium"/>
          <w:color w:val="000000"/>
        </w:rPr>
        <w:t>. Bombay: [a</w:t>
      </w:r>
      <w:r>
        <w:rPr>
          <w:rFonts w:ascii="Gentium" w:hAnsi="Gentium"/>
          <w:color w:val="000000"/>
        </w:rPr>
        <w:t>l-Jamea-tus-Saifiyah], 1985</w:t>
      </w:r>
      <w:r w:rsidRPr="006F58D4">
        <w:rPr>
          <w:rFonts w:ascii="Gentium" w:hAnsi="Gentium"/>
        </w:rPr>
        <w:t>. [U]</w:t>
      </w:r>
      <w:r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color w:val="000000"/>
        </w:rPr>
        <w:t xml:space="preserve">  </w:t>
      </w:r>
    </w:p>
    <w:p w14:paraId="5E518D3D" w14:textId="77777777" w:rsidR="00EA60B1" w:rsidRDefault="00EA60B1" w:rsidP="00EA60B1">
      <w:pPr>
        <w:rPr>
          <w:rFonts w:ascii="Gentium" w:hAnsi="Gentium"/>
          <w:color w:val="000000"/>
        </w:rPr>
      </w:pPr>
      <w:r w:rsidRPr="009B6472">
        <w:rPr>
          <w:rFonts w:ascii="Gentium" w:hAnsi="Gentium"/>
          <w:color w:val="000000"/>
        </w:rPr>
        <w:t>Najmudin, Rosemin. “Education and the Dietary Habits of Dawoodi Bohra Children in the Midlands Area of Britain.” Ph.D. diss., Coventry University, 2000. [U]</w:t>
      </w:r>
    </w:p>
    <w:p w14:paraId="79A4405D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Nanji, Azim A. “A Religious Minority in Transition: The Case of Two Isma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ili Communities.” In </w:t>
      </w:r>
      <w:r w:rsidRPr="00660D1C">
        <w:rPr>
          <w:rFonts w:ascii="Gentium" w:hAnsi="Gentium"/>
          <w:i/>
          <w:color w:val="000000"/>
        </w:rPr>
        <w:t>Religion in the Modern World</w:t>
      </w:r>
      <w:r w:rsidRPr="00660D1C">
        <w:rPr>
          <w:rFonts w:ascii="Gentium" w:hAnsi="Gentium"/>
          <w:color w:val="000000"/>
        </w:rPr>
        <w:t xml:space="preserve">. Edited by Marilyn R. Waldman and Hao Chang. Special Issue, </w:t>
      </w:r>
      <w:r w:rsidRPr="00660D1C">
        <w:rPr>
          <w:rFonts w:ascii="Gentium" w:hAnsi="Gentium"/>
          <w:i/>
          <w:color w:val="000000"/>
        </w:rPr>
        <w:t xml:space="preserve">Papers in Comparative Studies </w:t>
      </w:r>
      <w:r w:rsidRPr="00660D1C">
        <w:rPr>
          <w:rFonts w:ascii="Gentium" w:hAnsi="Gentium"/>
          <w:color w:val="000000"/>
        </w:rPr>
        <w:t xml:space="preserve">3 (1984): 169-182. </w:t>
      </w:r>
    </w:p>
    <w:p w14:paraId="2D461C82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“Biblical and Qur</w:t>
      </w:r>
      <w:r w:rsidRPr="00660D1C">
        <w:rPr>
          <w:rFonts w:ascii="Calibri" w:hAnsi="Calibri" w:cs="Calibri"/>
          <w:color w:val="000000"/>
        </w:rPr>
        <w:t>ʾ</w:t>
      </w:r>
      <w:r w:rsidRPr="00660D1C">
        <w:rPr>
          <w:rFonts w:ascii="Gentium" w:hAnsi="Gentium"/>
          <w:color w:val="000000"/>
        </w:rPr>
        <w:t xml:space="preserve">anic Themes: Sacred Text, Adam and Allegory in Fatimid Thought.” In </w:t>
      </w:r>
      <w:r w:rsidRPr="00660D1C">
        <w:rPr>
          <w:rFonts w:ascii="Gentium" w:hAnsi="Gentium"/>
          <w:i/>
          <w:color w:val="000000"/>
        </w:rPr>
        <w:t>Islam and Judaism: 1400 Years of Shared Values</w:t>
      </w:r>
      <w:r w:rsidRPr="00660D1C">
        <w:rPr>
          <w:rFonts w:ascii="Gentium" w:hAnsi="Gentium"/>
          <w:color w:val="000000"/>
        </w:rPr>
        <w:t>. Edited by Steven M. Wasserstrom, 31-39. Portland, OR: Institute for Judaic Studies in the Pacific Northwest, 1988.</w:t>
      </w:r>
    </w:p>
    <w:p w14:paraId="75C07047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“The Institute of Ismaili Studies.”</w:t>
      </w:r>
      <w:r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i/>
          <w:color w:val="000000"/>
        </w:rPr>
        <w:t>International Institute for the Study of Islam in the Modern World (ISIM) Newsletter</w:t>
      </w:r>
      <w:r w:rsidRPr="00660D1C">
        <w:rPr>
          <w:rFonts w:ascii="Gentium" w:hAnsi="Gentium"/>
          <w:color w:val="000000"/>
        </w:rPr>
        <w:t xml:space="preserve"> 4 (1999): 35.</w:t>
      </w:r>
    </w:p>
    <w:p w14:paraId="72A057D0" w14:textId="77777777" w:rsidR="00EA60B1" w:rsidRDefault="00EA60B1" w:rsidP="00EA60B1">
      <w:pPr>
        <w:rPr>
          <w:rFonts w:ascii="Gentium" w:hAnsi="Gentium"/>
          <w:color w:val="000000"/>
        </w:rPr>
      </w:pPr>
      <w:r w:rsidRPr="00AB1279">
        <w:rPr>
          <w:rFonts w:ascii="Gentium" w:hAnsi="Gentium"/>
          <w:color w:val="000000"/>
        </w:rPr>
        <w:t>Nash, Jay Robe</w:t>
      </w:r>
      <w:r>
        <w:rPr>
          <w:rFonts w:ascii="Gentium" w:hAnsi="Gentium"/>
          <w:color w:val="000000"/>
        </w:rPr>
        <w:t>rt. “Order of the Assassins</w:t>
      </w:r>
      <w:r w:rsidRPr="00AB1279">
        <w:rPr>
          <w:rFonts w:ascii="Gentium" w:hAnsi="Gentium"/>
          <w:color w:val="000000"/>
        </w:rPr>
        <w:t xml:space="preserve">.” In </w:t>
      </w:r>
      <w:r w:rsidRPr="00AB1279">
        <w:rPr>
          <w:rFonts w:ascii="Gentium" w:hAnsi="Gentium"/>
          <w:i/>
          <w:color w:val="000000"/>
        </w:rPr>
        <w:t>Encyclopedia of World Crime: Criminal Justice, Criminology, and Law Enforcement</w:t>
      </w:r>
      <w:r w:rsidRPr="00AB1279">
        <w:rPr>
          <w:rFonts w:ascii="Gentium" w:hAnsi="Gentium"/>
          <w:color w:val="000000"/>
        </w:rPr>
        <w:t>. 6 vols. 3:2376-2377. Wilmette, IL: CrimeBooks, 1989.</w:t>
      </w:r>
    </w:p>
    <w:p w14:paraId="0C55C8DE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Nashat, Mahyar. “The Ikhwan al-Safa and the Ikhwan al-Mu</w:t>
      </w:r>
      <w:r>
        <w:rPr>
          <w:rFonts w:ascii="Gentium" w:hAnsi="Gentium"/>
          <w:color w:val="000000"/>
        </w:rPr>
        <w:t>slimun: A Comparative Study of t</w:t>
      </w:r>
      <w:r w:rsidRPr="00660D1C">
        <w:rPr>
          <w:rFonts w:ascii="Gentium" w:hAnsi="Gentium"/>
          <w:color w:val="000000"/>
        </w:rPr>
        <w:t>heir Political Roles.” M.A. thesis, Department of Political Science, Stanford University, 1961. v + 114 pp.</w:t>
      </w:r>
    </w:p>
    <w:p w14:paraId="52079B54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Navascués, J. M. de. “Tesorillo de monedas de plata del califato cordobés y fatimíes.” </w:t>
      </w:r>
      <w:r w:rsidRPr="00660D1C">
        <w:rPr>
          <w:rFonts w:ascii="Gentium" w:hAnsi="Gentium"/>
          <w:i/>
          <w:color w:val="000000"/>
        </w:rPr>
        <w:t>Numario Hispánico</w:t>
      </w:r>
      <w:r w:rsidRPr="00660D1C">
        <w:rPr>
          <w:rFonts w:ascii="Gentium" w:hAnsi="Gentium"/>
          <w:color w:val="000000"/>
        </w:rPr>
        <w:t xml:space="preserve"> 7 (1958): 207-210.</w:t>
      </w:r>
    </w:p>
    <w:p w14:paraId="08DEC594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Nazariev, Ramazon. “O nekotorykh aspektalh problemy vremeni v Ismailisme.” [Some Aspects of Time in the Philosophy of Ismailism] </w:t>
      </w:r>
      <w:r w:rsidRPr="00660D1C">
        <w:rPr>
          <w:rFonts w:ascii="Gentium" w:hAnsi="Gentium"/>
          <w:i/>
          <w:color w:val="000000"/>
        </w:rPr>
        <w:t>Payomi Donishgoh</w:t>
      </w:r>
      <w:r w:rsidRPr="00660D1C">
        <w:rPr>
          <w:rFonts w:ascii="Gentium" w:hAnsi="Gentium"/>
          <w:color w:val="000000"/>
        </w:rPr>
        <w:t xml:space="preserve"> 4 (1999): 36-41. [In Russian] [U]</w:t>
      </w:r>
    </w:p>
    <w:p w14:paraId="654E6CFF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“Strukturniye osobennosti ucheniya Ismailisma.” [Structural Properties of Ismaili Doctrine] </w:t>
      </w:r>
      <w:r w:rsidRPr="00660D1C">
        <w:rPr>
          <w:rFonts w:ascii="Gentium" w:hAnsi="Gentium"/>
          <w:i/>
          <w:color w:val="000000"/>
        </w:rPr>
        <w:t>Payomi Donishgoh</w:t>
      </w:r>
      <w:r w:rsidRPr="00660D1C">
        <w:rPr>
          <w:rFonts w:ascii="Gentium" w:hAnsi="Gentium"/>
          <w:color w:val="000000"/>
        </w:rPr>
        <w:t xml:space="preserve"> 6 (1999): 27-38. [In Russian] [U]</w:t>
      </w:r>
    </w:p>
    <w:p w14:paraId="0CB84F40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Neff, Mary K. “Esoteric Islām in Ismailism.”</w:t>
      </w:r>
      <w:r>
        <w:rPr>
          <w:rFonts w:ascii="Gentium" w:hAnsi="Gentium"/>
          <w:color w:val="000000"/>
        </w:rPr>
        <w:t xml:space="preserve"> </w:t>
      </w:r>
      <w:r w:rsidRPr="00894E40">
        <w:rPr>
          <w:rFonts w:ascii="Gentium" w:hAnsi="Gentium"/>
          <w:i/>
          <w:color w:val="000000"/>
        </w:rPr>
        <w:t xml:space="preserve">The </w:t>
      </w:r>
      <w:r w:rsidRPr="00660D1C">
        <w:rPr>
          <w:rFonts w:ascii="Gentium" w:hAnsi="Gentium"/>
          <w:i/>
          <w:color w:val="000000"/>
        </w:rPr>
        <w:t>Theosophist</w:t>
      </w:r>
      <w:r w:rsidRPr="00660D1C">
        <w:rPr>
          <w:rFonts w:ascii="Gentium" w:hAnsi="Gentium"/>
          <w:color w:val="000000"/>
        </w:rPr>
        <w:t xml:space="preserve"> 46:12 (1925): 712-724.</w:t>
      </w:r>
    </w:p>
    <w:p w14:paraId="15C51136" w14:textId="77777777" w:rsidR="00EA60B1" w:rsidRPr="00720BCD" w:rsidRDefault="00EA60B1" w:rsidP="00EA60B1">
      <w:pPr>
        <w:rPr>
          <w:rFonts w:ascii="Gentium" w:hAnsi="Gentium"/>
          <w:color w:val="000000"/>
          <w:szCs w:val="24"/>
        </w:rPr>
      </w:pPr>
      <w:r w:rsidRPr="00720BCD">
        <w:rPr>
          <w:rFonts w:ascii="Gentium" w:hAnsi="Gentium"/>
          <w:color w:val="000000"/>
          <w:szCs w:val="24"/>
        </w:rPr>
        <w:t>Nègre, André. “Essai sur les débuts de l’état Magribin du premier calife Fāṭimide: Structures et problems (296/909-322/934).” Thèse de doctorat de 3</w:t>
      </w:r>
      <w:r w:rsidRPr="00720BCD">
        <w:rPr>
          <w:rFonts w:ascii="Gentium" w:hAnsi="Gentium"/>
          <w:color w:val="000000"/>
          <w:szCs w:val="24"/>
          <w:vertAlign w:val="superscript"/>
        </w:rPr>
        <w:t>e</w:t>
      </w:r>
      <w:r w:rsidRPr="00720BCD">
        <w:rPr>
          <w:rFonts w:ascii="Gentium" w:hAnsi="Gentium"/>
          <w:color w:val="000000"/>
          <w:szCs w:val="24"/>
        </w:rPr>
        <w:t xml:space="preserve"> cycle, Université de Paris X, 1971. 253 pp.</w:t>
      </w:r>
    </w:p>
    <w:p w14:paraId="4431F89E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“Le Maghreb au lendemain de la conquête ismailiénne.” </w:t>
      </w:r>
      <w:r w:rsidRPr="00660D1C">
        <w:rPr>
          <w:rFonts w:ascii="Gentium" w:hAnsi="Gentium"/>
          <w:i/>
          <w:color w:val="000000"/>
        </w:rPr>
        <w:t>Afrika Zamani</w:t>
      </w:r>
      <w:r w:rsidRPr="00660D1C">
        <w:rPr>
          <w:rFonts w:ascii="Gentium" w:hAnsi="Gentium"/>
          <w:color w:val="000000"/>
        </w:rPr>
        <w:t xml:space="preserve"> 14-15 (1984): 33-48.</w:t>
      </w:r>
    </w:p>
    <w:p w14:paraId="4C1BA17C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Nejima, Susumu. “The Ismailis in Pakistan: The Transformation and Creation of Civil Society.” In </w:t>
      </w:r>
      <w:r w:rsidRPr="00660D1C">
        <w:rPr>
          <w:rFonts w:ascii="Gentium" w:hAnsi="Gentium"/>
          <w:i/>
          <w:color w:val="000000"/>
        </w:rPr>
        <w:t>States and Democratization in the Middle Eastern Islamic Countries</w:t>
      </w:r>
      <w:r w:rsidRPr="00660D1C">
        <w:rPr>
          <w:rFonts w:ascii="Gentium" w:hAnsi="Gentium"/>
          <w:color w:val="000000"/>
        </w:rPr>
        <w:t>. Edited by Yasushi Kosugi, 110–126. Tokyo: Japan Institute of International Affairs, 1988. [In Japanese] [U]</w:t>
      </w:r>
    </w:p>
    <w:p w14:paraId="5B0EF4F3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</w:t>
      </w:r>
      <w:r w:rsidRPr="00660D1C">
        <w:rPr>
          <w:rFonts w:ascii="Gentium" w:hAnsi="Gentium"/>
          <w:i/>
          <w:color w:val="000000"/>
        </w:rPr>
        <w:t>Islam and Development: The Transformation of the Ismaili Community in Karakoram</w:t>
      </w:r>
      <w:r w:rsidRPr="00660D1C">
        <w:rPr>
          <w:rFonts w:ascii="Gentium" w:hAnsi="Gentium"/>
          <w:color w:val="000000"/>
        </w:rPr>
        <w:t>. Kyoto: Nakanishiya Shuppan, 2002. 278 pp. [In Japanese]</w:t>
      </w:r>
    </w:p>
    <w:p w14:paraId="67D8057C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Netton, Ian Richard. “Ikhwan al-Safa</w:t>
      </w:r>
      <w:r w:rsidRPr="00660D1C">
        <w:rPr>
          <w:rFonts w:ascii="Calibri" w:hAnsi="Calibri" w:cs="Calibri"/>
          <w:color w:val="000000"/>
        </w:rPr>
        <w:t>ʾ</w:t>
      </w:r>
      <w:r w:rsidRPr="00660D1C">
        <w:rPr>
          <w:rFonts w:ascii="Gentium" w:hAnsi="Gentium"/>
          <w:color w:val="000000"/>
        </w:rPr>
        <w:t xml:space="preserve">.” In </w:t>
      </w:r>
      <w:r w:rsidRPr="00660D1C">
        <w:rPr>
          <w:rFonts w:ascii="Gentium" w:hAnsi="Gentium"/>
          <w:i/>
          <w:color w:val="000000"/>
        </w:rPr>
        <w:t>Routledge Encyclopedia of Philosophy</w:t>
      </w:r>
      <w:r w:rsidRPr="00660D1C">
        <w:rPr>
          <w:rFonts w:ascii="Gentium" w:hAnsi="Gentium"/>
          <w:color w:val="000000"/>
        </w:rPr>
        <w:t>. 10 vols. Edited by Edward Craig, 4:685-688. London: Routledge, 1998.</w:t>
      </w:r>
    </w:p>
    <w:p w14:paraId="655765DF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“Ikhwan al-Safa</w:t>
      </w:r>
      <w:r w:rsidRPr="00660D1C">
        <w:rPr>
          <w:rFonts w:ascii="Calibri" w:hAnsi="Calibri" w:cs="Calibri"/>
          <w:color w:val="000000"/>
        </w:rPr>
        <w:t>ʾ</w:t>
      </w:r>
      <w:r w:rsidRPr="00660D1C">
        <w:rPr>
          <w:rFonts w:ascii="Gentium" w:hAnsi="Gentium"/>
          <w:color w:val="000000"/>
        </w:rPr>
        <w:t xml:space="preserve">.” In </w:t>
      </w:r>
      <w:r w:rsidRPr="00660D1C">
        <w:rPr>
          <w:rFonts w:ascii="Gentium" w:hAnsi="Gentium"/>
          <w:i/>
          <w:color w:val="000000"/>
        </w:rPr>
        <w:t>Concise Routledge Encyclopedia of Philosophy</w:t>
      </w:r>
      <w:r w:rsidRPr="00660D1C">
        <w:rPr>
          <w:rFonts w:ascii="Gentium" w:hAnsi="Gentium"/>
          <w:color w:val="000000"/>
        </w:rPr>
        <w:t>, 382. London: Routledge, 2000.</w:t>
      </w:r>
    </w:p>
    <w:p w14:paraId="64EC1791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Nichols, Woodrow W</w:t>
      </w:r>
      <w:r w:rsidRPr="00584459">
        <w:rPr>
          <w:rFonts w:ascii="Gentium" w:hAnsi="Gentium"/>
        </w:rPr>
        <w:t>., Jr.</w:t>
      </w:r>
      <w:r w:rsidRPr="00660D1C">
        <w:rPr>
          <w:rFonts w:ascii="Gentium" w:hAnsi="Gentium"/>
          <w:color w:val="000000"/>
        </w:rPr>
        <w:t xml:space="preserve"> “The Ismaili Sect in East Africa.” </w:t>
      </w:r>
      <w:r w:rsidRPr="00660D1C">
        <w:rPr>
          <w:rFonts w:ascii="Gentium" w:hAnsi="Gentium"/>
          <w:i/>
          <w:color w:val="000000"/>
        </w:rPr>
        <w:t>Ufahamu:  Journal of the African Activist Association</w:t>
      </w:r>
      <w:r w:rsidRPr="00660D1C">
        <w:rPr>
          <w:rFonts w:ascii="Gentium" w:hAnsi="Gentium"/>
          <w:color w:val="000000"/>
        </w:rPr>
        <w:t xml:space="preserve"> 1:1 (1970): 34-51.</w:t>
      </w:r>
    </w:p>
    <w:p w14:paraId="505103AB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Niyozov, Sarfaroz. “Shi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a Ismaili Tradition in Central Asia: Evolution, Continuities and Changes.” </w:t>
      </w:r>
      <w:r w:rsidRPr="00660D1C">
        <w:rPr>
          <w:rFonts w:ascii="Gentium" w:hAnsi="Gentium"/>
          <w:i/>
          <w:color w:val="000000"/>
        </w:rPr>
        <w:t>Central Asia and the Caucasus: Journal of Social and Political Studies</w:t>
      </w:r>
      <w:r w:rsidRPr="00660D1C">
        <w:rPr>
          <w:rFonts w:ascii="Gentium" w:hAnsi="Gentium"/>
          <w:color w:val="000000"/>
        </w:rPr>
        <w:t xml:space="preserve"> 6:24 (2003): 39-46.</w:t>
      </w:r>
    </w:p>
    <w:p w14:paraId="4F06A9D6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Nomoto, Shin. “The Concept of </w:t>
      </w:r>
      <w:r w:rsidRPr="008134E2">
        <w:rPr>
          <w:rFonts w:ascii="Gentium" w:hAnsi="Gentium"/>
          <w:i/>
        </w:rPr>
        <w:t>W</w:t>
      </w:r>
      <w:r w:rsidRPr="00660D1C">
        <w:rPr>
          <w:rFonts w:ascii="Gentium" w:hAnsi="Gentium"/>
          <w:i/>
          <w:color w:val="000000"/>
        </w:rPr>
        <w:t>alāyah</w:t>
      </w:r>
      <w:r w:rsidRPr="00660D1C">
        <w:rPr>
          <w:rFonts w:ascii="Gentium" w:hAnsi="Gentium"/>
          <w:color w:val="000000"/>
        </w:rPr>
        <w:t xml:space="preserve"> in Qāḍī al-Nu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>mān’s Theory of the Imāmate.” M.A. thesis, Keio University,</w:t>
      </w:r>
      <w:r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color w:val="000000"/>
        </w:rPr>
        <w:t>1987. [In Japanese] [U]</w:t>
      </w:r>
    </w:p>
    <w:p w14:paraId="4DAE541A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“The Place of Abū Ḥātim al-Rāzī’s </w:t>
      </w:r>
      <w:r w:rsidRPr="00660D1C">
        <w:rPr>
          <w:rFonts w:ascii="Gentium" w:hAnsi="Gentium"/>
          <w:i/>
          <w:color w:val="000000"/>
        </w:rPr>
        <w:t xml:space="preserve">Kitāb al-Iṣlāḥ </w:t>
      </w:r>
      <w:r w:rsidRPr="00660D1C">
        <w:rPr>
          <w:rFonts w:ascii="Gentium" w:hAnsi="Gentium"/>
          <w:color w:val="000000"/>
        </w:rPr>
        <w:t>in the History of Early Ismā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īlī Thought (4): Some Notes on its Manuscripts and Printed Edition.” </w:t>
      </w:r>
      <w:r w:rsidRPr="00660D1C">
        <w:rPr>
          <w:rFonts w:ascii="Gentium" w:hAnsi="Gentium"/>
          <w:i/>
          <w:color w:val="000000"/>
        </w:rPr>
        <w:t>Reports of Keio Institute of Cultural and Linguistic Studies</w:t>
      </w:r>
      <w:r w:rsidRPr="00660D1C">
        <w:rPr>
          <w:rFonts w:ascii="Gentium" w:hAnsi="Gentium"/>
          <w:color w:val="000000"/>
        </w:rPr>
        <w:t xml:space="preserve"> 33 (2001): 255-273. [In Japanese]</w:t>
      </w:r>
    </w:p>
    <w:p w14:paraId="33DD4FB9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Novák, Vlastimil. “Fāṭimid and Post-Fāṭimid Glass Jetons in the National Museum, Prague.” </w:t>
      </w:r>
      <w:r w:rsidRPr="00660D1C">
        <w:rPr>
          <w:rFonts w:ascii="Gentium" w:hAnsi="Gentium"/>
          <w:i/>
          <w:color w:val="000000"/>
        </w:rPr>
        <w:t xml:space="preserve">Numismatic Chronicle </w:t>
      </w:r>
      <w:r w:rsidRPr="00660D1C">
        <w:rPr>
          <w:rFonts w:ascii="Gentium" w:hAnsi="Gentium"/>
          <w:color w:val="000000"/>
        </w:rPr>
        <w:t xml:space="preserve">157 (1997): 89-132., + 5 plates (23-27).  </w:t>
      </w:r>
    </w:p>
    <w:p w14:paraId="4C4843B9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Oehrig, Robert J. </w:t>
      </w:r>
      <w:r w:rsidRPr="00660D1C">
        <w:rPr>
          <w:rFonts w:ascii="Gentium" w:hAnsi="Gentium"/>
          <w:i/>
          <w:color w:val="000000"/>
        </w:rPr>
        <w:t>The Religious Sub-System of the Kenyan Ismailis (A Key to the Total Culture)</w:t>
      </w:r>
      <w:r w:rsidRPr="00660D1C">
        <w:rPr>
          <w:rFonts w:ascii="Gentium" w:hAnsi="Gentium"/>
          <w:color w:val="000000"/>
        </w:rPr>
        <w:t>. Nairobi, Kenya: Daystar Communications, 1987. 69 pp.</w:t>
      </w:r>
    </w:p>
    <w:p w14:paraId="0B5AF00B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Ogger, Thomas. “Die Assassinen - eine Legende aus dem Mittelalter.” </w:t>
      </w:r>
      <w:r w:rsidRPr="00660D1C">
        <w:rPr>
          <w:rFonts w:ascii="Gentium" w:hAnsi="Gentium"/>
          <w:i/>
          <w:color w:val="000000"/>
        </w:rPr>
        <w:t>Das Altertum</w:t>
      </w:r>
      <w:r w:rsidRPr="00660D1C">
        <w:rPr>
          <w:rFonts w:ascii="Gentium" w:hAnsi="Gentium"/>
          <w:color w:val="000000"/>
        </w:rPr>
        <w:t xml:space="preserve"> 48:1 (2003): 71-78.</w:t>
      </w:r>
    </w:p>
    <w:p w14:paraId="3AB795B0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Osborn, Robert D. “The Sect of ‘The Assassins.’’’ </w:t>
      </w:r>
      <w:r w:rsidRPr="00660D1C">
        <w:rPr>
          <w:rFonts w:ascii="Gentium" w:hAnsi="Gentium"/>
          <w:i/>
          <w:color w:val="000000"/>
        </w:rPr>
        <w:t>Calcutta Review</w:t>
      </w:r>
      <w:r w:rsidRPr="00660D1C">
        <w:rPr>
          <w:rFonts w:ascii="Gentium" w:hAnsi="Gentium"/>
          <w:color w:val="000000"/>
        </w:rPr>
        <w:t xml:space="preserve"> 55:109 (1872): 1-16.</w:t>
      </w:r>
    </w:p>
    <w:p w14:paraId="2FF6438D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“The Sect of ‘The Assassins’: Part II - The Fatimite Caliphs.” </w:t>
      </w:r>
      <w:r w:rsidRPr="00660D1C">
        <w:rPr>
          <w:rFonts w:ascii="Gentium" w:hAnsi="Gentium"/>
          <w:i/>
          <w:color w:val="000000"/>
        </w:rPr>
        <w:t>Calcutta Review</w:t>
      </w:r>
      <w:r w:rsidRPr="00660D1C">
        <w:rPr>
          <w:rFonts w:ascii="Gentium" w:hAnsi="Gentium"/>
          <w:color w:val="000000"/>
        </w:rPr>
        <w:t xml:space="preserve"> 55:110 (1872): 283-313.</w:t>
      </w:r>
    </w:p>
    <w:p w14:paraId="158A3E0F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“The Sect of ‘The Assassins’: Part III - The Caliphs of Baghdad.” </w:t>
      </w:r>
      <w:r w:rsidRPr="00660D1C">
        <w:rPr>
          <w:rFonts w:ascii="Gentium" w:hAnsi="Gentium"/>
          <w:i/>
          <w:color w:val="000000"/>
        </w:rPr>
        <w:t>Calcutta Review</w:t>
      </w:r>
      <w:r w:rsidRPr="00660D1C">
        <w:rPr>
          <w:rFonts w:ascii="Gentium" w:hAnsi="Gentium"/>
          <w:color w:val="000000"/>
        </w:rPr>
        <w:t xml:space="preserve"> 56:111 (1873): 59-86.</w:t>
      </w:r>
    </w:p>
    <w:p w14:paraId="737B8403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“The Sect of ‘The Assassins’: Part IV - The Fall of Baghdad.” </w:t>
      </w:r>
      <w:r w:rsidRPr="00660D1C">
        <w:rPr>
          <w:rFonts w:ascii="Gentium" w:hAnsi="Gentium"/>
          <w:i/>
          <w:color w:val="000000"/>
        </w:rPr>
        <w:t>Calcutta Review</w:t>
      </w:r>
      <w:r w:rsidRPr="00660D1C">
        <w:rPr>
          <w:rFonts w:ascii="Gentium" w:hAnsi="Gentium"/>
          <w:color w:val="000000"/>
        </w:rPr>
        <w:t xml:space="preserve"> 57:113 (1873): 43-76.</w:t>
      </w:r>
    </w:p>
    <w:p w14:paraId="64845AA1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Owen, Margaret C. “Bracelets of Gold: Medieval Fatimid Jewelry.” M.A. thesis, Department of Art, Hunter College, City University of New York, 1992. 62 pp., + 40 figs.</w:t>
      </w:r>
    </w:p>
    <w:p w14:paraId="4495AFED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Palmer, Alan W. “Aga Khan III (Aga Sultan Sir Mohammed Shah).” In </w:t>
      </w:r>
      <w:r w:rsidRPr="00660D1C">
        <w:rPr>
          <w:rFonts w:ascii="Gentium" w:hAnsi="Gentium"/>
          <w:i/>
          <w:color w:val="000000"/>
        </w:rPr>
        <w:t>Who’s Who in World Politics: From 1860 to the Present Day</w:t>
      </w:r>
      <w:r w:rsidRPr="00660D1C">
        <w:rPr>
          <w:rFonts w:ascii="Gentium" w:hAnsi="Gentium"/>
          <w:color w:val="000000"/>
        </w:rPr>
        <w:t>, 7. London: Routledge, 1996.</w:t>
      </w:r>
    </w:p>
    <w:p w14:paraId="3D8ADDFB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Pareit, Isabelle. “The Contribution of al-Maqrīzī to the Description of the Burning of Miṣr al-Fusṭāṭ.” </w:t>
      </w:r>
      <w:r w:rsidRPr="00660D1C">
        <w:rPr>
          <w:rFonts w:ascii="Gentium" w:hAnsi="Gentium"/>
          <w:i/>
          <w:color w:val="000000"/>
        </w:rPr>
        <w:t>Al-Masāq</w:t>
      </w:r>
      <w:r w:rsidRPr="00660D1C">
        <w:rPr>
          <w:rFonts w:ascii="Gentium" w:hAnsi="Gentium"/>
          <w:color w:val="000000"/>
        </w:rPr>
        <w:t xml:space="preserve"> 11 (1999): 69-108.</w:t>
      </w:r>
    </w:p>
    <w:p w14:paraId="1372B995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Parlato, Sandra. “Bibliografia </w:t>
      </w:r>
      <w:r w:rsidRPr="00660D1C">
        <w:rPr>
          <w:rFonts w:ascii="Gentium" w:hAnsi="Gentium"/>
          <w:i/>
          <w:color w:val="000000"/>
        </w:rPr>
        <w:t>in progress</w:t>
      </w:r>
      <w:r w:rsidRPr="00660D1C">
        <w:rPr>
          <w:rFonts w:ascii="Gentium" w:hAnsi="Gentium"/>
          <w:color w:val="000000"/>
        </w:rPr>
        <w:t xml:space="preserve"> relativa all’epoca e all’area di influenza dei Fāṭimidi.” </w:t>
      </w:r>
      <w:r w:rsidRPr="00660D1C">
        <w:rPr>
          <w:rFonts w:ascii="Gentium" w:hAnsi="Gentium"/>
          <w:i/>
          <w:color w:val="000000"/>
        </w:rPr>
        <w:t>Scienza e Storia: Bollettino del Centro Internazionale di Storia dello Spazio e del Tempo</w:t>
      </w:r>
      <w:r w:rsidRPr="00660D1C">
        <w:rPr>
          <w:rFonts w:ascii="Gentium" w:hAnsi="Gentium"/>
          <w:color w:val="000000"/>
        </w:rPr>
        <w:t xml:space="preserve"> 14 (2001): 85-108.</w:t>
      </w:r>
    </w:p>
    <w:p w14:paraId="334642FA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Patel, Ebrahim </w:t>
      </w:r>
      <w:r w:rsidRPr="00260983">
        <w:rPr>
          <w:rFonts w:ascii="Gentium" w:hAnsi="Gentium"/>
        </w:rPr>
        <w:t>(Eboo)</w:t>
      </w:r>
      <w:r w:rsidRPr="00660D1C">
        <w:rPr>
          <w:rFonts w:ascii="Gentium" w:hAnsi="Gentium"/>
          <w:color w:val="000000"/>
        </w:rPr>
        <w:t xml:space="preserve"> S. “Ismaili Religious Education and Modernity.”</w:t>
      </w:r>
      <w:r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color w:val="000000"/>
        </w:rPr>
        <w:t xml:space="preserve"> </w:t>
      </w:r>
      <w:r w:rsidRPr="00C62093">
        <w:rPr>
          <w:rFonts w:ascii="Gentium" w:hAnsi="Gentium"/>
          <w:color w:val="000000"/>
        </w:rPr>
        <w:t>D.Phil. diss.</w:t>
      </w:r>
      <w:r w:rsidRPr="00660D1C">
        <w:rPr>
          <w:rFonts w:ascii="Gentium" w:hAnsi="Gentium"/>
          <w:color w:val="000000"/>
        </w:rPr>
        <w:t>, Department of Educational Studies, Univers</w:t>
      </w:r>
      <w:r>
        <w:rPr>
          <w:rFonts w:ascii="Gentium" w:hAnsi="Gentium"/>
          <w:color w:val="000000"/>
        </w:rPr>
        <w:t xml:space="preserve">ity of Oxford, 2002. 316 pp. </w:t>
      </w:r>
      <w:r w:rsidRPr="00660D1C">
        <w:rPr>
          <w:rFonts w:ascii="Gentium" w:hAnsi="Gentium"/>
          <w:color w:val="000000"/>
        </w:rPr>
        <w:tab/>
      </w:r>
    </w:p>
    <w:p w14:paraId="29842CFD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“Ismaili Religious Education and Modernity.” </w:t>
      </w:r>
      <w:r w:rsidRPr="00660D1C">
        <w:rPr>
          <w:rFonts w:ascii="Gentium" w:hAnsi="Gentium"/>
          <w:i/>
          <w:color w:val="000000"/>
        </w:rPr>
        <w:t xml:space="preserve">Journal of Islamic Law and Culture </w:t>
      </w:r>
      <w:r w:rsidRPr="00660D1C">
        <w:rPr>
          <w:rFonts w:ascii="Gentium" w:hAnsi="Gentium"/>
          <w:color w:val="000000"/>
        </w:rPr>
        <w:t>8:2 (2003): 69-87.</w:t>
      </w:r>
    </w:p>
    <w:p w14:paraId="4EBEBA47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Pennendreff, Anne de. “Les objets les plus purs rapportés des croisades: Les cristaux fatimites.” </w:t>
      </w:r>
      <w:r w:rsidRPr="00660D1C">
        <w:rPr>
          <w:rFonts w:ascii="Gentium" w:hAnsi="Gentium"/>
          <w:i/>
          <w:color w:val="000000"/>
        </w:rPr>
        <w:t>Connaissance des Arts</w:t>
      </w:r>
      <w:r w:rsidRPr="00660D1C">
        <w:rPr>
          <w:rFonts w:ascii="Gentium" w:hAnsi="Gentium"/>
          <w:color w:val="000000"/>
        </w:rPr>
        <w:t xml:space="preserve"> 112 (1961): 106-113.</w:t>
      </w:r>
    </w:p>
    <w:p w14:paraId="05FD23DE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Petersen, Andrew. “Ajdabiya (Roman Corniclanum),” “al-Aqmar Mosque,” “al-Azhar,” “Badr al-Jamali, Tomb of (also referred to as the Mashhad of al-Juyushi),” “Cairo (Arabic: al-Qahira) - The Fatimid Period,” “Fatimids,” “al-Hakim, Mosque of,” “Libiya,” “Mahdiya.” In </w:t>
      </w:r>
      <w:r w:rsidRPr="00660D1C">
        <w:rPr>
          <w:rFonts w:ascii="Gentium" w:hAnsi="Gentium"/>
          <w:i/>
          <w:color w:val="000000"/>
        </w:rPr>
        <w:t>Dictionary of Islamic Architecture</w:t>
      </w:r>
      <w:r w:rsidRPr="00660D1C">
        <w:rPr>
          <w:rFonts w:ascii="Gentium" w:hAnsi="Gentium"/>
          <w:color w:val="000000"/>
        </w:rPr>
        <w:t>. London: Routledge, 1996.</w:t>
      </w:r>
    </w:p>
    <w:p w14:paraId="5B55A89B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Pevzner, S. B. “Fatimidskiy tiraz iz sobraniya Gosudarstvennogo Ermitazha.” [A Fatimid </w:t>
      </w:r>
      <w:r w:rsidRPr="00660D1C">
        <w:rPr>
          <w:rFonts w:ascii="Gentium" w:hAnsi="Gentium"/>
          <w:i/>
          <w:color w:val="000000"/>
        </w:rPr>
        <w:t>Ṭirāz</w:t>
      </w:r>
      <w:r w:rsidRPr="00660D1C">
        <w:rPr>
          <w:rFonts w:ascii="Gentium" w:hAnsi="Gentium"/>
          <w:color w:val="000000"/>
        </w:rPr>
        <w:t xml:space="preserve"> in the Hermitage] </w:t>
      </w:r>
      <w:r w:rsidRPr="00660D1C">
        <w:rPr>
          <w:rFonts w:ascii="Gentium" w:hAnsi="Gentium"/>
          <w:i/>
          <w:color w:val="000000"/>
        </w:rPr>
        <w:t>Epigrafika Vostoka</w:t>
      </w:r>
      <w:r w:rsidRPr="00660D1C">
        <w:rPr>
          <w:rFonts w:ascii="Gentium" w:hAnsi="Gentium"/>
          <w:color w:val="000000"/>
        </w:rPr>
        <w:t xml:space="preserve"> 13 (1960): 35-40. [In Russian]</w:t>
      </w:r>
    </w:p>
    <w:p w14:paraId="00321B8D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Pinder-Wilson, Ralph H. “Persian Pottery at the Time of the Assassins.” Appendix C. in </w:t>
      </w:r>
      <w:r w:rsidRPr="00660D1C">
        <w:rPr>
          <w:rFonts w:ascii="Gentium" w:hAnsi="Gentium"/>
          <w:i/>
          <w:color w:val="000000"/>
        </w:rPr>
        <w:t>The Castles of the Assassins</w:t>
      </w:r>
      <w:r w:rsidRPr="00660D1C">
        <w:rPr>
          <w:rFonts w:ascii="Gentium" w:hAnsi="Gentium"/>
          <w:color w:val="000000"/>
        </w:rPr>
        <w:t>, by Peter Willey, 320-328. London: G.G. Harrap, 1963.</w:t>
      </w:r>
    </w:p>
    <w:p w14:paraId="1D57B083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“An Inscription of Badr Al-Jamālī.”</w:t>
      </w:r>
      <w:r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i/>
          <w:color w:val="000000"/>
        </w:rPr>
        <w:t xml:space="preserve">British Museum Quarterly </w:t>
      </w:r>
      <w:r w:rsidRPr="00660D1C">
        <w:rPr>
          <w:rFonts w:ascii="Gentium" w:hAnsi="Gentium"/>
          <w:color w:val="000000"/>
        </w:rPr>
        <w:t xml:space="preserve">36:1-2 (1971): 51-53., + 1 plate (25).  </w:t>
      </w:r>
    </w:p>
    <w:p w14:paraId="481B6596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Pines, Shlomo. “Notes sur l’Ismailiyya.” </w:t>
      </w:r>
      <w:r w:rsidRPr="00660D1C">
        <w:rPr>
          <w:rFonts w:ascii="Gentium" w:hAnsi="Gentium"/>
          <w:i/>
          <w:color w:val="000000"/>
        </w:rPr>
        <w:t>Hermes</w:t>
      </w:r>
      <w:r w:rsidRPr="00660D1C">
        <w:rPr>
          <w:rFonts w:ascii="Gentium" w:hAnsi="Gentium"/>
          <w:color w:val="000000"/>
        </w:rPr>
        <w:t xml:space="preserve"> 3 (1939): 51-59. Reprinted in </w:t>
      </w:r>
      <w:r w:rsidRPr="00660D1C">
        <w:rPr>
          <w:rFonts w:ascii="Gentium" w:hAnsi="Gentium"/>
          <w:i/>
          <w:color w:val="000000"/>
        </w:rPr>
        <w:t>Studies in the History of Arabic Philosophy</w:t>
      </w:r>
      <w:r w:rsidRPr="00660D1C">
        <w:rPr>
          <w:rFonts w:ascii="Gentium" w:hAnsi="Gentium"/>
          <w:color w:val="000000"/>
        </w:rPr>
        <w:t>. The Collected Works of Shlomo Pines III. Edited by Sarah Stroumsa, 381–389. Jerusalem: Magnes Press, Hebrew University, 1996.</w:t>
      </w:r>
    </w:p>
    <w:p w14:paraId="5E15051B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Pirani, Khalil Karim. “In Search of Appropriate Architecture: A </w:t>
      </w:r>
      <w:r w:rsidRPr="00894E40">
        <w:rPr>
          <w:rFonts w:ascii="Gentium" w:hAnsi="Gentium"/>
          <w:color w:val="000000"/>
        </w:rPr>
        <w:t>Jamat Khana</w:t>
      </w:r>
      <w:r w:rsidRPr="00660D1C">
        <w:rPr>
          <w:rFonts w:ascii="Gentium" w:hAnsi="Gentium"/>
          <w:color w:val="000000"/>
        </w:rPr>
        <w:t xml:space="preserve"> in Hunza, Pakistan.” M.Arch. thesis, Department of Architecture, Massachusetts Institute of Technology, </w:t>
      </w:r>
      <w:r>
        <w:rPr>
          <w:rFonts w:ascii="Gentium" w:hAnsi="Gentium"/>
          <w:color w:val="000000"/>
        </w:rPr>
        <w:t xml:space="preserve">1989. vi + 133 pp. </w:t>
      </w:r>
      <w:r w:rsidRPr="00660D1C">
        <w:rPr>
          <w:rFonts w:ascii="Gentium" w:hAnsi="Gentium"/>
          <w:color w:val="000000"/>
        </w:rPr>
        <w:t xml:space="preserve">  </w:t>
      </w:r>
    </w:p>
    <w:p w14:paraId="6771BFF0" w14:textId="77777777" w:rsidR="00EA60B1" w:rsidRPr="00720BCD" w:rsidRDefault="00EA60B1" w:rsidP="00EA60B1">
      <w:pPr>
        <w:rPr>
          <w:rFonts w:ascii="Gentium" w:hAnsi="Gentium"/>
          <w:color w:val="000000"/>
          <w:szCs w:val="24"/>
        </w:rPr>
      </w:pPr>
      <w:r w:rsidRPr="00720BCD">
        <w:rPr>
          <w:rFonts w:ascii="Gentium" w:hAnsi="Gentium"/>
          <w:color w:val="000000"/>
          <w:szCs w:val="24"/>
        </w:rPr>
        <w:t xml:space="preserve">Pollak, Rachel. “Glass Vessels of a Fatimid Hoard from Caesarea Maritima.” In </w:t>
      </w:r>
      <w:r w:rsidRPr="00720BCD">
        <w:rPr>
          <w:rFonts w:ascii="Gentium" w:hAnsi="Gentium"/>
          <w:i/>
          <w:color w:val="000000"/>
          <w:szCs w:val="24"/>
        </w:rPr>
        <w:t>Annales du 14</w:t>
      </w:r>
      <w:r w:rsidRPr="00720BCD">
        <w:rPr>
          <w:rFonts w:ascii="Gentium" w:hAnsi="Gentium"/>
          <w:i/>
          <w:color w:val="000000"/>
          <w:szCs w:val="24"/>
          <w:vertAlign w:val="superscript"/>
        </w:rPr>
        <w:t>e</w:t>
      </w:r>
      <w:r w:rsidRPr="00720BCD">
        <w:rPr>
          <w:rFonts w:ascii="Gentium" w:hAnsi="Gentium"/>
          <w:i/>
          <w:color w:val="000000"/>
          <w:szCs w:val="24"/>
        </w:rPr>
        <w:t xml:space="preserve"> Congrès de l’Association Internationale pour l’Histoire du Verre, Italia</w:t>
      </w:r>
      <w:r w:rsidRPr="00720BCD">
        <w:rPr>
          <w:rFonts w:ascii="Gentium" w:hAnsi="Gentium"/>
          <w:color w:val="000000"/>
          <w:szCs w:val="24"/>
        </w:rPr>
        <w:t>. Edited by Jennifer Price, 238-242. Lochem: Association internationale pour l’histoire du verre, 2000.</w:t>
      </w:r>
    </w:p>
    <w:p w14:paraId="11DD3FF1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Ponting, Matthew J. “From Damascus to Denia: Scientific Analysis of Three Groups of Fatimid Period Metalwork.” </w:t>
      </w:r>
      <w:r w:rsidRPr="00660D1C">
        <w:rPr>
          <w:rFonts w:ascii="Gentium" w:hAnsi="Gentium"/>
          <w:i/>
          <w:color w:val="000000"/>
        </w:rPr>
        <w:t xml:space="preserve">Historical Metallurgy </w:t>
      </w:r>
      <w:r w:rsidRPr="00660D1C">
        <w:rPr>
          <w:rFonts w:ascii="Gentium" w:hAnsi="Gentium"/>
          <w:color w:val="000000"/>
        </w:rPr>
        <w:t>37:2 (2003): 85-105.</w:t>
      </w:r>
    </w:p>
    <w:p w14:paraId="6FEACDA6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Porter, Harvey. “The Order of the Assassins.” </w:t>
      </w:r>
      <w:r w:rsidRPr="00660D1C">
        <w:rPr>
          <w:rFonts w:ascii="Gentium" w:hAnsi="Gentium"/>
          <w:i/>
          <w:color w:val="000000"/>
        </w:rPr>
        <w:t>Bibliotheca Sacra</w:t>
      </w:r>
      <w:r w:rsidRPr="00660D1C">
        <w:rPr>
          <w:rFonts w:ascii="Gentium" w:hAnsi="Gentium"/>
          <w:color w:val="000000"/>
        </w:rPr>
        <w:t xml:space="preserve"> 52:205 (1895): 113-134.</w:t>
      </w:r>
    </w:p>
    <w:p w14:paraId="1DE055FD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Pouwels, Randall L. “Tenth Century Settlement of the East African Coast: The Case for Qarmatian/Isma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ili Connections.” </w:t>
      </w:r>
      <w:r w:rsidRPr="00660D1C">
        <w:rPr>
          <w:rFonts w:ascii="Gentium" w:hAnsi="Gentium"/>
          <w:i/>
          <w:color w:val="000000"/>
        </w:rPr>
        <w:t>Azania: Journal of the British Institute in Eastern Africa</w:t>
      </w:r>
      <w:r w:rsidRPr="00660D1C">
        <w:rPr>
          <w:rFonts w:ascii="Gentium" w:hAnsi="Gentium"/>
          <w:color w:val="000000"/>
        </w:rPr>
        <w:t xml:space="preserve"> 9 (1974): 65-74. </w:t>
      </w:r>
    </w:p>
    <w:p w14:paraId="424F87FA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Prieto y Vives, Antonio. “Numismática Africana: Los Fatimitas en Fez.” In </w:t>
      </w:r>
      <w:r w:rsidRPr="00660D1C">
        <w:rPr>
          <w:rFonts w:ascii="Gentium" w:hAnsi="Gentium"/>
          <w:i/>
          <w:color w:val="000000"/>
        </w:rPr>
        <w:t>Homenaje á D. Francisco Codera en su jubilación del profesorado: Estudios de erudición oriental</w:t>
      </w:r>
      <w:r w:rsidRPr="00660D1C">
        <w:rPr>
          <w:rFonts w:ascii="Gentium" w:hAnsi="Gentium"/>
          <w:color w:val="000000"/>
        </w:rPr>
        <w:t>. Edited by Eduardo Saavedra, 99-103. Zaragoza: M. Escar, tipógrafo, 1904.</w:t>
      </w:r>
    </w:p>
    <w:p w14:paraId="00205D16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Priskil, Peter. “Die Karmaten: Eine historische Skizze.” </w:t>
      </w:r>
      <w:r w:rsidRPr="00660D1C">
        <w:rPr>
          <w:rFonts w:ascii="Gentium" w:hAnsi="Gentium"/>
          <w:i/>
          <w:color w:val="000000"/>
        </w:rPr>
        <w:t>Ketzerbriefe: Flaschenpost für unangepaßte Gedanken</w:t>
      </w:r>
      <w:r w:rsidRPr="00660D1C">
        <w:rPr>
          <w:rFonts w:ascii="Gentium" w:hAnsi="Gentium"/>
          <w:color w:val="000000"/>
        </w:rPr>
        <w:t xml:space="preserve"> 102 (2001): 6-24.</w:t>
      </w:r>
    </w:p>
    <w:p w14:paraId="749FD19B" w14:textId="77777777" w:rsidR="00EA60B1" w:rsidRPr="00413836" w:rsidRDefault="00EA60B1" w:rsidP="00EA60B1">
      <w:pPr>
        <w:rPr>
          <w:rFonts w:ascii="Gentium" w:hAnsi="Gentium"/>
          <w:color w:val="000000"/>
        </w:rPr>
      </w:pPr>
      <w:r w:rsidRPr="00413836">
        <w:rPr>
          <w:rFonts w:ascii="Gentium" w:hAnsi="Gentium"/>
          <w:color w:val="000000"/>
        </w:rPr>
        <w:t xml:space="preserve">Quigg, Anne-Marie. “Ḥujjat Allāh: An Exploration of the Fāṭimid </w:t>
      </w:r>
      <w:r w:rsidRPr="003210D6">
        <w:rPr>
          <w:rFonts w:ascii="Gentium" w:hAnsi="Gentium"/>
          <w:color w:val="000000"/>
        </w:rPr>
        <w:t>Ismā</w:t>
      </w:r>
      <w:r w:rsidRPr="003210D6">
        <w:rPr>
          <w:rFonts w:ascii="Calibri" w:hAnsi="Calibri" w:cs="Calibri"/>
          <w:color w:val="000000"/>
        </w:rPr>
        <w:t>ʿ</w:t>
      </w:r>
      <w:r w:rsidRPr="003210D6">
        <w:rPr>
          <w:rFonts w:ascii="Gentium" w:hAnsi="Gentium"/>
          <w:color w:val="000000"/>
        </w:rPr>
        <w:t>īlī</w:t>
      </w:r>
      <w:r>
        <w:rPr>
          <w:rFonts w:ascii="Gentium" w:hAnsi="Gentium"/>
          <w:color w:val="000000"/>
        </w:rPr>
        <w:t xml:space="preserve"> </w:t>
      </w:r>
      <w:r w:rsidRPr="00413836">
        <w:rPr>
          <w:rFonts w:ascii="Gentium" w:hAnsi="Gentium"/>
          <w:color w:val="000000"/>
        </w:rPr>
        <w:t>Doctrine of Imāmate based on Qādī al-</w:t>
      </w:r>
      <w:r w:rsidRPr="003210D6">
        <w:t xml:space="preserve"> </w:t>
      </w:r>
      <w:r w:rsidRPr="003210D6">
        <w:rPr>
          <w:rFonts w:ascii="Gentium" w:hAnsi="Gentium"/>
          <w:color w:val="000000"/>
        </w:rPr>
        <w:t>Nu</w:t>
      </w:r>
      <w:r w:rsidRPr="003210D6">
        <w:rPr>
          <w:rFonts w:ascii="Calibri" w:hAnsi="Calibri" w:cs="Calibri"/>
          <w:color w:val="000000"/>
        </w:rPr>
        <w:t>ʿ</w:t>
      </w:r>
      <w:r w:rsidRPr="003210D6">
        <w:rPr>
          <w:rFonts w:ascii="Gentium" w:hAnsi="Gentium"/>
          <w:color w:val="000000"/>
        </w:rPr>
        <w:t>mān</w:t>
      </w:r>
      <w:r>
        <w:rPr>
          <w:rFonts w:ascii="Gentium" w:hAnsi="Gentium"/>
          <w:color w:val="000000"/>
        </w:rPr>
        <w:t xml:space="preserve">’s </w:t>
      </w:r>
      <w:r w:rsidRPr="00413836">
        <w:rPr>
          <w:rFonts w:ascii="Gentium" w:hAnsi="Gentium"/>
          <w:i/>
          <w:color w:val="000000"/>
        </w:rPr>
        <w:t>Kitāb al-Walāya</w:t>
      </w:r>
      <w:r w:rsidRPr="00413836">
        <w:rPr>
          <w:rFonts w:ascii="Gentium" w:hAnsi="Gentium"/>
          <w:color w:val="000000"/>
        </w:rPr>
        <w:t>.” Mémoire de licence, Pontificio Istituto di Studi Arabi e d’Islamistica, Roma, 1993. 122 pp.</w:t>
      </w:r>
    </w:p>
    <w:p w14:paraId="3239257E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Qutbuddin, Abde-ali K. “The Meaning of Love in the Poetry of Syedna Abdeali Saifuddin.” M.A. thesis, School of Oriental and African Studies, University of London, 1995. [U]</w:t>
      </w:r>
    </w:p>
    <w:p w14:paraId="55601024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“The Principles of Finance in Fatimi Tayyibi Law: Perception and Practice in the Dawoodi Bohra Community Today.” Ph.D. diss., School of Middle Eastern Studies, University of Manchester, 2003. [U]</w:t>
      </w:r>
    </w:p>
    <w:p w14:paraId="615805D9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Radtke, Bernd. “Iranian and Gnostic Elements in Early </w:t>
      </w:r>
      <w:r w:rsidRPr="00660D1C">
        <w:rPr>
          <w:rFonts w:ascii="Gentium" w:hAnsi="Gentium"/>
          <w:i/>
          <w:color w:val="000000"/>
        </w:rPr>
        <w:t>taṣawwuf</w:t>
      </w:r>
      <w:r w:rsidRPr="00660D1C">
        <w:rPr>
          <w:rFonts w:ascii="Gentium" w:hAnsi="Gentium"/>
          <w:color w:val="000000"/>
        </w:rPr>
        <w:t xml:space="preserve">: Observations Concerning the </w:t>
      </w:r>
      <w:r w:rsidRPr="00660D1C">
        <w:rPr>
          <w:rFonts w:ascii="Gentium" w:hAnsi="Gentium"/>
          <w:i/>
          <w:color w:val="000000"/>
        </w:rPr>
        <w:t>Umm al-Kitāb</w:t>
      </w:r>
      <w:r w:rsidRPr="00660D1C">
        <w:rPr>
          <w:rFonts w:ascii="Gentium" w:hAnsi="Gentium"/>
          <w:color w:val="000000"/>
        </w:rPr>
        <w:t xml:space="preserve">.” In </w:t>
      </w:r>
      <w:r w:rsidRPr="00660D1C">
        <w:rPr>
          <w:rFonts w:ascii="Gentium" w:hAnsi="Gentium"/>
          <w:i/>
          <w:color w:val="000000"/>
        </w:rPr>
        <w:t xml:space="preserve">Proceedings of the First European Conference of Iranian Studies held in Turin, September </w:t>
      </w:r>
      <w:r w:rsidRPr="00123043">
        <w:rPr>
          <w:rFonts w:ascii="Gentium" w:hAnsi="Gentium"/>
          <w:i/>
        </w:rPr>
        <w:t>7</w:t>
      </w:r>
      <w:r w:rsidRPr="00123043">
        <w:rPr>
          <w:rFonts w:ascii="Gentium" w:hAnsi="Gentium"/>
          <w:i/>
          <w:vertAlign w:val="superscript"/>
        </w:rPr>
        <w:t>th</w:t>
      </w:r>
      <w:r w:rsidRPr="00123043">
        <w:rPr>
          <w:rFonts w:ascii="Gentium" w:hAnsi="Gentium"/>
          <w:i/>
        </w:rPr>
        <w:t>-11</w:t>
      </w:r>
      <w:r w:rsidRPr="00123043">
        <w:rPr>
          <w:rFonts w:ascii="Gentium" w:hAnsi="Gentium"/>
          <w:i/>
          <w:vertAlign w:val="superscript"/>
        </w:rPr>
        <w:t>th</w:t>
      </w:r>
      <w:r w:rsidRPr="00123043">
        <w:rPr>
          <w:rFonts w:ascii="Gentium" w:hAnsi="Gentium"/>
          <w:i/>
        </w:rPr>
        <w:t>,</w:t>
      </w:r>
      <w:r w:rsidRPr="00660D1C">
        <w:rPr>
          <w:rFonts w:ascii="Gentium" w:hAnsi="Gentium"/>
          <w:i/>
          <w:color w:val="000000"/>
        </w:rPr>
        <w:t xml:space="preserve"> 1987 by the Societas Iranologica Europaea</w:t>
      </w:r>
      <w:r w:rsidRPr="00660D1C">
        <w:rPr>
          <w:rFonts w:ascii="Gentium" w:hAnsi="Gentium"/>
          <w:color w:val="000000"/>
        </w:rPr>
        <w:t>. 2 vols. Serie Orientale Roma 67:1-2. Edited by Gherardo Gnoli and Antonio Panaino, 2:519–530. Rome: Istituto italiano per il Medio ed Estremo Oriente, 1990.</w:t>
      </w:r>
    </w:p>
    <w:p w14:paraId="08E54EB2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Ragona, Antonio. “Influssi Copto-Fatimidi nella ceramica Siculo-Musulmana di epoca Normanna.” </w:t>
      </w:r>
      <w:r w:rsidRPr="00B141C6">
        <w:rPr>
          <w:rFonts w:ascii="Gentium" w:hAnsi="Gentium"/>
          <w:i/>
          <w:color w:val="000000"/>
        </w:rPr>
        <w:t>Beni Culturali e Ambientali</w:t>
      </w:r>
      <w:r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color w:val="000000"/>
        </w:rPr>
        <w:t>2:3-4 (1981): 11-17.</w:t>
      </w:r>
    </w:p>
    <w:p w14:paraId="6008B59D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Rahebi, Abdalla Ali. “Fatimid Mosques: Their History and Architecture.” M.Phil. thesis, Faculty of Oriental Studies, University of Oxford, 1983. 97 pp., + 36 plates. [U]</w:t>
      </w:r>
    </w:p>
    <w:p w14:paraId="492C35A8" w14:textId="77777777" w:rsidR="00EA60B1" w:rsidRPr="00660D1C" w:rsidRDefault="00EA60B1" w:rsidP="00EA60B1">
      <w:pPr>
        <w:rPr>
          <w:rFonts w:ascii="Gentium" w:hAnsi="Gentium"/>
          <w:color w:val="000000"/>
        </w:rPr>
      </w:pPr>
      <w:r>
        <w:rPr>
          <w:rFonts w:ascii="Gentium" w:hAnsi="Gentium"/>
          <w:color w:val="000000"/>
        </w:rPr>
        <w:t xml:space="preserve">Rahemtulla, Abdulsultan. </w:t>
      </w:r>
      <w:r w:rsidRPr="00660D1C">
        <w:rPr>
          <w:rFonts w:ascii="Gentium" w:hAnsi="Gentium"/>
          <w:color w:val="000000"/>
        </w:rPr>
        <w:t>“</w:t>
      </w:r>
      <w:r w:rsidRPr="00660D1C">
        <w:rPr>
          <w:rFonts w:ascii="Gentium" w:hAnsi="Gentium"/>
          <w:i/>
          <w:color w:val="000000"/>
        </w:rPr>
        <w:t>Challis Wato</w:t>
      </w:r>
      <w:r w:rsidRPr="00660D1C">
        <w:rPr>
          <w:rFonts w:ascii="Gentium" w:hAnsi="Gentium"/>
          <w:color w:val="000000"/>
        </w:rPr>
        <w:t xml:space="preserve">: An Unpublished </w:t>
      </w:r>
      <w:r w:rsidRPr="0073617F">
        <w:rPr>
          <w:rFonts w:ascii="Gentium" w:hAnsi="Gentium"/>
        </w:rPr>
        <w:t>Granth</w:t>
      </w:r>
      <w:r w:rsidRPr="00660D1C">
        <w:rPr>
          <w:rFonts w:ascii="Gentium" w:hAnsi="Gentium"/>
          <w:color w:val="000000"/>
        </w:rPr>
        <w:t xml:space="preserve">.” In </w:t>
      </w:r>
      <w:r>
        <w:rPr>
          <w:rFonts w:ascii="Gentium" w:hAnsi="Gentium"/>
          <w:i/>
          <w:color w:val="000000"/>
        </w:rPr>
        <w:t>SOS</w:t>
      </w:r>
      <w:r w:rsidRPr="00660D1C">
        <w:rPr>
          <w:rFonts w:ascii="Gentium" w:hAnsi="Gentium"/>
          <w:color w:val="000000"/>
        </w:rPr>
        <w:t>, 120-122.</w:t>
      </w:r>
    </w:p>
    <w:p w14:paraId="40133DE8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Rahim, Habibeh. “A Vision of the Past as a Beacon for the Future: The Application of Fatimid Ideals in the City of Cairo.” In </w:t>
      </w:r>
      <w:r w:rsidRPr="00660D1C">
        <w:rPr>
          <w:rFonts w:ascii="Gentium" w:hAnsi="Gentium"/>
          <w:i/>
          <w:color w:val="000000"/>
        </w:rPr>
        <w:t>African Visions: Literary Images, Political Change, and Social Struggle in Contemporary Africa</w:t>
      </w:r>
      <w:r w:rsidRPr="00660D1C">
        <w:rPr>
          <w:rFonts w:ascii="Gentium" w:hAnsi="Gentium"/>
          <w:color w:val="000000"/>
        </w:rPr>
        <w:t>. Contributions in Afro-American and African studies 197. Edited by Cheryl B. Mwaria, Silvia Federici, and Joseph McLaren, 105-135. Westport, CT: Praeger, 2000.</w:t>
      </w:r>
    </w:p>
    <w:p w14:paraId="3D3AB8E2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Rahman, A. N. M. Wahidur. “</w:t>
      </w:r>
      <w:r w:rsidRPr="00660D1C">
        <w:rPr>
          <w:rFonts w:ascii="Gentium" w:hAnsi="Gentium"/>
          <w:i/>
          <w:color w:val="000000"/>
        </w:rPr>
        <w:t>Rasā</w:t>
      </w:r>
      <w:r w:rsidRPr="00660D1C">
        <w:rPr>
          <w:rFonts w:ascii="Calibri" w:hAnsi="Calibri" w:cs="Calibri"/>
          <w:i/>
          <w:color w:val="000000"/>
        </w:rPr>
        <w:t>ʾ</w:t>
      </w:r>
      <w:r w:rsidRPr="00660D1C">
        <w:rPr>
          <w:rFonts w:ascii="Gentium" w:hAnsi="Gentium"/>
          <w:i/>
          <w:color w:val="000000"/>
        </w:rPr>
        <w:t>il Ikhwān al-Ṣafā</w:t>
      </w:r>
      <w:r w:rsidRPr="00660D1C">
        <w:rPr>
          <w:rFonts w:ascii="Calibri" w:hAnsi="Calibri" w:cs="Calibri"/>
          <w:i/>
          <w:color w:val="000000"/>
        </w:rPr>
        <w:t>ʾ</w:t>
      </w:r>
      <w:r w:rsidRPr="00660D1C">
        <w:rPr>
          <w:rFonts w:ascii="Gentium" w:hAnsi="Gentium"/>
          <w:color w:val="000000"/>
        </w:rPr>
        <w:t xml:space="preserve">: The Idea of Perfection of the Soul.” </w:t>
      </w:r>
      <w:r w:rsidRPr="00660D1C">
        <w:rPr>
          <w:rFonts w:ascii="Gentium" w:hAnsi="Gentium"/>
          <w:i/>
          <w:color w:val="000000"/>
        </w:rPr>
        <w:t>Hamdard Islamicus</w:t>
      </w:r>
      <w:r w:rsidRPr="00660D1C">
        <w:rPr>
          <w:rFonts w:ascii="Gentium" w:hAnsi="Gentium"/>
          <w:color w:val="000000"/>
        </w:rPr>
        <w:t xml:space="preserve"> 14:3 (1991): 25-48.</w:t>
      </w:r>
    </w:p>
    <w:p w14:paraId="10D39A82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Rajwani, Farida A. “The Educational Aspirations and Expression of the Isma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>ili Community in Kenya.” Ed.D. diss., Department of Education, University of Toronto, 1987. x + 170 pp.</w:t>
      </w:r>
    </w:p>
    <w:p w14:paraId="20DB2FFD" w14:textId="77777777" w:rsidR="00EA60B1" w:rsidRPr="00720BCD" w:rsidRDefault="00EA60B1" w:rsidP="00EA60B1">
      <w:pPr>
        <w:rPr>
          <w:rFonts w:ascii="Gentium" w:hAnsi="Gentium" w:cs="Gentium"/>
          <w:color w:val="000000"/>
          <w:szCs w:val="24"/>
        </w:rPr>
      </w:pPr>
      <w:r w:rsidRPr="00720BCD">
        <w:rPr>
          <w:rFonts w:ascii="Gentium" w:hAnsi="Gentium"/>
          <w:color w:val="000000"/>
          <w:szCs w:val="24"/>
        </w:rPr>
        <w:t>Rammah, Mourad. “La céramique des X</w:t>
      </w:r>
      <w:r w:rsidRPr="00720BCD">
        <w:rPr>
          <w:rFonts w:ascii="Gentium" w:hAnsi="Gentium"/>
          <w:color w:val="000000"/>
          <w:szCs w:val="24"/>
          <w:vertAlign w:val="superscript"/>
        </w:rPr>
        <w:t>e</w:t>
      </w:r>
      <w:r w:rsidRPr="00720BCD">
        <w:rPr>
          <w:rFonts w:ascii="Gentium" w:hAnsi="Gentium"/>
          <w:color w:val="000000"/>
          <w:szCs w:val="24"/>
        </w:rPr>
        <w:t xml:space="preserve"> </w:t>
      </w:r>
      <w:r w:rsidRPr="00720BCD">
        <w:rPr>
          <w:rFonts w:ascii="Gentium" w:hAnsi="Gentium" w:cs="Gentium"/>
          <w:color w:val="000000"/>
          <w:szCs w:val="24"/>
        </w:rPr>
        <w:t>et XI</w:t>
      </w:r>
      <w:r w:rsidRPr="00720BCD">
        <w:rPr>
          <w:rFonts w:ascii="Gentium" w:hAnsi="Gentium"/>
          <w:color w:val="000000"/>
          <w:szCs w:val="24"/>
          <w:vertAlign w:val="superscript"/>
        </w:rPr>
        <w:t>e</w:t>
      </w:r>
      <w:r w:rsidRPr="00720BCD">
        <w:rPr>
          <w:rFonts w:ascii="Gentium" w:hAnsi="Gentium" w:cs="Gentium"/>
          <w:color w:val="000000"/>
          <w:szCs w:val="24"/>
        </w:rPr>
        <w:t xml:space="preserve"> siécles: Sabra al-Mansûriya.” In </w:t>
      </w:r>
      <w:r w:rsidRPr="00720BCD">
        <w:rPr>
          <w:rFonts w:ascii="Gentium" w:hAnsi="Gentium" w:cs="Gentium"/>
          <w:i/>
          <w:color w:val="000000"/>
          <w:szCs w:val="24"/>
        </w:rPr>
        <w:t>Couleurs de Tunisie: 25 siècles de céramique</w:t>
      </w:r>
      <w:r w:rsidRPr="00720BCD">
        <w:rPr>
          <w:rFonts w:ascii="Gentium" w:hAnsi="Gentium" w:cs="Gentium"/>
          <w:color w:val="000000"/>
          <w:szCs w:val="24"/>
        </w:rPr>
        <w:t>, 97-98.  Paris: Institut du monde arabe, 1994.</w:t>
      </w:r>
    </w:p>
    <w:p w14:paraId="13CCD0AF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</w:rPr>
        <w:t xml:space="preserve">___. “Sabra al-Mansouriya, une cité fatimide.” In </w:t>
      </w:r>
      <w:r w:rsidRPr="00660D1C">
        <w:rPr>
          <w:rFonts w:ascii="Gentium" w:hAnsi="Gentium"/>
          <w:i/>
        </w:rPr>
        <w:t xml:space="preserve">Tunisie: </w:t>
      </w:r>
      <w:r w:rsidRPr="00660D1C">
        <w:rPr>
          <w:rFonts w:ascii="Gentium" w:hAnsi="Gentium"/>
          <w:i/>
          <w:color w:val="000000"/>
        </w:rPr>
        <w:t>U</w:t>
      </w:r>
      <w:r w:rsidRPr="00660D1C">
        <w:rPr>
          <w:rFonts w:ascii="Gentium" w:hAnsi="Gentium"/>
          <w:i/>
        </w:rPr>
        <w:t>n patrimoine inédit</w:t>
      </w:r>
      <w:r w:rsidRPr="00660D1C">
        <w:rPr>
          <w:rFonts w:ascii="Gentium" w:hAnsi="Gentium"/>
        </w:rPr>
        <w:t>, 86-90. Le musée des musées. Paris: Institut du Monde arabe, 1995.</w:t>
      </w:r>
    </w:p>
    <w:p w14:paraId="336E7FE6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Rao, U. G., ed. </w:t>
      </w:r>
      <w:r w:rsidRPr="00660D1C">
        <w:rPr>
          <w:rFonts w:ascii="Gentium" w:hAnsi="Gentium"/>
          <w:i/>
          <w:color w:val="000000"/>
        </w:rPr>
        <w:t>His Holiness Dr. Syedna Taher Saifuddin Saheb: A Bouquet of Tributes from Various Sources</w:t>
      </w:r>
      <w:r>
        <w:rPr>
          <w:rFonts w:ascii="Gentium" w:hAnsi="Gentium"/>
          <w:color w:val="000000"/>
        </w:rPr>
        <w:t xml:space="preserve">. </w:t>
      </w:r>
      <w:r w:rsidRPr="00660D1C">
        <w:rPr>
          <w:rFonts w:ascii="Gentium" w:hAnsi="Gentium"/>
          <w:color w:val="000000"/>
        </w:rPr>
        <w:t>Bombay: [Leaders Press Private Limited], 1963. 100 pp.</w:t>
      </w:r>
    </w:p>
    <w:p w14:paraId="312D687B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Rapoport, David C. “Religion and Terror: Thugs, Assassins and Zealots.” In </w:t>
      </w:r>
      <w:r w:rsidRPr="00660D1C">
        <w:rPr>
          <w:rFonts w:ascii="Gentium" w:hAnsi="Gentium"/>
          <w:i/>
          <w:color w:val="000000"/>
        </w:rPr>
        <w:t>International Terrorism: Characteristics, Causes, Controls</w:t>
      </w:r>
      <w:r w:rsidRPr="00660D1C">
        <w:rPr>
          <w:rFonts w:ascii="Gentium" w:hAnsi="Gentium"/>
          <w:color w:val="000000"/>
        </w:rPr>
        <w:t xml:space="preserve">. Edited by Charles W. </w:t>
      </w:r>
      <w:r w:rsidRPr="00584459">
        <w:rPr>
          <w:rFonts w:ascii="Gentium" w:hAnsi="Gentium"/>
        </w:rPr>
        <w:t>Kegley Jr.,</w:t>
      </w:r>
      <w:r w:rsidRPr="00660D1C">
        <w:rPr>
          <w:rFonts w:ascii="Gentium" w:hAnsi="Gentium"/>
          <w:color w:val="000000"/>
        </w:rPr>
        <w:t xml:space="preserve"> 146-157. New York: St. Martin’s Press, 1990.</w:t>
      </w:r>
    </w:p>
    <w:p w14:paraId="360E0CED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Rebelo, Domingos José Soares. “Short Notes on an East Indian Group in Mozambique (The Ismailian Moslem Community).” </w:t>
      </w:r>
      <w:r w:rsidRPr="00660D1C">
        <w:rPr>
          <w:rFonts w:ascii="Gentium" w:hAnsi="Gentium"/>
          <w:i/>
          <w:color w:val="000000"/>
        </w:rPr>
        <w:t xml:space="preserve">South African Journal of Science </w:t>
      </w:r>
      <w:r w:rsidRPr="00660D1C">
        <w:rPr>
          <w:rFonts w:ascii="Gentium" w:hAnsi="Gentium"/>
          <w:color w:val="000000"/>
        </w:rPr>
        <w:t>58:2 (1962): 41-44.</w:t>
      </w:r>
    </w:p>
    <w:p w14:paraId="5412BC8F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Reda, Jehan Ismail. “The </w:t>
      </w:r>
      <w:r w:rsidRPr="00660D1C">
        <w:rPr>
          <w:rFonts w:ascii="Gentium" w:hAnsi="Gentium"/>
          <w:i/>
          <w:color w:val="000000"/>
        </w:rPr>
        <w:t>Manzara</w:t>
      </w:r>
      <w:r w:rsidRPr="00660D1C">
        <w:rPr>
          <w:rFonts w:ascii="Gentium" w:hAnsi="Gentium"/>
          <w:color w:val="000000"/>
        </w:rPr>
        <w:t>: Its Form and Function in Fatimid Egypt.” M.A. thesis, American University in Cairo, 1998. 92 pp.</w:t>
      </w:r>
    </w:p>
    <w:p w14:paraId="6DD89955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Reicher-Sgradi, Reuben. </w:t>
      </w:r>
      <w:r w:rsidRPr="00660D1C">
        <w:rPr>
          <w:rFonts w:ascii="Gentium" w:hAnsi="Gentium"/>
          <w:i/>
          <w:color w:val="000000"/>
        </w:rPr>
        <w:t>L’Ordre des Assassins</w:t>
      </w:r>
      <w:r w:rsidRPr="00660D1C">
        <w:rPr>
          <w:rFonts w:ascii="Gentium" w:hAnsi="Gentium"/>
          <w:color w:val="000000"/>
        </w:rPr>
        <w:t xml:space="preserve">. Paris: Reuben Reicher-Sgradi, </w:t>
      </w:r>
      <w:r w:rsidRPr="008C299F">
        <w:rPr>
          <w:rFonts w:ascii="Gentium" w:hAnsi="Gentium"/>
          <w:color w:val="000000"/>
        </w:rPr>
        <w:t>[1966].</w:t>
      </w:r>
      <w:r w:rsidRPr="00660D1C">
        <w:rPr>
          <w:rFonts w:ascii="Gentium" w:hAnsi="Gentium"/>
          <w:color w:val="000000"/>
        </w:rPr>
        <w:t xml:space="preserve"> 43 pp.</w:t>
      </w:r>
    </w:p>
    <w:p w14:paraId="297F347C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Reick, Eva-Maria. “Human and Animal Representations in Fatimid Art.” M.A. thesis, Wayne State University, 1971. 120 pp.</w:t>
      </w:r>
    </w:p>
    <w:p w14:paraId="100D5463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Reisner, Marina L. “</w:t>
      </w:r>
      <w:r w:rsidRPr="00660D1C">
        <w:rPr>
          <w:rFonts w:ascii="Gentium" w:hAnsi="Gentium"/>
          <w:i/>
          <w:color w:val="000000"/>
        </w:rPr>
        <w:t>Ta</w:t>
      </w:r>
      <w:r w:rsidRPr="00660D1C">
        <w:rPr>
          <w:rFonts w:ascii="Calibri" w:hAnsi="Calibri" w:cs="Calibri"/>
          <w:i/>
          <w:color w:val="000000"/>
        </w:rPr>
        <w:t>ʾ</w:t>
      </w:r>
      <w:r w:rsidRPr="00660D1C">
        <w:rPr>
          <w:rFonts w:ascii="Gentium" w:hAnsi="Gentium"/>
          <w:i/>
          <w:color w:val="000000"/>
        </w:rPr>
        <w:t>wil</w:t>
      </w:r>
      <w:r w:rsidRPr="00660D1C">
        <w:rPr>
          <w:rFonts w:ascii="Gentium" w:hAnsi="Gentium"/>
          <w:color w:val="000000"/>
        </w:rPr>
        <w:t xml:space="preserve">: The Basic Principle of Mystic Language in Classic Persian Poetry (11-12 Centuries).” In </w:t>
      </w:r>
      <w:r w:rsidRPr="00D920B5">
        <w:rPr>
          <w:rFonts w:ascii="Gentium" w:hAnsi="Gentium"/>
          <w:i/>
          <w:color w:val="000000"/>
        </w:rPr>
        <w:t>MCCAM</w:t>
      </w:r>
      <w:r w:rsidRPr="00660D1C">
        <w:rPr>
          <w:rFonts w:ascii="Gentium" w:hAnsi="Gentium"/>
          <w:color w:val="000000"/>
        </w:rPr>
        <w:t>, 265-272.</w:t>
      </w:r>
    </w:p>
    <w:p w14:paraId="6A6B1D8C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Rice, David S. “A Datable Islamic Rock Crystal.” </w:t>
      </w:r>
      <w:r w:rsidRPr="00660D1C">
        <w:rPr>
          <w:rFonts w:ascii="Gentium" w:hAnsi="Gentium"/>
          <w:i/>
          <w:color w:val="000000"/>
        </w:rPr>
        <w:t>Oriental Art</w:t>
      </w:r>
      <w:r w:rsidRPr="00660D1C">
        <w:rPr>
          <w:rFonts w:ascii="Gentium" w:hAnsi="Gentium"/>
          <w:color w:val="000000"/>
        </w:rPr>
        <w:t>, n.s., 2:3 (1956): 85-93.</w:t>
      </w:r>
    </w:p>
    <w:p w14:paraId="2A597DEB" w14:textId="77777777" w:rsidR="00EA60B1" w:rsidRDefault="00EA60B1" w:rsidP="00EA60B1">
      <w:pPr>
        <w:rPr>
          <w:rFonts w:ascii="Gentium" w:hAnsi="Gentium"/>
          <w:color w:val="000000"/>
        </w:rPr>
      </w:pPr>
      <w:r w:rsidRPr="00F20599">
        <w:rPr>
          <w:rFonts w:ascii="Gentium" w:hAnsi="Gentium"/>
          <w:color w:val="000000"/>
        </w:rPr>
        <w:t>Rice, Geoffrey. “The Establishment in the Early Twelfth Century of the Syrian Da</w:t>
      </w:r>
      <w:r w:rsidRPr="00F20599">
        <w:rPr>
          <w:rFonts w:ascii="Calibri" w:hAnsi="Calibri" w:cs="Calibri"/>
          <w:color w:val="000000"/>
        </w:rPr>
        <w:t>ʿ</w:t>
      </w:r>
      <w:r w:rsidRPr="00F20599">
        <w:rPr>
          <w:rFonts w:ascii="Gentium" w:hAnsi="Gentium"/>
          <w:color w:val="000000"/>
        </w:rPr>
        <w:t>wa of the Nizari Isma</w:t>
      </w:r>
      <w:r w:rsidRPr="00F20599">
        <w:rPr>
          <w:rFonts w:ascii="Calibri" w:hAnsi="Calibri" w:cs="Calibri"/>
          <w:color w:val="000000"/>
        </w:rPr>
        <w:t>ʿ</w:t>
      </w:r>
      <w:r w:rsidRPr="00F20599">
        <w:rPr>
          <w:rFonts w:ascii="Gentium" w:hAnsi="Gentium"/>
          <w:color w:val="000000"/>
        </w:rPr>
        <w:t>ilis.” M.A. thes</w:t>
      </w:r>
      <w:r>
        <w:rPr>
          <w:rFonts w:ascii="Gentium" w:hAnsi="Gentium"/>
          <w:color w:val="000000"/>
        </w:rPr>
        <w:t>is, University of Canterbury</w:t>
      </w:r>
      <w:r w:rsidRPr="00F20599">
        <w:rPr>
          <w:rFonts w:ascii="Gentium" w:hAnsi="Gentium"/>
          <w:color w:val="000000"/>
        </w:rPr>
        <w:t xml:space="preserve">, 1969. ix + 226 pp.  </w:t>
      </w:r>
    </w:p>
    <w:p w14:paraId="46407617" w14:textId="77777777" w:rsidR="00EA60B1" w:rsidRPr="00660D1C" w:rsidRDefault="00EA60B1" w:rsidP="00EA60B1">
      <w:pPr>
        <w:rPr>
          <w:rFonts w:ascii="Gentium" w:hAnsi="Gentium" w:cs="Garamond"/>
        </w:rPr>
      </w:pPr>
      <w:r w:rsidRPr="00660D1C">
        <w:rPr>
          <w:rFonts w:ascii="Gentium" w:hAnsi="Gentium" w:cs="Garamond"/>
        </w:rPr>
        <w:t xml:space="preserve">Richard, Jean. “Vassaux, tributaires ou alliés? Les chefferies montagnardes et les Ismaîliens dans l’orbite des Etats des Croisés.” In </w:t>
      </w:r>
      <w:r w:rsidRPr="00660D1C">
        <w:rPr>
          <w:rFonts w:ascii="Gentium" w:hAnsi="Gentium" w:cs="Garamond"/>
          <w:i/>
        </w:rPr>
        <w:t>Die Kreuzfahrerstaaten als multikulturelle Gesellschaft: Einwanderer und Minderheiten im 12. und 13</w:t>
      </w:r>
      <w:r w:rsidRPr="00660D1C">
        <w:rPr>
          <w:rFonts w:ascii="Gentium" w:hAnsi="Gentium" w:cs="Garamond"/>
        </w:rPr>
        <w:t xml:space="preserve">. </w:t>
      </w:r>
      <w:r w:rsidRPr="00660D1C">
        <w:rPr>
          <w:rFonts w:ascii="Gentium" w:hAnsi="Gentium" w:cs="Garamond"/>
          <w:i/>
        </w:rPr>
        <w:t>Jahrhundert</w:t>
      </w:r>
      <w:r w:rsidRPr="00660D1C">
        <w:rPr>
          <w:rFonts w:ascii="Gentium" w:hAnsi="Gentium" w:cs="Garamond"/>
        </w:rPr>
        <w:t>. Schriften des Historischen Kollegs Kolloquien 37. Edited by Hans Eberhard Mayer, 141-152. München: R. Oldenbourg, 1997.</w:t>
      </w:r>
    </w:p>
    <w:p w14:paraId="31FF2267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Roché, Déodat. </w:t>
      </w:r>
      <w:r w:rsidRPr="00660D1C">
        <w:rPr>
          <w:rFonts w:ascii="Gentium" w:hAnsi="Gentium"/>
          <w:i/>
          <w:color w:val="000000"/>
        </w:rPr>
        <w:t>Résurgences du manichéisme: Ismaëliens, Cathares, Rose-croix</w:t>
      </w:r>
      <w:r w:rsidRPr="00660D1C">
        <w:rPr>
          <w:rFonts w:ascii="Gentium" w:hAnsi="Gentium"/>
          <w:color w:val="000000"/>
        </w:rPr>
        <w:t>. Narbonne: Société du souvenir et des études cathares, 1981. 68 pp.</w:t>
      </w:r>
    </w:p>
    <w:p w14:paraId="23D79F4A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Rodríguez, José María. “El club de los asesinos: El puñal y el veneno al servicio de la doctrina ismaelita de Hasán Sabbah.” </w:t>
      </w:r>
      <w:r w:rsidRPr="00660D1C">
        <w:rPr>
          <w:rFonts w:ascii="Gentium" w:hAnsi="Gentium"/>
          <w:i/>
          <w:color w:val="000000"/>
        </w:rPr>
        <w:t>Historia 16</w:t>
      </w:r>
      <w:r w:rsidRPr="00660D1C">
        <w:rPr>
          <w:rFonts w:ascii="Gentium" w:hAnsi="Gentium"/>
          <w:color w:val="000000"/>
        </w:rPr>
        <w:t xml:space="preserve"> 17 (1977): 107-113.</w:t>
      </w:r>
    </w:p>
    <w:p w14:paraId="22069381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Romberg, Helen. “The Fatimid Treasury: Content and Function.” M.Phil. thesis, Faculty of Oriental Studies, University of Oxford, 1985. iv + 121 pp.</w:t>
      </w:r>
    </w:p>
    <w:p w14:paraId="7155897C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Rondot, Pierre. “Les Ismaïliens et l’Islamisation de l’Afrique.” </w:t>
      </w:r>
      <w:r w:rsidRPr="00660D1C">
        <w:rPr>
          <w:rFonts w:ascii="Gentium" w:hAnsi="Gentium"/>
          <w:i/>
          <w:color w:val="000000"/>
        </w:rPr>
        <w:t xml:space="preserve">Études: Revue fondée en 1856 par des Pères de la Compagnie de Jésus </w:t>
      </w:r>
      <w:r w:rsidRPr="00660D1C">
        <w:rPr>
          <w:rFonts w:ascii="Gentium" w:hAnsi="Gentium"/>
          <w:color w:val="000000"/>
        </w:rPr>
        <w:t>91:296 (1958): 79-81.</w:t>
      </w:r>
    </w:p>
    <w:p w14:paraId="79886124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Rosenfeld, Boris. “Nāṣir-i Khusraw.” In </w:t>
      </w:r>
      <w:r w:rsidRPr="00660D1C">
        <w:rPr>
          <w:rFonts w:ascii="Gentium" w:hAnsi="Gentium"/>
          <w:i/>
          <w:color w:val="000000"/>
        </w:rPr>
        <w:t>Encyclopaedia of the History of Science, Technology, and Medicine in Non-Western Cultures</w:t>
      </w:r>
      <w:r w:rsidRPr="00660D1C">
        <w:rPr>
          <w:rFonts w:ascii="Gentium" w:hAnsi="Gentium"/>
          <w:color w:val="000000"/>
        </w:rPr>
        <w:t>. Edited by Helaine Selin, 759. Dordrecht: Kluwer Academic, 1997.</w:t>
      </w:r>
    </w:p>
    <w:p w14:paraId="00038F1A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Roy, Shibani. “Visiting Wife: Case of Dawoodi Bohra Women of Udaipur.” In </w:t>
      </w:r>
      <w:r w:rsidRPr="00660D1C">
        <w:rPr>
          <w:rFonts w:ascii="Gentium" w:hAnsi="Gentium"/>
          <w:i/>
          <w:color w:val="000000"/>
        </w:rPr>
        <w:t>Development of Women and Children</w:t>
      </w:r>
      <w:r w:rsidRPr="00660D1C">
        <w:rPr>
          <w:rFonts w:ascii="Gentium" w:hAnsi="Gentium"/>
          <w:color w:val="000000"/>
        </w:rPr>
        <w:t xml:space="preserve">. Vol. 9 of </w:t>
      </w:r>
      <w:r w:rsidRPr="00660D1C">
        <w:rPr>
          <w:rFonts w:ascii="Gentium" w:hAnsi="Gentium"/>
          <w:i/>
          <w:color w:val="000000"/>
        </w:rPr>
        <w:t>Current Anthropological and Archaeological Perspectives</w:t>
      </w:r>
      <w:r w:rsidRPr="00660D1C">
        <w:rPr>
          <w:rFonts w:ascii="Gentium" w:hAnsi="Gentium"/>
          <w:color w:val="000000"/>
        </w:rPr>
        <w:t>. Edited by Kanai Lal Bhowmik, 73-78. 11 vols. New Delhi, India: Inter-India Publications, 1988.</w:t>
      </w:r>
    </w:p>
    <w:p w14:paraId="23959703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Ruthven, Malise. “Aga Khan III and the Isma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ili Renaissance.” In </w:t>
      </w:r>
      <w:r w:rsidRPr="00660D1C">
        <w:rPr>
          <w:rFonts w:ascii="Gentium" w:hAnsi="Gentium"/>
          <w:i/>
          <w:color w:val="000000"/>
        </w:rPr>
        <w:t>New Trends and Developments in the World of Islam</w:t>
      </w:r>
      <w:r w:rsidRPr="00660D1C">
        <w:rPr>
          <w:rFonts w:ascii="Gentium" w:hAnsi="Gentium"/>
          <w:color w:val="000000"/>
        </w:rPr>
        <w:t>. Edited by Peter B. Clarke, 371-395. London: Luzac Oriental, 1997.</w:t>
      </w:r>
    </w:p>
    <w:p w14:paraId="3CCF1B45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Sachedina, Abdulaziz A. “Agha Khan,” “Assassins,” “Bohorās,” </w:t>
      </w:r>
      <w:r w:rsidRPr="00111EA4">
        <w:rPr>
          <w:rFonts w:ascii="Gentium" w:hAnsi="Gentium"/>
        </w:rPr>
        <w:t>“Fatimid,”</w:t>
      </w:r>
      <w:r w:rsidRPr="00660D1C">
        <w:rPr>
          <w:rFonts w:ascii="Gentium" w:hAnsi="Gentium"/>
          <w:color w:val="000000"/>
        </w:rPr>
        <w:t xml:space="preserve"> “Ikhwān al-Ṣafā,” “Ismā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>īliyya,” “Khōjās,” “Qarmaṭians,” “Sab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iyya.” In </w:t>
      </w:r>
      <w:r w:rsidRPr="00660D1C">
        <w:rPr>
          <w:rFonts w:ascii="Gentium" w:hAnsi="Gentium"/>
          <w:i/>
          <w:color w:val="000000"/>
        </w:rPr>
        <w:t>Abingdon Dictionary of Living Religions</w:t>
      </w:r>
      <w:r>
        <w:rPr>
          <w:rFonts w:ascii="Gentium" w:hAnsi="Gentium"/>
          <w:color w:val="000000"/>
        </w:rPr>
        <w:t xml:space="preserve">. </w:t>
      </w:r>
      <w:r w:rsidRPr="00660D1C">
        <w:rPr>
          <w:rFonts w:ascii="Gentium" w:hAnsi="Gentium"/>
          <w:color w:val="000000"/>
        </w:rPr>
        <w:t>Edited by Keith R. Crim, Roger A. Bullard, and Larry D. Shinn. Nashville, Tenn: Abingdon, 1981.</w:t>
      </w:r>
    </w:p>
    <w:p w14:paraId="7055EACF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Sadruddin, Yasmin. “A Study of the Marital Adjustment of Women Residing in an Ismaili Community.” M.A. thesis, Department of Sociology, University of Karachi, 1974. [U] </w:t>
      </w:r>
    </w:p>
    <w:p w14:paraId="2B1E0D53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Said, Fares S. “Churches of Haret Zawila Within the Fatimide Cairo.” </w:t>
      </w:r>
      <w:r w:rsidRPr="00660D1C">
        <w:rPr>
          <w:rFonts w:ascii="Gentium" w:hAnsi="Gentium"/>
          <w:i/>
          <w:color w:val="000000"/>
        </w:rPr>
        <w:t>Göttinger</w:t>
      </w:r>
      <w:r w:rsidRPr="00660D1C"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i/>
          <w:color w:val="000000"/>
        </w:rPr>
        <w:t>Miszellen</w:t>
      </w:r>
      <w:r w:rsidRPr="00660D1C">
        <w:rPr>
          <w:rFonts w:ascii="Gentium" w:hAnsi="Gentium"/>
          <w:color w:val="000000"/>
        </w:rPr>
        <w:t xml:space="preserve"> 157 (1997): 77-79.</w:t>
      </w:r>
    </w:p>
    <w:p w14:paraId="3AF1E206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Saker, Susanne. </w:t>
      </w:r>
      <w:r w:rsidRPr="00660D1C">
        <w:rPr>
          <w:rFonts w:ascii="Gentium" w:hAnsi="Gentium"/>
          <w:i/>
          <w:color w:val="000000"/>
        </w:rPr>
        <w:t>Der Wille zur Macht: Der fatimidische Wesir Ya</w:t>
      </w:r>
      <w:r w:rsidRPr="00660D1C">
        <w:rPr>
          <w:rFonts w:ascii="Calibri" w:hAnsi="Calibri" w:cs="Calibri"/>
          <w:i/>
          <w:color w:val="000000"/>
        </w:rPr>
        <w:t>ʿ</w:t>
      </w:r>
      <w:r w:rsidRPr="00660D1C">
        <w:rPr>
          <w:rFonts w:ascii="Gentium" w:hAnsi="Gentium"/>
          <w:i/>
          <w:color w:val="000000"/>
        </w:rPr>
        <w:t>qūb ibn Killis</w:t>
      </w:r>
      <w:r w:rsidRPr="00660D1C">
        <w:rPr>
          <w:rFonts w:ascii="Gentium" w:hAnsi="Gentium"/>
          <w:color w:val="000000"/>
        </w:rPr>
        <w:t>. Islamkundliche Untersuchungen, Band. 256. Berlin: Klaus Schwarz Verlag, 2003. 113 pp.</w:t>
      </w:r>
    </w:p>
    <w:p w14:paraId="6C78D4D9" w14:textId="77777777" w:rsidR="00EA60B1" w:rsidRPr="00413836" w:rsidRDefault="00EA60B1" w:rsidP="00EA60B1">
      <w:pPr>
        <w:rPr>
          <w:rFonts w:ascii="Gentium" w:hAnsi="Gentium"/>
          <w:color w:val="000000"/>
        </w:rPr>
      </w:pPr>
      <w:r w:rsidRPr="00413836">
        <w:rPr>
          <w:rFonts w:ascii="Gentium" w:hAnsi="Gentium"/>
          <w:color w:val="000000"/>
        </w:rPr>
        <w:t>Saleh, Marlis J. “The Religious Milieu in Fatimid Cairo.”</w:t>
      </w:r>
      <w:r>
        <w:rPr>
          <w:rFonts w:ascii="Gentium" w:hAnsi="Gentium"/>
          <w:color w:val="000000"/>
        </w:rPr>
        <w:t xml:space="preserve"> </w:t>
      </w:r>
      <w:r w:rsidRPr="00413836">
        <w:rPr>
          <w:rFonts w:ascii="Gentium" w:hAnsi="Gentium"/>
          <w:i/>
          <w:color w:val="000000"/>
        </w:rPr>
        <w:t>Journal of Druze Studies</w:t>
      </w:r>
      <w:r w:rsidRPr="00413836">
        <w:rPr>
          <w:rFonts w:ascii="Gentium" w:hAnsi="Gentium"/>
          <w:color w:val="000000"/>
        </w:rPr>
        <w:t xml:space="preserve"> 1:1 (2000): 27-48.</w:t>
      </w:r>
    </w:p>
    <w:p w14:paraId="728A6C69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El-Salem, El Sayed Abdel Aziz. “The Role of the Fatimid Fleet in Egypt and Syria in Supporting the Islamic Resistance to the Crusaders’ Siege of Syrian Ports.” In </w:t>
      </w:r>
      <w:r w:rsidRPr="00660D1C">
        <w:rPr>
          <w:rFonts w:ascii="Gentium" w:hAnsi="Gentium"/>
          <w:i/>
          <w:color w:val="000000"/>
        </w:rPr>
        <w:t>Aspects and Actuality of Sea Power in the Mediterranean from XII to XVI Century</w:t>
      </w:r>
      <w:r w:rsidRPr="00660D1C">
        <w:rPr>
          <w:rFonts w:ascii="Gentium" w:hAnsi="Gentium"/>
          <w:color w:val="000000"/>
        </w:rPr>
        <w:t>. Edited by Paolo Alberini, 233-243. Roma: Ufficio storico della marina militare, Commissione italiana di storia militare, 1999.</w:t>
      </w:r>
    </w:p>
    <w:p w14:paraId="436DE16B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Salvadori, Cynthia. “The Ismailis,” “The Bohras.” In </w:t>
      </w:r>
      <w:r w:rsidRPr="00660D1C">
        <w:rPr>
          <w:rFonts w:ascii="Gentium" w:hAnsi="Gentium"/>
          <w:i/>
          <w:color w:val="000000"/>
        </w:rPr>
        <w:t xml:space="preserve">Through Open Doors: A View of Asian Cultures in </w:t>
      </w:r>
      <w:r w:rsidRPr="00123043">
        <w:rPr>
          <w:rFonts w:ascii="Gentium" w:hAnsi="Gentium"/>
          <w:i/>
        </w:rPr>
        <w:t>Kenya</w:t>
      </w:r>
      <w:r w:rsidRPr="00123043">
        <w:rPr>
          <w:rFonts w:ascii="Gentium" w:hAnsi="Gentium"/>
        </w:rPr>
        <w:t>. 2</w:t>
      </w:r>
      <w:r w:rsidRPr="00123043">
        <w:rPr>
          <w:rFonts w:ascii="Gentium" w:hAnsi="Gentium"/>
          <w:vertAlign w:val="superscript"/>
        </w:rPr>
        <w:t>nd</w:t>
      </w:r>
      <w:r w:rsidRPr="00123043">
        <w:rPr>
          <w:rFonts w:ascii="Gentium" w:hAnsi="Gentium"/>
        </w:rPr>
        <w:t xml:space="preserve"> rev. ed.</w:t>
      </w:r>
      <w:r w:rsidRPr="00660D1C">
        <w:rPr>
          <w:rFonts w:ascii="Gentium" w:hAnsi="Gentium"/>
          <w:color w:val="000000"/>
        </w:rPr>
        <w:t xml:space="preserve"> Edited by Andrew Fedders, 222-234; 254-269. Nairobi, Kenya: Kenway Publications, 1989.</w:t>
      </w:r>
    </w:p>
    <w:p w14:paraId="696DA7A6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Samir, Samir Khalil. “Une citation du traité christologique attribué au calife al-Mu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>izz (m. 975) chez al-Ṣafī b. al-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Assāl.” </w:t>
      </w:r>
      <w:r w:rsidRPr="00660D1C">
        <w:rPr>
          <w:rFonts w:ascii="Gentium" w:hAnsi="Gentium"/>
          <w:i/>
          <w:color w:val="000000"/>
        </w:rPr>
        <w:t>Orientalia</w:t>
      </w:r>
      <w:r w:rsidRPr="00660D1C"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i/>
          <w:color w:val="000000"/>
        </w:rPr>
        <w:t>Christiana Periodica</w:t>
      </w:r>
      <w:r w:rsidRPr="00660D1C">
        <w:rPr>
          <w:rFonts w:ascii="Gentium" w:hAnsi="Gentium"/>
          <w:color w:val="000000"/>
        </w:rPr>
        <w:t xml:space="preserve"> 50:2 (1984): 398-406.</w:t>
      </w:r>
    </w:p>
    <w:p w14:paraId="2EC58D15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Sanders, Paula A. “Writing Identity in Medieval Cairo.” In </w:t>
      </w:r>
      <w:r w:rsidRPr="00660D1C">
        <w:rPr>
          <w:rFonts w:ascii="Gentium" w:hAnsi="Gentium"/>
          <w:i/>
          <w:color w:val="000000"/>
        </w:rPr>
        <w:t>Writing Identity in Medieval Cairo</w:t>
      </w:r>
      <w:r w:rsidRPr="00660D1C">
        <w:rPr>
          <w:rFonts w:ascii="Gentium" w:hAnsi="Gentium"/>
          <w:color w:val="000000"/>
        </w:rPr>
        <w:t>. UCLA Near East Centre Colloquium Series. Edited by Irene A. Bierman, 23-78. Los Angeles: Center for Near Eastern Studies, UCLA, 1995.</w:t>
      </w:r>
    </w:p>
    <w:p w14:paraId="6BC2292E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“Les Fatimides sont-ils devenus égyptiens? Culture et identité dans le Caire médiéval.” In </w:t>
      </w:r>
      <w:r w:rsidRPr="00660D1C">
        <w:rPr>
          <w:rFonts w:ascii="Gentium" w:hAnsi="Gentium"/>
          <w:i/>
          <w:color w:val="000000"/>
        </w:rPr>
        <w:t>Valeur et distance: Identités et sociétés en Égypte</w:t>
      </w:r>
      <w:r w:rsidRPr="00660D1C">
        <w:rPr>
          <w:rFonts w:ascii="Gentium" w:hAnsi="Gentium"/>
          <w:color w:val="000000"/>
        </w:rPr>
        <w:t xml:space="preserve">. Collection L’atelier méditerranéen. Edited by Christian Décobert, 265-277. Paris: Maisonneuve et Larose, 2000. </w:t>
      </w:r>
    </w:p>
    <w:p w14:paraId="12B2BFA7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“Robes of</w:t>
      </w:r>
      <w:r>
        <w:rPr>
          <w:rFonts w:ascii="Gentium" w:hAnsi="Gentium"/>
          <w:color w:val="000000"/>
        </w:rPr>
        <w:t xml:space="preserve"> Honor in Fatimid Egypt.” </w:t>
      </w:r>
      <w:r w:rsidRPr="00660D1C">
        <w:rPr>
          <w:rFonts w:ascii="Gentium" w:hAnsi="Gentium"/>
          <w:color w:val="000000"/>
        </w:rPr>
        <w:t xml:space="preserve">In </w:t>
      </w:r>
      <w:r w:rsidRPr="00660D1C">
        <w:rPr>
          <w:rFonts w:ascii="Gentium" w:hAnsi="Gentium"/>
          <w:i/>
          <w:color w:val="000000"/>
        </w:rPr>
        <w:t>Robes and Honor: The Medieval World of Investiture</w:t>
      </w:r>
      <w:r w:rsidRPr="00660D1C">
        <w:rPr>
          <w:rFonts w:ascii="Gentium" w:hAnsi="Gentium"/>
          <w:color w:val="000000"/>
        </w:rPr>
        <w:t>. The New Middle Ages Series. Edited by Stewart Gordon, 225-239. New York: Palgrave, 2001.</w:t>
      </w:r>
    </w:p>
    <w:p w14:paraId="6E6F198B" w14:textId="77777777" w:rsidR="00EA60B1" w:rsidRPr="00C86F49" w:rsidRDefault="00EA60B1" w:rsidP="00EA60B1">
      <w:pPr>
        <w:rPr>
          <w:rFonts w:ascii="Gentium" w:hAnsi="Gentium"/>
          <w:color w:val="000000"/>
        </w:rPr>
      </w:pPr>
      <w:r w:rsidRPr="00BD167F">
        <w:rPr>
          <w:rFonts w:ascii="Gentium" w:hAnsi="Gentium"/>
          <w:color w:val="000000"/>
        </w:rPr>
        <w:t xml:space="preserve">Sato, Keishiro. “Some Notes about </w:t>
      </w:r>
      <w:r>
        <w:rPr>
          <w:rFonts w:ascii="Gentium" w:hAnsi="Gentium"/>
          <w:color w:val="000000"/>
        </w:rPr>
        <w:t xml:space="preserve">the </w:t>
      </w:r>
      <w:r w:rsidRPr="00BD167F">
        <w:rPr>
          <w:rFonts w:ascii="Gentium" w:hAnsi="Gentium"/>
          <w:color w:val="000000"/>
        </w:rPr>
        <w:t xml:space="preserve">Aromatics under the Fatimids.” In </w:t>
      </w:r>
      <w:r w:rsidRPr="00BD167F">
        <w:rPr>
          <w:rFonts w:ascii="Gentium" w:hAnsi="Gentium"/>
          <w:i/>
          <w:color w:val="000000"/>
        </w:rPr>
        <w:t>Near Eastern Studies Dedicated to H. I. H. Prince Takahito Mikasa on the Occasion of His Sixtieth Birthday</w:t>
      </w:r>
      <w:r w:rsidRPr="00BD167F">
        <w:rPr>
          <w:rFonts w:ascii="Gentium" w:hAnsi="Gentium"/>
          <w:color w:val="000000"/>
        </w:rPr>
        <w:t>, 171-177. Tokyo: K</w:t>
      </w:r>
      <w:r>
        <w:rPr>
          <w:rFonts w:ascii="Gentium" w:hAnsi="Gentium"/>
          <w:color w:val="000000"/>
        </w:rPr>
        <w:t xml:space="preserve">odansha, 1975. [In Japanese] </w:t>
      </w:r>
    </w:p>
    <w:p w14:paraId="3733EC52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Sauvaget, Jean. “Une inscription de Badr al-Jamali.” </w:t>
      </w:r>
      <w:r w:rsidRPr="00660D1C">
        <w:rPr>
          <w:rFonts w:ascii="Gentium" w:hAnsi="Gentium"/>
          <w:i/>
          <w:color w:val="000000"/>
        </w:rPr>
        <w:t>Syria</w:t>
      </w:r>
      <w:r w:rsidRPr="00660D1C">
        <w:rPr>
          <w:rFonts w:ascii="Gentium" w:hAnsi="Gentium"/>
          <w:color w:val="000000"/>
        </w:rPr>
        <w:t xml:space="preserve"> 10:2 (1929): 137-143.</w:t>
      </w:r>
    </w:p>
    <w:p w14:paraId="5DFDE552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Sauvaire, Henry. “Poids en verre du Khalife Fatémite El Mostanser Billah.” </w:t>
      </w:r>
      <w:r w:rsidRPr="00660D1C">
        <w:rPr>
          <w:rFonts w:ascii="Gentium" w:hAnsi="Gentium"/>
          <w:i/>
          <w:color w:val="000000"/>
        </w:rPr>
        <w:t>Annuaire de la Société Française de Numismatique et d’Archéologie</w:t>
      </w:r>
      <w:r w:rsidRPr="00660D1C">
        <w:rPr>
          <w:rFonts w:ascii="Gentium" w:hAnsi="Gentium"/>
          <w:color w:val="000000"/>
        </w:rPr>
        <w:t xml:space="preserve"> 10 (1886): 240-242.  </w:t>
      </w:r>
    </w:p>
    <w:p w14:paraId="70536B54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Savvides, Alexios G. C. “The Assassins: ‘Programmed’ Killers in Medieval Islam.” </w:t>
      </w:r>
      <w:r w:rsidRPr="00660D1C">
        <w:rPr>
          <w:rFonts w:ascii="Gentium" w:hAnsi="Gentium"/>
          <w:i/>
          <w:color w:val="000000"/>
        </w:rPr>
        <w:t>Historika Themata</w:t>
      </w:r>
      <w:r w:rsidRPr="00660D1C">
        <w:rPr>
          <w:rFonts w:ascii="Gentium" w:hAnsi="Gentium"/>
          <w:color w:val="000000"/>
        </w:rPr>
        <w:t xml:space="preserve"> 1 (2001): 40-46. [In Greek]</w:t>
      </w:r>
    </w:p>
    <w:p w14:paraId="4B496EF9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Scanlon, George T. “Fatimid Dynasty.” In </w:t>
      </w:r>
      <w:r w:rsidRPr="00660D1C">
        <w:rPr>
          <w:rFonts w:ascii="Gentium" w:hAnsi="Gentium"/>
          <w:i/>
          <w:color w:val="000000"/>
        </w:rPr>
        <w:t>The Oxford Encyclopedia of Archaeology in the Near East</w:t>
      </w:r>
      <w:r w:rsidRPr="00660D1C">
        <w:rPr>
          <w:rFonts w:ascii="Gentium" w:hAnsi="Gentium"/>
          <w:color w:val="000000"/>
        </w:rPr>
        <w:t>. 5 vols. Edited by Eric M. Meyers, 2:307-310. New York: Oxford University Press, 1997.</w:t>
      </w:r>
    </w:p>
    <w:p w14:paraId="5B33313A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Schick, Robert. “Southern Jordan in the Fatimid and Seljuq Periods.” </w:t>
      </w:r>
      <w:r w:rsidRPr="00660D1C">
        <w:rPr>
          <w:rFonts w:ascii="Gentium" w:hAnsi="Gentium"/>
          <w:i/>
          <w:color w:val="000000"/>
        </w:rPr>
        <w:t>Bulletin of the American Schools of Oriental Research</w:t>
      </w:r>
      <w:r w:rsidRPr="00660D1C">
        <w:rPr>
          <w:rFonts w:ascii="Gentium" w:hAnsi="Gentium"/>
          <w:color w:val="000000"/>
        </w:rPr>
        <w:t xml:space="preserve"> 305 (1997): 73-85.</w:t>
      </w:r>
    </w:p>
    <w:p w14:paraId="55F4780D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S</w:t>
      </w:r>
      <w:r>
        <w:rPr>
          <w:rFonts w:ascii="Gentium" w:hAnsi="Gentium"/>
          <w:color w:val="000000"/>
        </w:rPr>
        <w:t xml:space="preserve">chimmel, Annemarie. “The Nizārī </w:t>
      </w:r>
      <w:r w:rsidRPr="00660D1C">
        <w:rPr>
          <w:rFonts w:ascii="Gentium" w:hAnsi="Gentium"/>
          <w:color w:val="000000"/>
        </w:rPr>
        <w:t>Ismā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īlī Community in Indo-Pakistan.” In </w:t>
      </w:r>
      <w:r w:rsidRPr="00660D1C">
        <w:rPr>
          <w:rFonts w:ascii="Gentium" w:hAnsi="Gentium"/>
          <w:i/>
          <w:color w:val="000000"/>
        </w:rPr>
        <w:t>Identity and Division in Cults and Sects in South Asia</w:t>
      </w:r>
      <w:r w:rsidRPr="00660D1C">
        <w:rPr>
          <w:rFonts w:ascii="Gentium" w:hAnsi="Gentium"/>
          <w:color w:val="000000"/>
        </w:rPr>
        <w:t>. Proceedings of the South Asia Seminar I, 1980-1981. Edited by David A. Utz and Peter Gaeffke, 120-124. Philadelphia: Department of South Asia Regional Studies, 1984.</w:t>
      </w:r>
    </w:p>
    <w:p w14:paraId="1EAE7FD7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Schmidt, Minna Moscherosch. “Sitt Al-Mulk.” In </w:t>
      </w:r>
      <w:r w:rsidRPr="00660D1C">
        <w:rPr>
          <w:rFonts w:ascii="Gentium" w:hAnsi="Gentium"/>
          <w:i/>
          <w:color w:val="000000"/>
        </w:rPr>
        <w:t>400 Outstanding Women of the World and Costumology of Their Time</w:t>
      </w:r>
      <w:r w:rsidRPr="00660D1C">
        <w:rPr>
          <w:rFonts w:ascii="Gentium" w:hAnsi="Gentium"/>
          <w:color w:val="000000"/>
        </w:rPr>
        <w:t>, 115-116. Chicago: Minna M. Schmidt, 1933.</w:t>
      </w:r>
    </w:p>
    <w:p w14:paraId="276B0AE9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Seaby, Peter. “Ismailis and Fatimids.” </w:t>
      </w:r>
      <w:r>
        <w:rPr>
          <w:rFonts w:ascii="Gentium" w:hAnsi="Gentium"/>
          <w:i/>
          <w:color w:val="000000"/>
        </w:rPr>
        <w:t>Seaby Coin and</w:t>
      </w:r>
      <w:r w:rsidRPr="00660D1C">
        <w:rPr>
          <w:rFonts w:ascii="Gentium" w:hAnsi="Gentium"/>
          <w:i/>
          <w:color w:val="000000"/>
        </w:rPr>
        <w:t xml:space="preserve"> Medal Bulletin </w:t>
      </w:r>
      <w:r w:rsidRPr="00660D1C">
        <w:rPr>
          <w:rFonts w:ascii="Gentium" w:hAnsi="Gentium"/>
          <w:color w:val="000000"/>
        </w:rPr>
        <w:t>767 (1982): 211-213.</w:t>
      </w:r>
    </w:p>
    <w:p w14:paraId="508E6223" w14:textId="77777777" w:rsidR="00EA60B1" w:rsidRDefault="00EA60B1" w:rsidP="00EA60B1">
      <w:pPr>
        <w:rPr>
          <w:rFonts w:ascii="Gentium" w:hAnsi="Gentium"/>
          <w:color w:val="000000"/>
        </w:rPr>
      </w:pPr>
      <w:r w:rsidRPr="00F26C0B">
        <w:rPr>
          <w:rFonts w:ascii="Gentium" w:hAnsi="Gentium"/>
          <w:color w:val="000000"/>
        </w:rPr>
        <w:t xml:space="preserve">“The Secret of the Assassins: A Criticism, and a Suggestion.” </w:t>
      </w:r>
      <w:r w:rsidRPr="00F26C0B">
        <w:rPr>
          <w:rFonts w:ascii="Gentium" w:hAnsi="Gentium"/>
          <w:i/>
          <w:color w:val="000000"/>
        </w:rPr>
        <w:t>Calcutta Review</w:t>
      </w:r>
      <w:r w:rsidRPr="00F26C0B">
        <w:rPr>
          <w:rFonts w:ascii="Gentium" w:hAnsi="Gentium"/>
          <w:color w:val="000000"/>
        </w:rPr>
        <w:t xml:space="preserve"> 91:181 (1890): 127-140.   </w:t>
      </w:r>
    </w:p>
    <w:p w14:paraId="0157BC39" w14:textId="77777777" w:rsidR="00EA60B1" w:rsidRPr="00ED6F2E" w:rsidRDefault="00EA60B1" w:rsidP="00EA60B1">
      <w:pPr>
        <w:rPr>
          <w:rFonts w:ascii="Gentium" w:hAnsi="Gentium"/>
        </w:rPr>
      </w:pPr>
      <w:r w:rsidRPr="00ED6F2E">
        <w:rPr>
          <w:rFonts w:ascii="Gentium" w:hAnsi="Gentium"/>
        </w:rPr>
        <w:t>Seham, El Mahdi. “Rare Fatemid [</w:t>
      </w:r>
      <w:r w:rsidRPr="00ED6F2E">
        <w:rPr>
          <w:rFonts w:ascii="Gentium" w:hAnsi="Gentium"/>
          <w:i/>
        </w:rPr>
        <w:t>sic</w:t>
      </w:r>
      <w:r w:rsidRPr="00ED6F2E">
        <w:rPr>
          <w:rFonts w:ascii="Gentium" w:hAnsi="Gentium"/>
        </w:rPr>
        <w:t xml:space="preserve">] Coins in the Collection of the Museum of Islamic Art (Cairo).” In </w:t>
      </w:r>
      <w:r w:rsidRPr="00ED6F2E">
        <w:rPr>
          <w:rFonts w:ascii="Gentium" w:hAnsi="Gentium"/>
          <w:i/>
        </w:rPr>
        <w:t>Monnaies byzantines, monnaies médiévales et orientales</w:t>
      </w:r>
      <w:r w:rsidRPr="00ED6F2E">
        <w:rPr>
          <w:rFonts w:ascii="Gentium" w:hAnsi="Gentium"/>
        </w:rPr>
        <w:t xml:space="preserve">. Vol. 3 of </w:t>
      </w:r>
      <w:r w:rsidRPr="00ED6F2E">
        <w:rPr>
          <w:rFonts w:ascii="Gentium" w:hAnsi="Gentium"/>
          <w:i/>
        </w:rPr>
        <w:t>Actes du XIe Congrès International de Numismatique: Organisé á l’occasion du 150e anniversaire de la Société Royale de Numismatique de Belgique, Bruxelles, 8-13 Septembre 1991</w:t>
      </w:r>
      <w:r w:rsidRPr="00ED6F2E">
        <w:rPr>
          <w:rFonts w:ascii="Gentium" w:hAnsi="Gentium"/>
        </w:rPr>
        <w:t xml:space="preserve">. Edited by Tony Hackens, 269-272. 4 vols. Louvain-la-Neuve: Association Professeur Marcel Hoc, 1993.  </w:t>
      </w:r>
    </w:p>
    <w:p w14:paraId="1DDC9294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Sela, Shulamit. “The Headship of the Jews in the Fāṭimid Empire in Karaite Hands.” In </w:t>
      </w:r>
      <w:r w:rsidRPr="00A00A91">
        <w:rPr>
          <w:rFonts w:ascii="Gentium" w:hAnsi="Gentium"/>
          <w:i/>
          <w:color w:val="000000"/>
        </w:rPr>
        <w:t xml:space="preserve">Mas’at </w:t>
      </w:r>
      <w:r w:rsidRPr="00660D1C">
        <w:rPr>
          <w:rFonts w:ascii="Gentium" w:hAnsi="Gentium"/>
          <w:i/>
          <w:color w:val="000000"/>
        </w:rPr>
        <w:t>Moshe: Studies in Jewish and Islamic Culture Presented to Moshe Gil</w:t>
      </w:r>
      <w:r w:rsidRPr="00660D1C">
        <w:rPr>
          <w:rFonts w:ascii="Gentium" w:hAnsi="Gentium"/>
          <w:color w:val="000000"/>
        </w:rPr>
        <w:t>. Edited by Ezra Fleischer, Mordechai A. Friedman, and Joel A. Kraemer, 256-281. Jerusalem: The Bialik Institute and Tel Aviv University, 1998. [In Hebrew with English Summary]</w:t>
      </w:r>
    </w:p>
    <w:p w14:paraId="31EFF044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Semenova, Lidiya A. “Fatimidskij ismailizm v sovremennom zapadnom islamovedenii.” [Fatimid Ismailism in Modern Western Orientalism] In </w:t>
      </w:r>
      <w:r w:rsidRPr="00660D1C">
        <w:rPr>
          <w:rFonts w:ascii="Gentium" w:hAnsi="Gentium"/>
          <w:i/>
          <w:color w:val="000000"/>
        </w:rPr>
        <w:t>Islam v istorii narodov Vostoka: Sbornik statei</w:t>
      </w:r>
      <w:r w:rsidRPr="00660D1C">
        <w:rPr>
          <w:rFonts w:ascii="Gentium" w:hAnsi="Gentium"/>
          <w:color w:val="000000"/>
        </w:rPr>
        <w:t xml:space="preserve">. Edited by Irina M. Smilianskaia and Said K. Kiamilev, 25-39. </w:t>
      </w:r>
      <w:r w:rsidRPr="00866D05">
        <w:rPr>
          <w:rFonts w:ascii="Gentium" w:hAnsi="Gentium"/>
          <w:color w:val="000000"/>
        </w:rPr>
        <w:t>Moscow</w:t>
      </w:r>
      <w:r w:rsidRPr="00660D1C">
        <w:rPr>
          <w:rFonts w:ascii="Gentium" w:hAnsi="Gentium"/>
          <w:color w:val="000000"/>
        </w:rPr>
        <w:t>: Nauka, Glavnaya redaktsiya vostochnoy literaturï, 1981. [In Russian]</w:t>
      </w:r>
    </w:p>
    <w:p w14:paraId="5CE11E08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Serauky, Eberhard. “Die gesellschaftliche Wirksamkeit und konzeptionelle Vorstellungswelt der </w:t>
      </w:r>
      <w:r w:rsidRPr="00CA14B9">
        <w:rPr>
          <w:rFonts w:ascii="Gentium" w:hAnsi="Gentium"/>
          <w:color w:val="000000"/>
        </w:rPr>
        <w:t>Ismā</w:t>
      </w:r>
      <w:r w:rsidRPr="00CA14B9">
        <w:rPr>
          <w:rFonts w:ascii="Calibri" w:hAnsi="Calibri" w:cs="Calibri"/>
          <w:color w:val="000000"/>
        </w:rPr>
        <w:t>ʿ</w:t>
      </w:r>
      <w:r w:rsidRPr="00CA14B9">
        <w:rPr>
          <w:rFonts w:ascii="Gentium" w:hAnsi="Gentium"/>
          <w:color w:val="000000"/>
        </w:rPr>
        <w:t>īlīja</w:t>
      </w:r>
      <w:r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color w:val="000000"/>
        </w:rPr>
        <w:t xml:space="preserve">und der Qarmaten im jemenitischen Mittelalter (9.-13. Jh.).” D.Phil. </w:t>
      </w:r>
      <w:r w:rsidRPr="00584459">
        <w:rPr>
          <w:rFonts w:ascii="Gentium" w:hAnsi="Gentium"/>
        </w:rPr>
        <w:t>diss. B.,</w:t>
      </w:r>
      <w:r w:rsidRPr="00660D1C">
        <w:rPr>
          <w:rFonts w:ascii="Gentium" w:hAnsi="Gentium"/>
          <w:color w:val="000000"/>
        </w:rPr>
        <w:t xml:space="preserve"> Humboldt University, 1983. 322 pp.</w:t>
      </w:r>
    </w:p>
    <w:p w14:paraId="4349F960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Serjeant, Robert Bertram. “The Fātimī - Taiyibī (Ismā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īli) </w:t>
      </w:r>
      <w:r w:rsidRPr="008134E2">
        <w:rPr>
          <w:rFonts w:ascii="Gentium" w:hAnsi="Gentium"/>
        </w:rPr>
        <w:t>Da</w:t>
      </w:r>
      <w:r w:rsidRPr="008134E2">
        <w:rPr>
          <w:rFonts w:ascii="Calibri" w:hAnsi="Calibri" w:cs="Calibri"/>
        </w:rPr>
        <w:t>ʿ</w:t>
      </w:r>
      <w:r w:rsidRPr="008134E2">
        <w:rPr>
          <w:rFonts w:ascii="Gentium" w:hAnsi="Gentium"/>
        </w:rPr>
        <w:t>wah:</w:t>
      </w:r>
      <w:r w:rsidRPr="00660D1C">
        <w:rPr>
          <w:rFonts w:ascii="Gentium" w:hAnsi="Gentium"/>
          <w:color w:val="000000"/>
        </w:rPr>
        <w:t xml:space="preserve"> Ideologies and Community.” In </w:t>
      </w:r>
      <w:r w:rsidRPr="00660D1C">
        <w:rPr>
          <w:rFonts w:ascii="Gentium" w:hAnsi="Gentium"/>
          <w:i/>
          <w:color w:val="000000"/>
        </w:rPr>
        <w:t>Les Arabes et l’histoire créatrice</w:t>
      </w:r>
      <w:r w:rsidRPr="00660D1C">
        <w:rPr>
          <w:rFonts w:ascii="Gentium" w:hAnsi="Gentium"/>
          <w:color w:val="000000"/>
        </w:rPr>
        <w:t>. Mondes contemporains. Edited by Dominique Chevallier, 59-77. Paris: Presses de l’Université de Paris-Sorbonne, 1995.</w:t>
      </w:r>
    </w:p>
    <w:p w14:paraId="07F0BF94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Shah, Mumtaz Hussain. “The Ismailies [</w:t>
      </w:r>
      <w:r w:rsidRPr="00660D1C">
        <w:rPr>
          <w:rFonts w:ascii="Gentium" w:hAnsi="Gentium"/>
          <w:i/>
          <w:color w:val="000000"/>
        </w:rPr>
        <w:t>sic</w:t>
      </w:r>
      <w:r w:rsidRPr="00660D1C">
        <w:rPr>
          <w:rFonts w:ascii="Gentium" w:hAnsi="Gentium"/>
          <w:color w:val="000000"/>
        </w:rPr>
        <w:t>] in Chitral.” M.A. thesis, University of Peshawar, 1982-1984. [U]</w:t>
      </w:r>
    </w:p>
    <w:p w14:paraId="39F2533A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Shalem, Avinoam. “The Dispersion of the Fatimid Treasury.” Chap. 3 in </w:t>
      </w:r>
      <w:r w:rsidRPr="00660D1C">
        <w:rPr>
          <w:rFonts w:ascii="Gentium" w:hAnsi="Gentium"/>
          <w:i/>
          <w:color w:val="000000"/>
        </w:rPr>
        <w:t>Islam Christianized: Islamic Portable Objects in the Medieval Church Treasuries of the Latin West</w:t>
      </w:r>
      <w:r w:rsidRPr="00660D1C">
        <w:rPr>
          <w:rFonts w:ascii="Gentium" w:hAnsi="Gentium"/>
          <w:color w:val="000000"/>
        </w:rPr>
        <w:t xml:space="preserve">, 56-71. </w:t>
      </w:r>
      <w:r w:rsidRPr="00123043">
        <w:rPr>
          <w:rFonts w:ascii="Gentium" w:hAnsi="Gentium"/>
        </w:rPr>
        <w:t>2</w:t>
      </w:r>
      <w:r w:rsidRPr="00123043">
        <w:rPr>
          <w:rFonts w:ascii="Gentium" w:hAnsi="Gentium"/>
          <w:vertAlign w:val="superscript"/>
        </w:rPr>
        <w:t>nd</w:t>
      </w:r>
      <w:r w:rsidRPr="00123043">
        <w:rPr>
          <w:rFonts w:ascii="Gentium" w:hAnsi="Gentium"/>
        </w:rPr>
        <w:t xml:space="preserve"> ed.</w:t>
      </w:r>
      <w:r w:rsidRPr="00660D1C">
        <w:rPr>
          <w:rFonts w:ascii="Gentium" w:hAnsi="Gentium"/>
          <w:color w:val="000000"/>
        </w:rPr>
        <w:t xml:space="preserve"> Ars faciendi, Band 7. Frankfurt am Main: Peter Lang, 1996.  </w:t>
      </w:r>
    </w:p>
    <w:p w14:paraId="206FB655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Shamji, Shein. “A Critical Study of the Life of Hasan Bin Sabbah as Based on Abu</w:t>
      </w:r>
      <w:r w:rsidRPr="00660D1C">
        <w:rPr>
          <w:rFonts w:ascii="Calibri" w:hAnsi="Calibri" w:cs="Calibri"/>
          <w:color w:val="000000"/>
        </w:rPr>
        <w:t>ʾ</w:t>
      </w:r>
      <w:r w:rsidRPr="00660D1C">
        <w:rPr>
          <w:rFonts w:ascii="Gentium" w:hAnsi="Gentium"/>
          <w:color w:val="000000"/>
        </w:rPr>
        <w:t xml:space="preserve">l-Qasim Kashani’s Account in His </w:t>
      </w:r>
      <w:r w:rsidRPr="00660D1C">
        <w:rPr>
          <w:rFonts w:ascii="Gentium" w:hAnsi="Gentium"/>
          <w:i/>
          <w:color w:val="000000"/>
        </w:rPr>
        <w:t>Zubdat al-Tawarikh</w:t>
      </w:r>
      <w:r w:rsidRPr="00660D1C">
        <w:rPr>
          <w:rFonts w:ascii="Gentium" w:hAnsi="Gentium"/>
          <w:color w:val="000000"/>
        </w:rPr>
        <w:t>.” M.A. thesis, University of Virginia, 1995. 109 pp.</w:t>
      </w:r>
    </w:p>
    <w:p w14:paraId="78B2A1AF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Shany-Belkine, Daliah. “Les tessons lustrés fatimides aux Musées royaux d’art et d’histoire.” </w:t>
      </w:r>
      <w:r w:rsidRPr="00660D1C">
        <w:rPr>
          <w:rFonts w:ascii="Gentium" w:hAnsi="Gentium"/>
          <w:i/>
          <w:color w:val="000000"/>
        </w:rPr>
        <w:t>Bulletin des Musées Royaux d’Art et d’Histoire</w:t>
      </w:r>
      <w:r w:rsidRPr="00660D1C">
        <w:rPr>
          <w:rFonts w:ascii="Gentium" w:hAnsi="Gentium"/>
          <w:color w:val="000000"/>
        </w:rPr>
        <w:t xml:space="preserve"> 52 (1980-1981): 25-49.</w:t>
      </w:r>
    </w:p>
    <w:p w14:paraId="77F1A95C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Shboul, Ahmad M. H. “Qāḍī al-Nu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mān, al-.” In </w:t>
      </w:r>
      <w:r w:rsidRPr="00660D1C">
        <w:rPr>
          <w:rFonts w:ascii="Gentium" w:hAnsi="Gentium"/>
          <w:i/>
          <w:color w:val="000000"/>
        </w:rPr>
        <w:t>The Oxford Dictionary of Byzantium</w:t>
      </w:r>
      <w:r w:rsidRPr="00660D1C">
        <w:rPr>
          <w:rFonts w:ascii="Gentium" w:hAnsi="Gentium"/>
          <w:color w:val="000000"/>
        </w:rPr>
        <w:t>. 3 vols. Edited by A. P. Kazhdan, 3:1763. New York: Oxford University Press, 1991.</w:t>
      </w:r>
    </w:p>
    <w:p w14:paraId="0CFB391E" w14:textId="77777777" w:rsidR="00EA60B1" w:rsidRDefault="00EA60B1" w:rsidP="00EA60B1">
      <w:pPr>
        <w:rPr>
          <w:rFonts w:ascii="Gentium" w:hAnsi="Gentium"/>
          <w:color w:val="000000"/>
        </w:rPr>
      </w:pPr>
      <w:r w:rsidRPr="001A5745">
        <w:rPr>
          <w:rFonts w:ascii="Gentium" w:hAnsi="Gentium"/>
          <w:color w:val="000000"/>
        </w:rPr>
        <w:t xml:space="preserve">Shepherd, John J. “Aga Khanis,” “Bohoras.” In </w:t>
      </w:r>
      <w:r w:rsidRPr="001A5745">
        <w:rPr>
          <w:rFonts w:ascii="Gentium" w:hAnsi="Gentium"/>
          <w:i/>
          <w:color w:val="000000"/>
        </w:rPr>
        <w:t>Longman Guide to Living Religions</w:t>
      </w:r>
      <w:r w:rsidRPr="001A5745">
        <w:rPr>
          <w:rFonts w:ascii="Gentium" w:hAnsi="Gentium"/>
          <w:color w:val="000000"/>
        </w:rPr>
        <w:t>. Edited by Ia</w:t>
      </w:r>
      <w:r>
        <w:rPr>
          <w:rFonts w:ascii="Gentium" w:hAnsi="Gentium"/>
          <w:color w:val="000000"/>
        </w:rPr>
        <w:t xml:space="preserve">n C. Harris et al., 14-15; 40. </w:t>
      </w:r>
      <w:r w:rsidRPr="001A5745">
        <w:rPr>
          <w:rFonts w:ascii="Gentium" w:hAnsi="Gentium"/>
          <w:color w:val="000000"/>
        </w:rPr>
        <w:t>New York, N.Y.: Stockton, 1994.</w:t>
      </w:r>
    </w:p>
    <w:p w14:paraId="1CCAEFC5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Shodan, Amrita. “The Aga Khan Case: The Religious Community in the Bombay Law Courts.” Chap. 3 in </w:t>
      </w:r>
      <w:r w:rsidRPr="00660D1C">
        <w:rPr>
          <w:rFonts w:ascii="Gentium" w:hAnsi="Gentium"/>
          <w:i/>
          <w:color w:val="000000"/>
        </w:rPr>
        <w:t>A Question of Community: Religious Groups and Colonial Law</w:t>
      </w:r>
      <w:r w:rsidRPr="00660D1C">
        <w:rPr>
          <w:rFonts w:ascii="Gentium" w:hAnsi="Gentium"/>
          <w:color w:val="000000"/>
        </w:rPr>
        <w:t>, 82–116. Calcutta: Samya, 2001.</w:t>
      </w:r>
    </w:p>
    <w:p w14:paraId="305D1110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Sikand, Yoginder S. “Shi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>ism in Contemporary India: The Badri-Vakili Controversy among Indian Ismā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īlīs.” </w:t>
      </w:r>
      <w:r w:rsidRPr="00660D1C">
        <w:rPr>
          <w:rFonts w:ascii="Gentium" w:hAnsi="Gentium"/>
          <w:i/>
          <w:color w:val="000000"/>
        </w:rPr>
        <w:t>Muslim World</w:t>
      </w:r>
      <w:r w:rsidRPr="00660D1C">
        <w:rPr>
          <w:rFonts w:ascii="Gentium" w:hAnsi="Gentium"/>
          <w:color w:val="000000"/>
        </w:rPr>
        <w:t xml:space="preserve"> 93:1 (2003): 99-115.</w:t>
      </w:r>
    </w:p>
    <w:p w14:paraId="7D646B00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Simonsohn, Uriel. “The Status of the Dhimmis within the Fatimid </w:t>
      </w:r>
      <w:r w:rsidRPr="00364DC3">
        <w:rPr>
          <w:rFonts w:ascii="Gentium" w:hAnsi="Gentium"/>
          <w:color w:val="000000"/>
        </w:rPr>
        <w:t xml:space="preserve">Imamate </w:t>
      </w:r>
      <w:r w:rsidRPr="00660D1C">
        <w:rPr>
          <w:rFonts w:ascii="Gentium" w:hAnsi="Gentium"/>
          <w:color w:val="000000"/>
        </w:rPr>
        <w:t>in Egypt.” M.A. thesis, The School of History, Tel Aviv University, 2003. 110 pp. [In Hebrew with English Summary]</w:t>
      </w:r>
    </w:p>
    <w:p w14:paraId="1069D730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Singer, Isidore, and Isaac Broydé. “Paltiel.” In </w:t>
      </w:r>
      <w:r w:rsidRPr="00660D1C">
        <w:rPr>
          <w:rFonts w:ascii="Gentium" w:hAnsi="Gentium"/>
          <w:i/>
          <w:color w:val="000000"/>
        </w:rPr>
        <w:t>The Jewish Encyclopedia</w:t>
      </w:r>
      <w:r w:rsidRPr="00660D1C">
        <w:rPr>
          <w:rFonts w:ascii="Gentium" w:hAnsi="Gentium"/>
          <w:color w:val="000000"/>
        </w:rPr>
        <w:t>. 12 vols. Edited by Isidore Singer et al., 9:507-508. New York and</w:t>
      </w:r>
      <w:r>
        <w:rPr>
          <w:rFonts w:ascii="Gentium" w:hAnsi="Gentium"/>
          <w:color w:val="000000"/>
        </w:rPr>
        <w:t xml:space="preserve"> London: Funk &amp; Wagnalls</w:t>
      </w:r>
      <w:r w:rsidRPr="00660D1C">
        <w:rPr>
          <w:rFonts w:ascii="Gentium" w:hAnsi="Gentium"/>
          <w:color w:val="000000"/>
        </w:rPr>
        <w:t>, 1901-1906.</w:t>
      </w:r>
    </w:p>
    <w:p w14:paraId="47710D66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Składanek, Bogdan. “Pseudoizmaelicka wersja stworzenia świata.” [A Pseudo-Ismailite Version of the Creation of the World] </w:t>
      </w:r>
      <w:r w:rsidRPr="00660D1C">
        <w:rPr>
          <w:rFonts w:ascii="Gentium" w:hAnsi="Gentium"/>
          <w:i/>
          <w:color w:val="000000"/>
        </w:rPr>
        <w:t>Euhemer – Przegląd Religioznawczy</w:t>
      </w:r>
      <w:r w:rsidRPr="00660D1C">
        <w:rPr>
          <w:rFonts w:ascii="Gentium" w:hAnsi="Gentium"/>
          <w:color w:val="000000"/>
        </w:rPr>
        <w:t xml:space="preserve"> 12:3-4 (69-70) (1968): 163-173. [In Polish]</w:t>
      </w:r>
    </w:p>
    <w:p w14:paraId="571BEE66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Slack, Corliss K. “Alamut,” “Assassins, Ismaili Origins,” “Assassins, Syria,” “Fatimid Dynasty.” In </w:t>
      </w:r>
      <w:r w:rsidRPr="00660D1C">
        <w:rPr>
          <w:rFonts w:ascii="Gentium" w:hAnsi="Gentium"/>
          <w:i/>
          <w:color w:val="000000"/>
        </w:rPr>
        <w:t>Historical Dictionary of the Crusades</w:t>
      </w:r>
      <w:r w:rsidRPr="00660D1C">
        <w:rPr>
          <w:rFonts w:ascii="Gentium" w:hAnsi="Gentium"/>
          <w:color w:val="000000"/>
        </w:rPr>
        <w:t>. Historical Dictionaries of War, Revolution, and Civil Unrest 25. Lanham, Md: Scarecrow Press, 2003.</w:t>
      </w:r>
    </w:p>
    <w:p w14:paraId="6595B1EB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Smith, C. Ryder. “The Aga Khan and </w:t>
      </w:r>
      <w:r w:rsidRPr="001F7F4D">
        <w:rPr>
          <w:rFonts w:ascii="Gentium" w:hAnsi="Gentium"/>
        </w:rPr>
        <w:t>the</w:t>
      </w:r>
      <w:r w:rsidRPr="00660D1C">
        <w:rPr>
          <w:rFonts w:ascii="Gentium" w:hAnsi="Gentium"/>
          <w:color w:val="000000"/>
        </w:rPr>
        <w:t xml:space="preserve"> Khojas.” </w:t>
      </w:r>
      <w:r w:rsidRPr="00660D1C">
        <w:rPr>
          <w:rFonts w:ascii="Gentium" w:hAnsi="Gentium"/>
          <w:i/>
          <w:color w:val="000000"/>
        </w:rPr>
        <w:t>International Review of Missions</w:t>
      </w:r>
      <w:r w:rsidRPr="00660D1C">
        <w:rPr>
          <w:rFonts w:ascii="Gentium" w:hAnsi="Gentium"/>
          <w:color w:val="000000"/>
        </w:rPr>
        <w:t xml:space="preserve"> 25 (1936): 259-261.</w:t>
      </w:r>
      <w:r w:rsidRPr="00660D1C">
        <w:rPr>
          <w:rFonts w:ascii="Gentium" w:hAnsi="Gentium"/>
          <w:color w:val="000000"/>
        </w:rPr>
        <w:tab/>
      </w:r>
    </w:p>
    <w:p w14:paraId="3AD76FAB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Smith, Wilfred Cantwell. “Aga Khan III.” In </w:t>
      </w:r>
      <w:r w:rsidRPr="00660D1C">
        <w:rPr>
          <w:rFonts w:ascii="Gentium" w:hAnsi="Gentium"/>
          <w:i/>
          <w:color w:val="000000"/>
        </w:rPr>
        <w:t>The Encyclopedia Americana: The International Reference Work</w:t>
      </w:r>
      <w:r w:rsidRPr="00660D1C">
        <w:rPr>
          <w:rFonts w:ascii="Gentium" w:hAnsi="Gentium"/>
          <w:color w:val="000000"/>
        </w:rPr>
        <w:t>. Canadian ed. 30 vols. 1:228-229. Montreal: Americana Corporation of Canada, 1958.</w:t>
      </w:r>
    </w:p>
    <w:p w14:paraId="75E3D127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Smoor, Pieter. “Ibn Qalāqis and His Poems in Praise of </w:t>
      </w:r>
      <w:r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Anbar, a Fatimid Dignitary.” In </w:t>
      </w:r>
      <w:r w:rsidRPr="00D920B5">
        <w:rPr>
          <w:rFonts w:ascii="Gentium" w:hAnsi="Gentium"/>
          <w:i/>
          <w:color w:val="000000"/>
        </w:rPr>
        <w:t>MCCAM</w:t>
      </w:r>
      <w:r>
        <w:rPr>
          <w:rFonts w:ascii="Gentium" w:hAnsi="Gentium"/>
          <w:i/>
          <w:color w:val="000000"/>
        </w:rPr>
        <w:t xml:space="preserve">, </w:t>
      </w:r>
      <w:r w:rsidRPr="00660D1C">
        <w:rPr>
          <w:rFonts w:ascii="Gentium" w:hAnsi="Gentium"/>
          <w:color w:val="000000"/>
        </w:rPr>
        <w:t>133-150.</w:t>
      </w:r>
    </w:p>
    <w:p w14:paraId="3FDBC3CC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Sokoly, Jochen A. “Dated and Datable </w:t>
      </w:r>
      <w:r w:rsidRPr="00805382">
        <w:rPr>
          <w:rFonts w:ascii="Gentium" w:hAnsi="Gentium"/>
        </w:rPr>
        <w:t>Tiraz</w:t>
      </w:r>
      <w:r w:rsidRPr="00805382">
        <w:rPr>
          <w:rFonts w:ascii="Gentium" w:hAnsi="Gentium"/>
          <w:color w:val="FF0000"/>
        </w:rPr>
        <w:t xml:space="preserve"> </w:t>
      </w:r>
      <w:r w:rsidRPr="00660D1C">
        <w:rPr>
          <w:rFonts w:ascii="Gentium" w:hAnsi="Gentium"/>
          <w:color w:val="000000"/>
        </w:rPr>
        <w:t>Textiles from the Time of the Fatimid Dynasty in Egypt (969-1171).” M.Phil. thesis, Faculty of Oriental Studies, University of Oxford, 1992.</w:t>
      </w:r>
      <w:r>
        <w:rPr>
          <w:rFonts w:ascii="Gentium" w:hAnsi="Gentium"/>
          <w:color w:val="000000"/>
        </w:rPr>
        <w:t xml:space="preserve"> </w:t>
      </w:r>
      <w:r w:rsidRPr="00805382">
        <w:rPr>
          <w:rFonts w:ascii="Gentium" w:hAnsi="Gentium"/>
          <w:color w:val="000000"/>
        </w:rPr>
        <w:t>157 pp., + 63 plates</w:t>
      </w:r>
      <w:r>
        <w:rPr>
          <w:rFonts w:ascii="Gentium" w:hAnsi="Gentium"/>
          <w:color w:val="000000"/>
        </w:rPr>
        <w:t>.</w:t>
      </w:r>
      <w:r w:rsidRPr="00660D1C">
        <w:rPr>
          <w:rFonts w:ascii="Gentium" w:hAnsi="Gentium"/>
          <w:color w:val="000000"/>
        </w:rPr>
        <w:t xml:space="preserve"> </w:t>
      </w:r>
    </w:p>
    <w:p w14:paraId="6CF3420C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</w:t>
      </w:r>
      <w:r w:rsidRPr="00584459">
        <w:rPr>
          <w:rFonts w:ascii="Gentium" w:hAnsi="Gentium"/>
          <w:i/>
        </w:rPr>
        <w:t xml:space="preserve">Tiraz </w:t>
      </w:r>
      <w:r w:rsidRPr="00660D1C">
        <w:rPr>
          <w:rFonts w:ascii="Gentium" w:hAnsi="Gentium"/>
          <w:color w:val="000000"/>
        </w:rPr>
        <w:t xml:space="preserve">Textiles from Egypt: Production, Administration and Uses of </w:t>
      </w:r>
      <w:r w:rsidRPr="00946E80">
        <w:rPr>
          <w:rFonts w:ascii="Gentium" w:hAnsi="Gentium"/>
          <w:i/>
          <w:color w:val="000000"/>
        </w:rPr>
        <w:t>Tiraz</w:t>
      </w:r>
      <w:r>
        <w:rPr>
          <w:rFonts w:ascii="Gentium" w:hAnsi="Gentium"/>
          <w:color w:val="000000"/>
        </w:rPr>
        <w:t xml:space="preserve"> </w:t>
      </w:r>
      <w:r w:rsidRPr="00660D1C">
        <w:rPr>
          <w:rFonts w:ascii="Gentium" w:hAnsi="Gentium"/>
          <w:color w:val="000000"/>
        </w:rPr>
        <w:t xml:space="preserve">Textiles from Egypt under the Umayyad, 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>Abbāsid and Fāṭimid Dynasties.”</w:t>
      </w:r>
      <w:r>
        <w:rPr>
          <w:rFonts w:ascii="Gentium" w:hAnsi="Gentium"/>
          <w:color w:val="000000"/>
        </w:rPr>
        <w:t xml:space="preserve"> </w:t>
      </w:r>
      <w:r w:rsidRPr="00832304">
        <w:rPr>
          <w:rFonts w:ascii="Gentium" w:hAnsi="Gentium"/>
          <w:color w:val="000000"/>
        </w:rPr>
        <w:t>D.Phil. diss.</w:t>
      </w:r>
      <w:r w:rsidRPr="00660D1C">
        <w:rPr>
          <w:rFonts w:ascii="Gentium" w:hAnsi="Gentium"/>
          <w:color w:val="000000"/>
        </w:rPr>
        <w:t xml:space="preserve">, Faculty of Oriental Studies, University of Oxford, 2002. 4 vols. [U]  </w:t>
      </w:r>
    </w:p>
    <w:p w14:paraId="4B39B780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8C299F">
        <w:rPr>
          <w:rFonts w:ascii="Gentium" w:hAnsi="Gentium"/>
          <w:color w:val="000000"/>
        </w:rPr>
        <w:t>al-</w:t>
      </w:r>
      <w:r w:rsidRPr="00660D1C">
        <w:rPr>
          <w:rFonts w:ascii="Gentium" w:hAnsi="Gentium"/>
          <w:color w:val="000000"/>
        </w:rPr>
        <w:t xml:space="preserve">Sonaide, Saleh. “The Umayyad-Fatimid Conflict in North Africa </w:t>
      </w:r>
      <w:r>
        <w:rPr>
          <w:rFonts w:ascii="Gentium" w:hAnsi="Gentium"/>
          <w:color w:val="000000"/>
        </w:rPr>
        <w:t xml:space="preserve">Seen </w:t>
      </w:r>
      <w:r w:rsidRPr="00660D1C">
        <w:rPr>
          <w:rFonts w:ascii="Gentium" w:hAnsi="Gentium"/>
          <w:color w:val="000000"/>
        </w:rPr>
        <w:t xml:space="preserve">through the Official Documents of Ibn Hayyan’s </w:t>
      </w:r>
      <w:r w:rsidRPr="00660D1C">
        <w:rPr>
          <w:rFonts w:ascii="Gentium" w:hAnsi="Gentium"/>
          <w:i/>
          <w:color w:val="000000"/>
        </w:rPr>
        <w:t>al-Muqtabis</w:t>
      </w:r>
      <w:r w:rsidRPr="00660D1C">
        <w:rPr>
          <w:rFonts w:ascii="Gentium" w:hAnsi="Gentium"/>
          <w:color w:val="000000"/>
        </w:rPr>
        <w:t xml:space="preserve"> and Qadi al-Numan’s </w:t>
      </w:r>
      <w:r w:rsidRPr="00660D1C">
        <w:rPr>
          <w:rFonts w:ascii="Gentium" w:hAnsi="Gentium"/>
          <w:i/>
          <w:color w:val="000000"/>
        </w:rPr>
        <w:t>al-Majalis wa’l-Musayarat</w:t>
      </w:r>
      <w:r w:rsidRPr="00660D1C">
        <w:rPr>
          <w:rFonts w:ascii="Gentium" w:hAnsi="Gentium"/>
          <w:color w:val="000000"/>
        </w:rPr>
        <w:t>.” Ph.D</w:t>
      </w:r>
      <w:r>
        <w:rPr>
          <w:rFonts w:ascii="Gentium" w:hAnsi="Gentium"/>
          <w:color w:val="000000"/>
        </w:rPr>
        <w:t xml:space="preserve">. diss., University of Granada, </w:t>
      </w:r>
      <w:r w:rsidRPr="00660D1C">
        <w:rPr>
          <w:rFonts w:ascii="Gentium" w:hAnsi="Gentium"/>
          <w:color w:val="000000"/>
        </w:rPr>
        <w:t>1991. 473 pp. [In Spanish] [U]</w:t>
      </w:r>
    </w:p>
    <w:p w14:paraId="00418E22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Speight, R. Marston. “Muslim Attitudes toward Christians in the Maghrib during the Faṭīmid Period, 297/909-358/969.” In </w:t>
      </w:r>
      <w:r w:rsidRPr="00660D1C">
        <w:rPr>
          <w:rFonts w:ascii="Gentium" w:hAnsi="Gentium"/>
          <w:i/>
          <w:color w:val="000000"/>
        </w:rPr>
        <w:t>Christian-Muslim Encounters</w:t>
      </w:r>
      <w:r w:rsidRPr="00660D1C">
        <w:rPr>
          <w:rFonts w:ascii="Gentium" w:hAnsi="Gentium"/>
          <w:color w:val="000000"/>
        </w:rPr>
        <w:t>. Edited by Yvonne Yazbeck Haddad and Wadi Zaidan Haddad, 180-192. Gainesville: University Press of Florida, 1995.</w:t>
      </w:r>
    </w:p>
    <w:p w14:paraId="6DF65FA7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Speiser, Philipp. “Recherches archéologiques dans Le Caire fatimide: Les éléments d’un puzzle.” In </w:t>
      </w:r>
      <w:r w:rsidRPr="00660D1C">
        <w:rPr>
          <w:rFonts w:ascii="Gentium" w:hAnsi="Gentium"/>
          <w:i/>
          <w:color w:val="000000"/>
        </w:rPr>
        <w:t>Colloque International d’Archéologie Islamique: IFAO, Le Caire, 3-7 février 1993</w:t>
      </w:r>
      <w:r w:rsidRPr="00660D1C">
        <w:rPr>
          <w:rFonts w:ascii="Gentium" w:hAnsi="Gentium"/>
          <w:color w:val="000000"/>
        </w:rPr>
        <w:t>. Edited by Roland-Pierre Gayraud, 419-434. Le Caire: Institut français d’archéologie orientale, 1998.</w:t>
      </w:r>
    </w:p>
    <w:p w14:paraId="1FC07771" w14:textId="77777777" w:rsidR="00EA60B1" w:rsidRDefault="00EA60B1" w:rsidP="00EA60B1">
      <w:pPr>
        <w:rPr>
          <w:rFonts w:ascii="Gentium" w:hAnsi="Gentium"/>
          <w:color w:val="000000"/>
        </w:rPr>
      </w:pPr>
      <w:r w:rsidRPr="00817D65">
        <w:rPr>
          <w:rFonts w:ascii="Gentium" w:hAnsi="Gentium"/>
          <w:color w:val="000000"/>
        </w:rPr>
        <w:t xml:space="preserve">Staffa, Susan Jane. “The Fāṭimid Florescence: Cosmopolitan Achievement and Challenge (A.D. 969-1169).” Chap. 3 in </w:t>
      </w:r>
      <w:r w:rsidRPr="00817D65">
        <w:rPr>
          <w:rFonts w:ascii="Gentium" w:hAnsi="Gentium"/>
          <w:i/>
          <w:color w:val="000000"/>
        </w:rPr>
        <w:t>Conquest and Fusion: The Social Evolution of Cairo A.D. 642-1850</w:t>
      </w:r>
      <w:r w:rsidRPr="00817D65">
        <w:rPr>
          <w:rFonts w:ascii="Gentium" w:hAnsi="Gentium"/>
          <w:color w:val="000000"/>
        </w:rPr>
        <w:t>, 50-83. Social, Economic and Political Studies of the Middle East 20. Leiden: E.J. Brill, 1977.</w:t>
      </w:r>
    </w:p>
    <w:p w14:paraId="35B2EFF6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Stark, Freya M. “The Country of the Assassins.” </w:t>
      </w:r>
      <w:r w:rsidRPr="00660D1C">
        <w:rPr>
          <w:rFonts w:ascii="Gentium" w:hAnsi="Gentium"/>
          <w:i/>
          <w:color w:val="000000"/>
        </w:rPr>
        <w:t>Journal of the Royal Central Asian Society</w:t>
      </w:r>
      <w:r w:rsidRPr="00660D1C">
        <w:rPr>
          <w:rFonts w:ascii="Gentium" w:hAnsi="Gentium"/>
          <w:color w:val="000000"/>
        </w:rPr>
        <w:t xml:space="preserve"> 21:2 (1934): 277-287.</w:t>
      </w:r>
    </w:p>
    <w:p w14:paraId="2CAC75E7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“The Valley of the Assassins to the Caspian Sea.” </w:t>
      </w:r>
      <w:r w:rsidRPr="00660D1C">
        <w:rPr>
          <w:rFonts w:ascii="Gentium" w:hAnsi="Gentium"/>
          <w:i/>
          <w:color w:val="000000"/>
        </w:rPr>
        <w:t>Scottish Geographical Magazine</w:t>
      </w:r>
      <w:r w:rsidRPr="00660D1C">
        <w:rPr>
          <w:rFonts w:ascii="Gentium" w:hAnsi="Gentium"/>
          <w:color w:val="000000"/>
        </w:rPr>
        <w:t xml:space="preserve"> 53:3 (1937): 155-166.</w:t>
      </w:r>
    </w:p>
    <w:p w14:paraId="6F33E7F8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Steiger, Brad, and Sherry Hansen Steiger. “The Assassins.” In </w:t>
      </w:r>
      <w:r w:rsidRPr="00660D1C">
        <w:rPr>
          <w:rFonts w:ascii="Gentium" w:hAnsi="Gentium"/>
          <w:i/>
          <w:color w:val="000000"/>
        </w:rPr>
        <w:t>The Gale Encyclopedia of the Unusual and Unexplained</w:t>
      </w:r>
      <w:r>
        <w:rPr>
          <w:rFonts w:ascii="Gentium" w:hAnsi="Gentium"/>
          <w:color w:val="000000"/>
        </w:rPr>
        <w:t>. 3 vols.</w:t>
      </w:r>
      <w:r w:rsidRPr="00660D1C">
        <w:rPr>
          <w:rFonts w:ascii="Gentium" w:hAnsi="Gentium"/>
          <w:color w:val="000000"/>
        </w:rPr>
        <w:t xml:space="preserve"> 2:4-5. Detroit: Thomson/Gale, 2003.</w:t>
      </w:r>
    </w:p>
    <w:p w14:paraId="3557191E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Straface, Antonella. “Influenze neoplatoniche nell’ interpretazione ismā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īlita di </w:t>
      </w:r>
      <w:r w:rsidRPr="00660D1C">
        <w:rPr>
          <w:rFonts w:ascii="Gentium" w:hAnsi="Gentium"/>
          <w:i/>
          <w:color w:val="000000"/>
        </w:rPr>
        <w:t>Šubbiha Lahum</w:t>
      </w:r>
      <w:r w:rsidRPr="00660D1C">
        <w:rPr>
          <w:rFonts w:ascii="Gentium" w:hAnsi="Gentium"/>
          <w:color w:val="000000"/>
        </w:rPr>
        <w:t xml:space="preserve"> (</w:t>
      </w:r>
      <w:r w:rsidRPr="00660D1C">
        <w:rPr>
          <w:rFonts w:ascii="Gentium" w:hAnsi="Gentium"/>
          <w:i/>
          <w:color w:val="000000"/>
        </w:rPr>
        <w:t>Cor</w:t>
      </w:r>
      <w:r w:rsidRPr="00660D1C">
        <w:rPr>
          <w:rFonts w:ascii="Gentium" w:hAnsi="Gentium"/>
          <w:color w:val="000000"/>
        </w:rPr>
        <w:t xml:space="preserve">. IV, 157).” In </w:t>
      </w:r>
      <w:r w:rsidRPr="00660D1C">
        <w:rPr>
          <w:rFonts w:ascii="Gentium" w:hAnsi="Gentium"/>
          <w:i/>
          <w:color w:val="000000"/>
        </w:rPr>
        <w:t>Pensiero e istituzioni del mondo classico nelle culture del Vicino Oriente: Atti del Seminario Nazionale di studio (Brescia, 14-15-16 ottobre 1999)</w:t>
      </w:r>
      <w:r w:rsidRPr="00660D1C">
        <w:rPr>
          <w:rFonts w:ascii="Gentium" w:hAnsi="Gentium"/>
          <w:color w:val="000000"/>
        </w:rPr>
        <w:t>. L’eredità classica nel mondo orientale 4. Edited by Rosa Bianca Finazzi and Alfredo Valvo, 265-275. Alessandria: Edizioni dell’Orso, 2001.</w:t>
      </w:r>
    </w:p>
    <w:p w14:paraId="696B6FD5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Straughn, Ian B. “The Urban Landscape of Fatimid Cairo/Fustat: The Dialectics of Spatial Practice in a Medieval Muslim Society.” M.A. thesis, Department of Anthropology, University of Chicago, 2000. 42 pp. [U]</w:t>
      </w:r>
    </w:p>
    <w:p w14:paraId="59AE39B6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Swanson, Lealan Anderson Nunn. “Historical Considerations in Yemeni Vernacular Architecture: Houses from the Sulayhid Dynasty (439/1047) to the Modern Period.” Ph.D. diss., Department of </w:t>
      </w:r>
      <w:r>
        <w:rPr>
          <w:rFonts w:ascii="Gentium" w:hAnsi="Gentium"/>
          <w:color w:val="000000"/>
        </w:rPr>
        <w:t xml:space="preserve">the </w:t>
      </w:r>
      <w:r w:rsidRPr="00660D1C">
        <w:rPr>
          <w:rFonts w:ascii="Gentium" w:hAnsi="Gentium"/>
          <w:color w:val="000000"/>
        </w:rPr>
        <w:t>History of Art, Ohio State University, 1997. x + 202 pp.</w:t>
      </w:r>
    </w:p>
    <w:p w14:paraId="0BE8D436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Taftazani, Ebu Vefa. “Filozofija ‘Ihvan el-Safa’ i njihov doprinos islamskoj filozofskoj misli.” </w:t>
      </w:r>
      <w:r w:rsidRPr="00660D1C">
        <w:rPr>
          <w:rFonts w:ascii="Gentium" w:hAnsi="Gentium"/>
          <w:i/>
          <w:color w:val="000000"/>
        </w:rPr>
        <w:t>Glasnik VIS-a</w:t>
      </w:r>
      <w:r w:rsidRPr="00660D1C">
        <w:rPr>
          <w:rFonts w:ascii="Gentium" w:hAnsi="Gentium"/>
          <w:color w:val="000000"/>
        </w:rPr>
        <w:t xml:space="preserve"> (Sarajevo) 36:11-12 (1973): 500-508. [In Serbo-Croatian]</w:t>
      </w:r>
    </w:p>
    <w:p w14:paraId="7E21CDF7" w14:textId="77777777" w:rsidR="00EA60B1" w:rsidRPr="000D07FD" w:rsidRDefault="00EA60B1" w:rsidP="00EA60B1">
      <w:pPr>
        <w:rPr>
          <w:rFonts w:ascii="Gentium" w:hAnsi="Gentium"/>
        </w:rPr>
      </w:pPr>
      <w:r w:rsidRPr="000D07FD">
        <w:rPr>
          <w:rFonts w:ascii="Gentium" w:hAnsi="Gentium"/>
        </w:rPr>
        <w:t xml:space="preserve">Tajddin Sadik Ali, Mumtaz Ali. </w:t>
      </w:r>
      <w:r w:rsidRPr="000D07FD">
        <w:rPr>
          <w:rFonts w:ascii="Gentium" w:hAnsi="Gentium"/>
          <w:i/>
        </w:rPr>
        <w:t>Authenticity of the “Buj Nirinjan” or “Cognition of the Omniscient.”</w:t>
      </w:r>
      <w:r w:rsidRPr="000D07FD">
        <w:rPr>
          <w:rFonts w:ascii="Gentium" w:hAnsi="Gentium"/>
        </w:rPr>
        <w:t xml:space="preserve"> Karachi, Pakistan: [M.A.T.S. Ali], 1982. [U]</w:t>
      </w:r>
    </w:p>
    <w:p w14:paraId="71E77F54" w14:textId="77777777" w:rsidR="00EA60B1" w:rsidRPr="00660D1C" w:rsidRDefault="00EA60B1" w:rsidP="00EA60B1">
      <w:pPr>
        <w:rPr>
          <w:rFonts w:ascii="Gentium" w:hAnsi="Gentium"/>
          <w:color w:val="000000"/>
        </w:rPr>
      </w:pPr>
      <w:r>
        <w:rPr>
          <w:rFonts w:ascii="Gentium" w:hAnsi="Gentium"/>
          <w:color w:val="000000"/>
        </w:rPr>
        <w:t xml:space="preserve">___. </w:t>
      </w:r>
      <w:r w:rsidRPr="00660D1C">
        <w:rPr>
          <w:rFonts w:ascii="Gentium" w:hAnsi="Gentium"/>
          <w:i/>
          <w:color w:val="000000"/>
        </w:rPr>
        <w:t>Lawfulness of Imam’s Photograph in Prayer-Hall in Islam: Tradition of Ismaili Muslims Examined and Elucidated</w:t>
      </w:r>
      <w:r w:rsidRPr="00660D1C">
        <w:rPr>
          <w:rFonts w:ascii="Gentium" w:hAnsi="Gentium"/>
          <w:color w:val="000000"/>
        </w:rPr>
        <w:t>. Karachi, Pakistan: M.A.T.S. Ali, 1990. 35 pp.</w:t>
      </w:r>
    </w:p>
    <w:p w14:paraId="590CAA6E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</w:t>
      </w:r>
      <w:r w:rsidRPr="00584459">
        <w:rPr>
          <w:rFonts w:ascii="Gentium" w:hAnsi="Gentium"/>
        </w:rPr>
        <w:t>Sat Panth</w:t>
      </w:r>
      <w:r w:rsidRPr="00660D1C">
        <w:rPr>
          <w:rFonts w:ascii="Gentium" w:hAnsi="Gentium"/>
          <w:color w:val="000000"/>
        </w:rPr>
        <w:t xml:space="preserve"> Literature in Khojki Manuscripts.” In </w:t>
      </w:r>
      <w:r>
        <w:rPr>
          <w:rFonts w:ascii="Gentium" w:hAnsi="Gentium"/>
          <w:i/>
          <w:color w:val="000000"/>
        </w:rPr>
        <w:t>SOS</w:t>
      </w:r>
      <w:r w:rsidRPr="00660D1C">
        <w:rPr>
          <w:rFonts w:ascii="Gentium" w:hAnsi="Gentium"/>
          <w:color w:val="000000"/>
        </w:rPr>
        <w:t>, 49-58.</w:t>
      </w:r>
    </w:p>
    <w:p w14:paraId="55F333F9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Tajdin, Karima. “An Indian Ismaili Manuscript at the </w:t>
      </w:r>
      <w:r w:rsidRPr="00123043">
        <w:rPr>
          <w:rFonts w:ascii="Gentium" w:hAnsi="Gentium"/>
        </w:rPr>
        <w:t>Turn of the 19</w:t>
      </w:r>
      <w:r w:rsidRPr="00123043">
        <w:rPr>
          <w:rFonts w:ascii="Gentium" w:hAnsi="Gentium"/>
          <w:vertAlign w:val="superscript"/>
        </w:rPr>
        <w:t>th</w:t>
      </w:r>
      <w:r w:rsidRPr="00123043">
        <w:rPr>
          <w:rFonts w:ascii="Gentium" w:hAnsi="Gentium"/>
        </w:rPr>
        <w:t xml:space="preserve"> Century</w:t>
      </w:r>
      <w:r w:rsidRPr="00660D1C">
        <w:rPr>
          <w:rFonts w:ascii="Gentium" w:hAnsi="Gentium"/>
          <w:color w:val="000000"/>
        </w:rPr>
        <w:t xml:space="preserve">.” In </w:t>
      </w:r>
      <w:r>
        <w:rPr>
          <w:rFonts w:ascii="Gentium" w:hAnsi="Gentium"/>
          <w:i/>
          <w:color w:val="000000"/>
        </w:rPr>
        <w:t>SOS</w:t>
      </w:r>
      <w:r w:rsidRPr="00660D1C">
        <w:rPr>
          <w:rFonts w:ascii="Gentium" w:hAnsi="Gentium"/>
          <w:color w:val="000000"/>
        </w:rPr>
        <w:t>, 65-69.</w:t>
      </w:r>
    </w:p>
    <w:p w14:paraId="6E1DB484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Tajdin, Nagib. “Artificial Intelligence and the Use of Optical Character Recognition (O.C.R.) Devices for the Preservation of Khojki Documents.” In </w:t>
      </w:r>
      <w:r>
        <w:rPr>
          <w:rFonts w:ascii="Gentium" w:hAnsi="Gentium"/>
          <w:i/>
          <w:color w:val="000000"/>
        </w:rPr>
        <w:t>SOS</w:t>
      </w:r>
      <w:r w:rsidRPr="00660D1C">
        <w:rPr>
          <w:rFonts w:ascii="Gentium" w:hAnsi="Gentium"/>
          <w:color w:val="000000"/>
        </w:rPr>
        <w:t>, 28-36.</w:t>
      </w:r>
    </w:p>
    <w:p w14:paraId="04A31CB9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Takayama, Hiroshi. “The Fatimid and Kalbite Governors in Sicily: 909-1044 [Islamic Sicily II].” </w:t>
      </w:r>
      <w:r w:rsidRPr="00660D1C">
        <w:rPr>
          <w:rFonts w:ascii="Gentium" w:hAnsi="Gentium"/>
          <w:i/>
          <w:color w:val="000000"/>
        </w:rPr>
        <w:t>Mediterranean World</w:t>
      </w:r>
      <w:r w:rsidRPr="00660D1C">
        <w:rPr>
          <w:rFonts w:ascii="Gentium" w:hAnsi="Gentium"/>
          <w:color w:val="000000"/>
        </w:rPr>
        <w:t xml:space="preserve"> 13 (1992): 21-30.</w:t>
      </w:r>
    </w:p>
    <w:p w14:paraId="0091A6EC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Talia, Shawqi N. “The Fatimid Caliph al-Hâkim’s Treatment of Christians According to the History of Yaḥyâ Ibn-Sa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>îd al-Anṭâkî.” M.A. thesis, Catholic University of America, 1980. iv + 99 pp. [U]</w:t>
      </w:r>
      <w:r>
        <w:rPr>
          <w:rFonts w:ascii="Gentium" w:hAnsi="Gentium"/>
          <w:color w:val="000000"/>
        </w:rPr>
        <w:t xml:space="preserve"> </w:t>
      </w:r>
    </w:p>
    <w:p w14:paraId="6EBD6AAC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Tannehill, Wilkins. “The Assassins.” </w:t>
      </w:r>
      <w:r w:rsidRPr="00660D1C">
        <w:rPr>
          <w:rFonts w:ascii="Gentium" w:hAnsi="Gentium"/>
          <w:i/>
          <w:color w:val="000000"/>
        </w:rPr>
        <w:t>The Western Messenger</w:t>
      </w:r>
      <w:r w:rsidRPr="00660D1C">
        <w:rPr>
          <w:rFonts w:ascii="Gentium" w:hAnsi="Gentium"/>
          <w:color w:val="000000"/>
        </w:rPr>
        <w:t xml:space="preserve"> 2:2 (1836): 135-139.</w:t>
      </w:r>
    </w:p>
    <w:p w14:paraId="73B23880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Tarizzo, M. L. “Early Arab Coins of Tunisia. III. The Fa</w:t>
      </w:r>
      <w:r>
        <w:rPr>
          <w:rFonts w:ascii="Gentium" w:hAnsi="Gentium"/>
          <w:color w:val="000000"/>
        </w:rPr>
        <w:t>timids of Ifriqiyah and t</w:t>
      </w:r>
      <w:r w:rsidRPr="00660D1C">
        <w:rPr>
          <w:rFonts w:ascii="Gentium" w:hAnsi="Gentium"/>
          <w:color w:val="000000"/>
        </w:rPr>
        <w:t xml:space="preserve">heir Successors up to the Establishment of Hafsid Rule - 296-625 AH (909-1228 A.D.).” </w:t>
      </w:r>
      <w:r w:rsidRPr="00660D1C">
        <w:rPr>
          <w:rFonts w:ascii="Gentium" w:hAnsi="Gentium"/>
          <w:i/>
          <w:color w:val="000000"/>
        </w:rPr>
        <w:t>Oriental Numismatic Society: Information Sheet</w:t>
      </w:r>
      <w:r w:rsidRPr="00660D1C">
        <w:rPr>
          <w:rFonts w:ascii="Gentium" w:hAnsi="Gentium"/>
          <w:color w:val="000000"/>
        </w:rPr>
        <w:t xml:space="preserve"> 18 (1977): 1-18.</w:t>
      </w:r>
    </w:p>
    <w:p w14:paraId="172E8129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Theimer, Walter. “Aga Khan.” In </w:t>
      </w:r>
      <w:r w:rsidRPr="00660D1C">
        <w:rPr>
          <w:rFonts w:ascii="Gentium" w:hAnsi="Gentium"/>
          <w:i/>
          <w:color w:val="000000"/>
        </w:rPr>
        <w:t>Encyclopaedia of World Politics</w:t>
      </w:r>
      <w:r>
        <w:rPr>
          <w:rFonts w:ascii="Gentium" w:hAnsi="Gentium"/>
          <w:color w:val="000000"/>
        </w:rPr>
        <w:t>, 10-11. London: Faber and</w:t>
      </w:r>
      <w:r w:rsidRPr="00660D1C">
        <w:rPr>
          <w:rFonts w:ascii="Gentium" w:hAnsi="Gentium"/>
          <w:color w:val="000000"/>
        </w:rPr>
        <w:t xml:space="preserve"> Faber, 1950.</w:t>
      </w:r>
      <w:r w:rsidRPr="00660D1C">
        <w:rPr>
          <w:rFonts w:ascii="Gentium" w:hAnsi="Gentium"/>
          <w:color w:val="000000"/>
        </w:rPr>
        <w:tab/>
      </w:r>
    </w:p>
    <w:p w14:paraId="6E1DC2B4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Thirion, Marcel. “Trouvaille d’une monnaie des Fatimites à Dourbes (Namur).” </w:t>
      </w:r>
      <w:r w:rsidRPr="00660D1C">
        <w:rPr>
          <w:rFonts w:ascii="Gentium" w:hAnsi="Gentium"/>
          <w:i/>
          <w:color w:val="000000"/>
        </w:rPr>
        <w:t xml:space="preserve">Revue Belge de Numismatique et de Sigillographie </w:t>
      </w:r>
      <w:r w:rsidRPr="00660D1C">
        <w:rPr>
          <w:rFonts w:ascii="Gentium" w:hAnsi="Gentium"/>
          <w:color w:val="000000"/>
        </w:rPr>
        <w:t>106 (1960): 334-335.</w:t>
      </w:r>
    </w:p>
    <w:p w14:paraId="06C3782B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Thomassen, Einar. “Frelsesoppfatningen i Ismailismen: Et forsøk i sosialsoteriologi.” </w:t>
      </w:r>
      <w:r w:rsidRPr="00660D1C">
        <w:rPr>
          <w:rFonts w:ascii="Gentium" w:hAnsi="Gentium"/>
          <w:i/>
          <w:color w:val="000000"/>
        </w:rPr>
        <w:t>Chaos</w:t>
      </w:r>
      <w:r w:rsidRPr="00660D1C">
        <w:rPr>
          <w:rFonts w:ascii="Gentium" w:hAnsi="Gentium"/>
          <w:color w:val="000000"/>
        </w:rPr>
        <w:t xml:space="preserve"> 6 (1986): 29-37. [In Danish]</w:t>
      </w:r>
    </w:p>
    <w:p w14:paraId="13E5B801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Thomson, Greg. “Language and Ethnicity among a Group of Pentalingual Albuquerqueans.” </w:t>
      </w:r>
      <w:r w:rsidRPr="00660D1C">
        <w:rPr>
          <w:rFonts w:ascii="Gentium" w:hAnsi="Gentium"/>
          <w:i/>
          <w:color w:val="000000"/>
        </w:rPr>
        <w:t>Work Papers of the Summer Institute of Linguistics</w:t>
      </w:r>
      <w:r w:rsidRPr="00660D1C">
        <w:rPr>
          <w:rFonts w:ascii="Gentium" w:hAnsi="Gentium"/>
          <w:color w:val="000000"/>
        </w:rPr>
        <w:t xml:space="preserve"> 44 (2000): 1-22.</w:t>
      </w:r>
    </w:p>
    <w:p w14:paraId="6ED0C28C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Tonghini, Cristina. “Ceramica Fatimide da S. Rabano.” </w:t>
      </w:r>
      <w:r w:rsidRPr="00660D1C">
        <w:rPr>
          <w:rFonts w:ascii="Gentium" w:hAnsi="Gentium"/>
          <w:i/>
          <w:color w:val="000000"/>
        </w:rPr>
        <w:t>Archeologia Medievale</w:t>
      </w:r>
      <w:r w:rsidRPr="00660D1C">
        <w:rPr>
          <w:rFonts w:ascii="Gentium" w:hAnsi="Gentium"/>
          <w:color w:val="000000"/>
        </w:rPr>
        <w:t xml:space="preserve"> 27 (2000): 407-409.</w:t>
      </w:r>
    </w:p>
    <w:p w14:paraId="59C459F0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Topan, Farouk M. “Swahili and Ismā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īlī Perceptions of Salāt.” In </w:t>
      </w:r>
      <w:r w:rsidRPr="00660D1C">
        <w:rPr>
          <w:rFonts w:ascii="Gentium" w:hAnsi="Gentium"/>
          <w:i/>
          <w:color w:val="000000"/>
        </w:rPr>
        <w:t>Islamic Prayer across the Indian Ocean: Inside and Outside the Mosque</w:t>
      </w:r>
      <w:r w:rsidRPr="00660D1C">
        <w:rPr>
          <w:rFonts w:ascii="Gentium" w:hAnsi="Gentium"/>
          <w:color w:val="000000"/>
        </w:rPr>
        <w:t>. Curzon Indian Ocean Series. Edited by David J. Parkin and Stephen Cavana Headley, 99-115. Richmond, Surrey: Curzon, 2000.</w:t>
      </w:r>
    </w:p>
    <w:p w14:paraId="5CBB2760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Toukabri, Hmida. “La communauté juive de l’Ifriqiya au temps des fatimides et des zirides.” In </w:t>
      </w:r>
      <w:r w:rsidRPr="00660D1C">
        <w:rPr>
          <w:rFonts w:ascii="Gentium" w:hAnsi="Gentium"/>
          <w:i/>
          <w:color w:val="000000"/>
        </w:rPr>
        <w:t>Histoire communautaire, histoire plurielle: La communauté juive de Tunisie; Actes du colloque de Tunis organisé les 25-26-27 février 1998 à la Faculté de la Manouba</w:t>
      </w:r>
      <w:r w:rsidRPr="00660D1C">
        <w:rPr>
          <w:rFonts w:ascii="Gentium" w:hAnsi="Gentium"/>
          <w:color w:val="000000"/>
        </w:rPr>
        <w:t>, 135-143. Tunis: Centre de publication universitaire, 1999.</w:t>
      </w:r>
    </w:p>
    <w:p w14:paraId="12E269E4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Trivedi, Raj Kumar. “The Loyalists and the Turkish Question: The Exit of the Aga Khan.” In </w:t>
      </w:r>
      <w:r w:rsidRPr="00660D1C">
        <w:rPr>
          <w:rFonts w:ascii="Gentium" w:hAnsi="Gentium"/>
          <w:i/>
          <w:color w:val="000000"/>
        </w:rPr>
        <w:t>Indian History Congress: Proceedings of the Forty-Fourth Session; University of Burdwan, Burdwan, 1983</w:t>
      </w:r>
      <w:r w:rsidRPr="00660D1C">
        <w:rPr>
          <w:rFonts w:ascii="Gentium" w:hAnsi="Gentium"/>
          <w:color w:val="000000"/>
        </w:rPr>
        <w:t>, 399-405. Delhi: K.M. Shrimali, 1984.</w:t>
      </w:r>
    </w:p>
    <w:p w14:paraId="13050568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Tugcu, Suzan. “Forestillet og praktiseret fællesskab: En analyse af fællesskab blandt shi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>a ismaili-muslimer i Zanzibar.” M.Sc. thesis, Department of Anthropology, University of Copenhagen, 2000. 140 pp. [In Danish]</w:t>
      </w:r>
    </w:p>
    <w:p w14:paraId="42AD1563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Tüske, László. </w:t>
      </w:r>
      <w:r>
        <w:rPr>
          <w:rFonts w:ascii="Gentium" w:hAnsi="Gentium"/>
          <w:color w:val="000000"/>
        </w:rPr>
        <w:t>“</w:t>
      </w:r>
      <w:r w:rsidRPr="00660D1C">
        <w:rPr>
          <w:rFonts w:ascii="Gentium" w:hAnsi="Gentium"/>
          <w:color w:val="000000"/>
        </w:rPr>
        <w:t xml:space="preserve">Abū Ḥātim al-Rāzī on the Poets and Poetry: Preliminary Remarks.” In </w:t>
      </w:r>
      <w:r w:rsidRPr="00D31CD6">
        <w:rPr>
          <w:rFonts w:ascii="Gentium" w:hAnsi="Gentium"/>
          <w:i/>
          <w:color w:val="000000"/>
        </w:rPr>
        <w:t>MCCAM</w:t>
      </w:r>
      <w:r w:rsidRPr="00660D1C">
        <w:rPr>
          <w:rFonts w:ascii="Gentium" w:hAnsi="Gentium"/>
          <w:color w:val="000000"/>
        </w:rPr>
        <w:t>, 291-300.</w:t>
      </w:r>
    </w:p>
    <w:p w14:paraId="051A500F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Uhara, Takashi. “The Office of Vizier in the First Half of the Fāṭimids in Egypt.” </w:t>
      </w:r>
      <w:r w:rsidRPr="00660D1C">
        <w:rPr>
          <w:rFonts w:ascii="Gentium" w:hAnsi="Gentium"/>
          <w:i/>
          <w:color w:val="000000"/>
        </w:rPr>
        <w:t>Shirin (Journal of History)</w:t>
      </w:r>
      <w:r w:rsidRPr="00660D1C">
        <w:rPr>
          <w:rFonts w:ascii="Gentium" w:hAnsi="Gentium"/>
          <w:color w:val="000000"/>
        </w:rPr>
        <w:t xml:space="preserve"> 61:6 (1978): 65-95. [In Japanese]</w:t>
      </w:r>
    </w:p>
    <w:p w14:paraId="5D7E01CD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“The Vizirate during the Latter Half of the Fāṭimid Dynasty in Egypt.” </w:t>
      </w:r>
      <w:r w:rsidRPr="00660D1C">
        <w:rPr>
          <w:rFonts w:ascii="Gentium" w:hAnsi="Gentium"/>
          <w:i/>
          <w:color w:val="000000"/>
        </w:rPr>
        <w:t>Journal of Oriental Researches</w:t>
      </w:r>
      <w:r w:rsidRPr="00660D1C">
        <w:rPr>
          <w:rFonts w:ascii="Gentium" w:hAnsi="Gentium"/>
          <w:color w:val="000000"/>
        </w:rPr>
        <w:t xml:space="preserve"> 41:2 (1982): 125-166. [In Japanese]</w:t>
      </w:r>
    </w:p>
    <w:p w14:paraId="4617F1B6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“The Fāṭimid Caliph al-Mu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izz as Reflected in </w:t>
      </w:r>
      <w:r w:rsidRPr="00660D1C">
        <w:rPr>
          <w:rFonts w:ascii="Gentium" w:hAnsi="Gentium"/>
          <w:i/>
          <w:color w:val="000000"/>
        </w:rPr>
        <w:t>al-Majālis wa al-Musāyarāt</w:t>
      </w:r>
      <w:r w:rsidRPr="00660D1C">
        <w:rPr>
          <w:rFonts w:ascii="Gentium" w:hAnsi="Gentium"/>
          <w:color w:val="000000"/>
        </w:rPr>
        <w:t xml:space="preserve">.” </w:t>
      </w:r>
      <w:r w:rsidRPr="00660D1C">
        <w:rPr>
          <w:rFonts w:ascii="Gentium" w:hAnsi="Gentium"/>
          <w:i/>
          <w:color w:val="000000"/>
        </w:rPr>
        <w:t>Bulletin of the Society for Western and Southern Asiatic Studies</w:t>
      </w:r>
      <w:r w:rsidRPr="00660D1C">
        <w:rPr>
          <w:rFonts w:ascii="Gentium" w:hAnsi="Gentium"/>
          <w:color w:val="000000"/>
        </w:rPr>
        <w:t xml:space="preserve"> 26 (1987): 31-44. [In Japanese]</w:t>
      </w:r>
    </w:p>
    <w:p w14:paraId="1FA09D99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“The Inside Affairs of the Early Fāṭimid Court According to the </w:t>
      </w:r>
      <w:r w:rsidRPr="00660D1C">
        <w:rPr>
          <w:rFonts w:ascii="Gentium" w:hAnsi="Gentium"/>
          <w:i/>
          <w:color w:val="000000"/>
        </w:rPr>
        <w:t>Sīra al-Ustādh Jawdhar</w:t>
      </w:r>
      <w:r w:rsidRPr="00660D1C">
        <w:rPr>
          <w:rFonts w:ascii="Gentium" w:hAnsi="Gentium"/>
          <w:color w:val="000000"/>
        </w:rPr>
        <w:t xml:space="preserve">.” </w:t>
      </w:r>
      <w:r w:rsidRPr="00660D1C">
        <w:rPr>
          <w:rFonts w:ascii="Gentium" w:hAnsi="Gentium"/>
          <w:i/>
          <w:color w:val="000000"/>
        </w:rPr>
        <w:t>Bulletin of the Society for Near Eastern Studies in Japan</w:t>
      </w:r>
      <w:r w:rsidRPr="00660D1C">
        <w:rPr>
          <w:rFonts w:ascii="Gentium" w:hAnsi="Gentium"/>
          <w:color w:val="000000"/>
        </w:rPr>
        <w:t xml:space="preserve"> 31:2 (1988): 18-33. [In Japanese with English Summary]</w:t>
      </w:r>
    </w:p>
    <w:p w14:paraId="6FCABF2F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“A Background of the Assassination of Abū 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>Aḅd Allāh al-Shī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ī by the First Fāṭimid Caliph al-Mahdī.” </w:t>
      </w:r>
      <w:r w:rsidRPr="00660D1C">
        <w:rPr>
          <w:rFonts w:ascii="Gentium" w:hAnsi="Gentium"/>
          <w:i/>
          <w:color w:val="000000"/>
        </w:rPr>
        <w:t>Bulletin of the Society for Near Eastern Studies in Japan</w:t>
      </w:r>
      <w:r w:rsidRPr="00660D1C">
        <w:rPr>
          <w:rFonts w:ascii="Gentium" w:hAnsi="Gentium"/>
          <w:color w:val="000000"/>
        </w:rPr>
        <w:t xml:space="preserve"> 33:2 (1990): 36-52. [In Japanese with English Summary]</w:t>
      </w:r>
    </w:p>
    <w:p w14:paraId="50156EA7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“The Fāṭimid Diwans.” </w:t>
      </w:r>
      <w:r w:rsidRPr="00660D1C">
        <w:rPr>
          <w:rFonts w:ascii="Gentium" w:hAnsi="Gentium"/>
          <w:i/>
          <w:color w:val="000000"/>
        </w:rPr>
        <w:t>Bulletin of the Society for Western and Southern Asiatic Studies</w:t>
      </w:r>
      <w:r w:rsidRPr="00660D1C">
        <w:rPr>
          <w:rFonts w:ascii="Gentium" w:hAnsi="Gentium"/>
          <w:color w:val="000000"/>
        </w:rPr>
        <w:t xml:space="preserve"> 42 (1995): 1-19. [In Japanese]</w:t>
      </w:r>
    </w:p>
    <w:p w14:paraId="6142CAD1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“The Fāṭimid Diwans II.” </w:t>
      </w:r>
      <w:r w:rsidRPr="00660D1C">
        <w:rPr>
          <w:rFonts w:ascii="Gentium" w:hAnsi="Gentium"/>
          <w:i/>
          <w:color w:val="000000"/>
        </w:rPr>
        <w:t>Bulletin of the Faculty of Letters, Tokai University</w:t>
      </w:r>
      <w:r w:rsidRPr="00660D1C">
        <w:rPr>
          <w:rFonts w:ascii="Gentium" w:hAnsi="Gentium"/>
          <w:color w:val="000000"/>
        </w:rPr>
        <w:t xml:space="preserve"> 64 (1995): 91-110. [In Japanese with English Summary]</w:t>
      </w:r>
    </w:p>
    <w:p w14:paraId="5A6B9F12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“Commercial Activities of the Fāṭimid Imāms and Notables.” </w:t>
      </w:r>
      <w:r w:rsidRPr="00660D1C">
        <w:rPr>
          <w:rFonts w:ascii="Gentium" w:hAnsi="Gentium"/>
          <w:i/>
          <w:color w:val="000000"/>
        </w:rPr>
        <w:t>Bulletin of the Faculty of Letters, Tokai University</w:t>
      </w:r>
      <w:r w:rsidRPr="00660D1C">
        <w:rPr>
          <w:rFonts w:ascii="Gentium" w:hAnsi="Gentium"/>
          <w:color w:val="000000"/>
        </w:rPr>
        <w:t xml:space="preserve"> 69 (1998): 94-104. [In Japanese with English Summary]</w:t>
      </w:r>
    </w:p>
    <w:p w14:paraId="6DC26C00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___. “Some Considerations on the Ca</w:t>
      </w:r>
      <w:r>
        <w:rPr>
          <w:rFonts w:ascii="Gentium" w:hAnsi="Gentium"/>
          <w:color w:val="000000"/>
        </w:rPr>
        <w:t>tegories of Civil Servants and t</w:t>
      </w:r>
      <w:r w:rsidRPr="00660D1C">
        <w:rPr>
          <w:rFonts w:ascii="Gentium" w:hAnsi="Gentium"/>
          <w:color w:val="000000"/>
        </w:rPr>
        <w:t xml:space="preserve">heir Functions in the Fāṭimid Period.” </w:t>
      </w:r>
      <w:r w:rsidRPr="00660D1C">
        <w:rPr>
          <w:rFonts w:ascii="Gentium" w:hAnsi="Gentium"/>
          <w:i/>
          <w:color w:val="000000"/>
        </w:rPr>
        <w:t>Bulletin of the Faculty of Letters, Tokai University</w:t>
      </w:r>
      <w:r w:rsidRPr="00660D1C">
        <w:rPr>
          <w:rFonts w:ascii="Gentium" w:hAnsi="Gentium"/>
          <w:color w:val="000000"/>
        </w:rPr>
        <w:t xml:space="preserve"> 78 (2002): 21-31. [In Japanese with English Summary]</w:t>
      </w:r>
    </w:p>
    <w:p w14:paraId="56B61C82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Usmonov, Murod A. “Ismailizm v Afganistane: Istoriko-etnograficheskoe issledovanie.” [Ismailism in Afghanistan: A His</w:t>
      </w:r>
      <w:r>
        <w:rPr>
          <w:rFonts w:ascii="Gentium" w:hAnsi="Gentium"/>
          <w:color w:val="000000"/>
        </w:rPr>
        <w:t>torical and Ethnographic Study]</w:t>
      </w:r>
      <w:r w:rsidRPr="00660D1C">
        <w:rPr>
          <w:rFonts w:ascii="Gentium" w:hAnsi="Gentium"/>
          <w:color w:val="000000"/>
        </w:rPr>
        <w:t xml:space="preserve"> ‘Science Candidate’ thesis, Academy of Sciences of the Republic of Tajikistan, 1996. [In Russian]</w:t>
      </w:r>
    </w:p>
    <w:p w14:paraId="23707F45" w14:textId="77777777" w:rsidR="00EA60B1" w:rsidRDefault="00EA60B1" w:rsidP="00EA60B1">
      <w:pPr>
        <w:rPr>
          <w:rFonts w:ascii="Gentium" w:hAnsi="Gentium"/>
          <w:color w:val="000000"/>
        </w:rPr>
      </w:pPr>
      <w:r w:rsidRPr="002D5A5E">
        <w:rPr>
          <w:rFonts w:ascii="Gentium" w:hAnsi="Gentium"/>
          <w:color w:val="000000"/>
        </w:rPr>
        <w:t>Velji, Jamel A. “A Theological Examination of a Nizari Ismaili Account of the End of Time.” B.A. thesis, Department of Religion, Hav</w:t>
      </w:r>
      <w:r>
        <w:rPr>
          <w:rFonts w:ascii="Gentium" w:hAnsi="Gentium"/>
          <w:color w:val="000000"/>
        </w:rPr>
        <w:t xml:space="preserve">erford College, 2001. 88 pp. </w:t>
      </w:r>
    </w:p>
    <w:p w14:paraId="2DCF3DF4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Walker, Paul E. “Ismaili Eschatology.” In </w:t>
      </w:r>
      <w:r w:rsidRPr="00660D1C">
        <w:rPr>
          <w:rFonts w:ascii="Gentium" w:hAnsi="Gentium"/>
          <w:i/>
          <w:color w:val="000000"/>
        </w:rPr>
        <w:t>Encyclopedia of Death and Dying</w:t>
      </w:r>
      <w:r w:rsidRPr="00660D1C">
        <w:rPr>
          <w:rFonts w:ascii="Gentium" w:hAnsi="Gentium"/>
          <w:color w:val="000000"/>
        </w:rPr>
        <w:t>. Edited by Glennys</w:t>
      </w:r>
      <w:r>
        <w:rPr>
          <w:rFonts w:ascii="Gentium" w:hAnsi="Gentium"/>
          <w:color w:val="000000"/>
        </w:rPr>
        <w:t xml:space="preserve"> Howarth and Oliver Leaman, 270–</w:t>
      </w:r>
      <w:r w:rsidRPr="00660D1C">
        <w:rPr>
          <w:rFonts w:ascii="Gentium" w:hAnsi="Gentium"/>
          <w:color w:val="000000"/>
        </w:rPr>
        <w:t>271. London: Routledge, 2001.</w:t>
      </w:r>
    </w:p>
    <w:p w14:paraId="028882DA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Walmsley, Alan. “Fatimid, Ayyubid and Mamluk Jordan and the Crusader Interlude.” In </w:t>
      </w:r>
      <w:r w:rsidRPr="00660D1C">
        <w:rPr>
          <w:rFonts w:ascii="Gentium" w:hAnsi="Gentium"/>
          <w:i/>
          <w:color w:val="000000"/>
        </w:rPr>
        <w:t>The Archaeology of Jordan</w:t>
      </w:r>
      <w:r w:rsidRPr="00660D1C">
        <w:rPr>
          <w:rFonts w:ascii="Gentium" w:hAnsi="Gentium"/>
          <w:color w:val="000000"/>
        </w:rPr>
        <w:t>. Levantine Archaeology 1. Edited by Burton MacDonald, Russell Adams, and Piotr Bienkowski, 515-559. Sheffield, England: Sheffield Academic Press, 2001.</w:t>
      </w:r>
    </w:p>
    <w:p w14:paraId="4A108411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Waseem, Mohammad. “A Note on the Isma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ili Khojas.” Conclusion in </w:t>
      </w:r>
      <w:r w:rsidRPr="00660D1C">
        <w:rPr>
          <w:rFonts w:ascii="Gentium" w:hAnsi="Gentium"/>
          <w:i/>
          <w:color w:val="000000"/>
        </w:rPr>
        <w:t>On Becoming an Indian Muslim: French Essays on Aspects of Syncretism</w:t>
      </w:r>
      <w:r w:rsidRPr="00660D1C">
        <w:rPr>
          <w:rFonts w:ascii="Gentium" w:hAnsi="Gentium"/>
          <w:color w:val="000000"/>
        </w:rPr>
        <w:t>. Edited and translated by M. Waseem, 316-330. Oxford: Oxford University Press, 2003.</w:t>
      </w:r>
    </w:p>
    <w:p w14:paraId="76A753B8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Wasti, S. Razi. “The Role of the Aga Khan in the Muslim Freedom Struggle.” In </w:t>
      </w:r>
      <w:r w:rsidRPr="00660D1C">
        <w:rPr>
          <w:rFonts w:ascii="Gentium" w:hAnsi="Gentium"/>
          <w:i/>
          <w:color w:val="000000"/>
        </w:rPr>
        <w:t>Founding Fathers of Pakistan</w:t>
      </w:r>
      <w:r w:rsidRPr="00660D1C">
        <w:rPr>
          <w:rFonts w:ascii="Gentium" w:hAnsi="Gentium"/>
          <w:color w:val="000000"/>
        </w:rPr>
        <w:t>. Edited by Ahmad Hasan Dani, 100-108. Islamabad: Quaid-i-Azam University, 1981.</w:t>
      </w:r>
    </w:p>
    <w:p w14:paraId="0C43BEFF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Whitcomb, Donald S. “A Fatimid Residence at Aqaba, Jordan.” </w:t>
      </w:r>
      <w:r w:rsidRPr="00660D1C">
        <w:rPr>
          <w:rFonts w:ascii="Gentium" w:hAnsi="Gentium"/>
          <w:i/>
          <w:color w:val="000000"/>
        </w:rPr>
        <w:t>Annual of the Department of Antiquities of Jordan</w:t>
      </w:r>
      <w:r w:rsidRPr="00660D1C">
        <w:rPr>
          <w:rFonts w:ascii="Gentium" w:hAnsi="Gentium"/>
          <w:color w:val="000000"/>
        </w:rPr>
        <w:t xml:space="preserve"> 32 (1988): 207-224.</w:t>
      </w:r>
    </w:p>
    <w:p w14:paraId="1E02E793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Wieland, Darryl. “Elder-Care in North American Ismā</w:t>
      </w:r>
      <w:r w:rsidRPr="00660D1C">
        <w:rPr>
          <w:rFonts w:ascii="Calibri" w:hAnsi="Calibri" w:cs="Calibri"/>
          <w:color w:val="000000"/>
        </w:rPr>
        <w:t>ʿ</w:t>
      </w:r>
      <w:r w:rsidRPr="00660D1C">
        <w:rPr>
          <w:rFonts w:ascii="Gentium" w:hAnsi="Gentium"/>
          <w:color w:val="000000"/>
        </w:rPr>
        <w:t xml:space="preserve">īlī Families: A Preliminary Inquiry.” </w:t>
      </w:r>
      <w:r w:rsidRPr="00660D1C">
        <w:rPr>
          <w:rFonts w:ascii="Gentium" w:hAnsi="Gentium"/>
          <w:i/>
          <w:color w:val="000000"/>
        </w:rPr>
        <w:t>Journal of Cross-Cultural Gerontology</w:t>
      </w:r>
      <w:r w:rsidRPr="00660D1C">
        <w:rPr>
          <w:rFonts w:ascii="Gentium" w:hAnsi="Gentium"/>
          <w:color w:val="000000"/>
        </w:rPr>
        <w:t xml:space="preserve"> 6:2 (1991): 165-171.</w:t>
      </w:r>
    </w:p>
    <w:p w14:paraId="707AA8F3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Willey, Peter R.E.</w:t>
      </w:r>
      <w:r>
        <w:t xml:space="preserve"> </w:t>
      </w:r>
      <w:r w:rsidRPr="00660D1C">
        <w:rPr>
          <w:rFonts w:ascii="Gentium" w:hAnsi="Gentium"/>
          <w:color w:val="000000"/>
        </w:rPr>
        <w:t xml:space="preserve">“Castles of the Assassins.” </w:t>
      </w:r>
      <w:r w:rsidRPr="00660D1C">
        <w:rPr>
          <w:rFonts w:ascii="Gentium" w:hAnsi="Gentium"/>
          <w:i/>
          <w:color w:val="000000"/>
        </w:rPr>
        <w:t>Geographical</w:t>
      </w:r>
      <w:r w:rsidRPr="00660D1C">
        <w:rPr>
          <w:rFonts w:ascii="Gentium" w:hAnsi="Gentium"/>
          <w:color w:val="000000"/>
        </w:rPr>
        <w:t xml:space="preserve"> 70:2 (1998): 34-39.</w:t>
      </w:r>
    </w:p>
    <w:p w14:paraId="2CB0551C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Williams, Caroline. “The Fatimi Mausolea of Cairo.” M.A. thesis, Center of Arabic Studies, American University in Cairo, 1970. 108 pp.</w:t>
      </w:r>
    </w:p>
    <w:p w14:paraId="03BDDD21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Williams, John Alden. “Nizārīs.” In </w:t>
      </w:r>
      <w:r w:rsidRPr="00660D1C">
        <w:rPr>
          <w:rFonts w:ascii="Gentium" w:hAnsi="Gentium"/>
          <w:i/>
          <w:color w:val="000000"/>
        </w:rPr>
        <w:t>New Catholic Encyclopedia</w:t>
      </w:r>
      <w:r w:rsidRPr="00660D1C">
        <w:rPr>
          <w:rFonts w:ascii="Gentium" w:hAnsi="Gentium"/>
          <w:color w:val="000000"/>
        </w:rPr>
        <w:t xml:space="preserve">. 19 vols. 10:476. New York: McGraw-Hill, 1967-1996. </w:t>
      </w:r>
      <w:r w:rsidRPr="00123043">
        <w:rPr>
          <w:rFonts w:ascii="Gentium" w:hAnsi="Gentium"/>
        </w:rPr>
        <w:t>2</w:t>
      </w:r>
      <w:r w:rsidRPr="00123043">
        <w:rPr>
          <w:rFonts w:ascii="Gentium" w:hAnsi="Gentium"/>
          <w:vertAlign w:val="superscript"/>
        </w:rPr>
        <w:t>nd</w:t>
      </w:r>
      <w:r w:rsidRPr="00123043">
        <w:rPr>
          <w:rFonts w:ascii="Gentium" w:hAnsi="Gentium"/>
        </w:rPr>
        <w:t xml:space="preserve"> ed.</w:t>
      </w:r>
      <w:r w:rsidRPr="00660D1C">
        <w:rPr>
          <w:rFonts w:ascii="Gentium" w:hAnsi="Gentium"/>
          <w:color w:val="000000"/>
        </w:rPr>
        <w:t xml:space="preserve"> 15 vols. Edited by Berard L. Marthaler et al., 10:402. Detroit: Thomson/Gale, 2003.</w:t>
      </w:r>
    </w:p>
    <w:p w14:paraId="25D8F92E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Williams, Raymond Brady. “Nizari Ismaili Muslims: A Religious Minority.” Chap. 6 in </w:t>
      </w:r>
      <w:r w:rsidRPr="00660D1C">
        <w:rPr>
          <w:rFonts w:ascii="Gentium" w:hAnsi="Gentium"/>
          <w:i/>
          <w:color w:val="000000"/>
        </w:rPr>
        <w:t>Religions of Immigrants from India and Pakistan: New Threads in the American Tapestry</w:t>
      </w:r>
      <w:r w:rsidRPr="00660D1C">
        <w:rPr>
          <w:rFonts w:ascii="Gentium" w:hAnsi="Gentium"/>
          <w:color w:val="000000"/>
        </w:rPr>
        <w:t>, 186-221, 300-301. Cambridge: Cambridge University Press, 1988.</w:t>
      </w:r>
    </w:p>
    <w:p w14:paraId="0FDC2A69" w14:textId="77777777" w:rsidR="00EA60B1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Wilson, Peter Lamborn. “Secrets of the Assassins.” Chap. 2 in </w:t>
      </w:r>
      <w:r w:rsidRPr="00660D1C">
        <w:rPr>
          <w:rFonts w:ascii="Gentium" w:hAnsi="Gentium"/>
          <w:i/>
          <w:color w:val="000000"/>
        </w:rPr>
        <w:t>Scandal: Studies in Islamic Heresy</w:t>
      </w:r>
      <w:r w:rsidRPr="00660D1C">
        <w:rPr>
          <w:rFonts w:ascii="Gentium" w:hAnsi="Gentium"/>
          <w:color w:val="000000"/>
        </w:rPr>
        <w:t>, 33-65. Brooklyn, NY.: Autonomedia, 1987.</w:t>
      </w:r>
    </w:p>
    <w:p w14:paraId="0C53C9AD" w14:textId="77777777" w:rsidR="00EA60B1" w:rsidRDefault="00EA60B1" w:rsidP="00EA60B1">
      <w:pPr>
        <w:rPr>
          <w:rFonts w:ascii="Gentium" w:hAnsi="Gentium"/>
          <w:color w:val="000000"/>
        </w:rPr>
      </w:pPr>
      <w:r w:rsidRPr="00C928EC">
        <w:rPr>
          <w:rFonts w:ascii="Gentium" w:hAnsi="Gentium"/>
          <w:color w:val="000000"/>
        </w:rPr>
        <w:t xml:space="preserve">Wood, Juliette. “The Old Man of the Mountain in Medieval </w:t>
      </w:r>
      <w:r w:rsidRPr="00AD6291">
        <w:rPr>
          <w:rFonts w:ascii="Gentium" w:hAnsi="Gentium"/>
        </w:rPr>
        <w:t>Folklore.”</w:t>
      </w:r>
      <w:r w:rsidRPr="00C928EC">
        <w:rPr>
          <w:rFonts w:ascii="Gentium" w:hAnsi="Gentium"/>
          <w:color w:val="000000"/>
        </w:rPr>
        <w:t xml:space="preserve"> </w:t>
      </w:r>
      <w:r w:rsidRPr="00C928EC">
        <w:rPr>
          <w:rFonts w:ascii="Gentium" w:hAnsi="Gentium"/>
          <w:i/>
          <w:color w:val="000000"/>
        </w:rPr>
        <w:t>Folklore</w:t>
      </w:r>
      <w:r w:rsidRPr="00C928EC">
        <w:rPr>
          <w:rFonts w:ascii="Gentium" w:hAnsi="Gentium"/>
          <w:color w:val="000000"/>
        </w:rPr>
        <w:t xml:space="preserve"> 99:1 (1988): 78-87. Rejoinder in Knappert, Jan. “Notes and Comments: The Old Man of the Mountain.” </w:t>
      </w:r>
      <w:r w:rsidRPr="00C928EC">
        <w:rPr>
          <w:rFonts w:ascii="Gentium" w:hAnsi="Gentium"/>
          <w:i/>
          <w:color w:val="000000"/>
        </w:rPr>
        <w:t>Folklore</w:t>
      </w:r>
      <w:r w:rsidRPr="00C928EC">
        <w:rPr>
          <w:rFonts w:ascii="Gentium" w:hAnsi="Gentium"/>
          <w:color w:val="000000"/>
        </w:rPr>
        <w:t xml:space="preserve"> 99:2 (1988): 250.</w:t>
      </w:r>
    </w:p>
    <w:p w14:paraId="056CA8ED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Wu, Ya-Feng. “‘The Assassins’: Shelley’s Appropriation of History.” </w:t>
      </w:r>
      <w:r w:rsidRPr="00660D1C">
        <w:rPr>
          <w:rFonts w:ascii="Gentium" w:hAnsi="Gentium"/>
          <w:i/>
          <w:color w:val="000000"/>
        </w:rPr>
        <w:t xml:space="preserve">Keats-Shelley Review </w:t>
      </w:r>
      <w:r w:rsidRPr="00660D1C">
        <w:rPr>
          <w:rFonts w:ascii="Gentium" w:hAnsi="Gentium"/>
          <w:color w:val="000000"/>
        </w:rPr>
        <w:t>9 (1995): 51-62.</w:t>
      </w:r>
    </w:p>
    <w:p w14:paraId="34992C9E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Yarshater, Ehsan. “Nāṣir-i Khusrau.” In </w:t>
      </w:r>
      <w:r w:rsidRPr="00660D1C">
        <w:rPr>
          <w:rFonts w:ascii="Gentium" w:hAnsi="Gentium"/>
          <w:i/>
          <w:color w:val="000000"/>
        </w:rPr>
        <w:t>Cassell’s Encyclopaedia of World Literature</w:t>
      </w:r>
      <w:r w:rsidRPr="00660D1C">
        <w:rPr>
          <w:rFonts w:ascii="Gentium" w:hAnsi="Gentium"/>
          <w:color w:val="000000"/>
        </w:rPr>
        <w:t>. 2</w:t>
      </w:r>
      <w:r w:rsidRPr="00660D1C">
        <w:rPr>
          <w:rFonts w:ascii="Gentium" w:hAnsi="Gentium"/>
          <w:color w:val="000000"/>
          <w:vertAlign w:val="superscript"/>
        </w:rPr>
        <w:t>nd</w:t>
      </w:r>
      <w:r w:rsidRPr="00660D1C">
        <w:rPr>
          <w:rFonts w:ascii="Gentium" w:hAnsi="Gentium"/>
          <w:color w:val="000000"/>
        </w:rPr>
        <w:t xml:space="preserve"> rev. ed. 3 vols. Edited by John Buchanan-Brown, 3:220. London: Cassell, 1973.</w:t>
      </w:r>
    </w:p>
    <w:p w14:paraId="73517CCA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Yemelianova, Nadezhda. “Ismailism at the Pamirs.” </w:t>
      </w:r>
      <w:r w:rsidRPr="00660D1C">
        <w:rPr>
          <w:rFonts w:ascii="Gentium" w:hAnsi="Gentium"/>
          <w:i/>
          <w:color w:val="000000"/>
        </w:rPr>
        <w:t>Russia and The Moslem World</w:t>
      </w:r>
      <w:r w:rsidRPr="00660D1C">
        <w:rPr>
          <w:rFonts w:ascii="Gentium" w:hAnsi="Gentium"/>
          <w:color w:val="000000"/>
        </w:rPr>
        <w:t xml:space="preserve"> 63 (1997): 28-32.</w:t>
      </w:r>
    </w:p>
    <w:p w14:paraId="182D57F5" w14:textId="77777777" w:rsidR="00EA60B1" w:rsidRPr="007E6592" w:rsidRDefault="00EA60B1" w:rsidP="00EA60B1">
      <w:pPr>
        <w:rPr>
          <w:rFonts w:ascii="Gentium" w:hAnsi="Gentium"/>
          <w:color w:val="000000"/>
        </w:rPr>
      </w:pPr>
      <w:r w:rsidRPr="007E6592">
        <w:rPr>
          <w:rFonts w:ascii="Gentium" w:hAnsi="Gentium"/>
          <w:color w:val="000000"/>
        </w:rPr>
        <w:t>Yousry, Ahmed</w:t>
      </w:r>
      <w:r>
        <w:rPr>
          <w:rFonts w:ascii="Gentium" w:hAnsi="Gentium"/>
          <w:color w:val="000000"/>
        </w:rPr>
        <w:t>,</w:t>
      </w:r>
      <w:r w:rsidRPr="007E6592">
        <w:rPr>
          <w:rFonts w:ascii="Gentium" w:hAnsi="Gentium"/>
          <w:color w:val="000000"/>
        </w:rPr>
        <w:t xml:space="preserve"> and Hala Mekawy. “Transformations in Traditional Marketplaces in Fatimid Cairo.” </w:t>
      </w:r>
      <w:r w:rsidRPr="007E6592">
        <w:rPr>
          <w:rFonts w:ascii="Gentium" w:hAnsi="Gentium"/>
          <w:i/>
          <w:color w:val="000000"/>
        </w:rPr>
        <w:t>Traditional Dwellings and Settlements Working Paper Series</w:t>
      </w:r>
      <w:r w:rsidRPr="007E6592">
        <w:rPr>
          <w:rFonts w:ascii="Gentium" w:hAnsi="Gentium"/>
          <w:color w:val="000000"/>
        </w:rPr>
        <w:t xml:space="preserve"> 116 (1998): 35-52.</w:t>
      </w:r>
    </w:p>
    <w:p w14:paraId="1E940E2C" w14:textId="77777777" w:rsidR="00EA60B1" w:rsidRDefault="00EA60B1" w:rsidP="00EA60B1">
      <w:pPr>
        <w:rPr>
          <w:rFonts w:ascii="Gentium" w:hAnsi="Gentium"/>
          <w:color w:val="000000"/>
        </w:rPr>
      </w:pPr>
      <w:r w:rsidRPr="007E6592">
        <w:rPr>
          <w:rFonts w:ascii="Gentium" w:hAnsi="Gentium"/>
          <w:color w:val="000000"/>
        </w:rPr>
        <w:t xml:space="preserve">Zagorodnikova, </w:t>
      </w:r>
      <w:r w:rsidRPr="007E6592">
        <w:rPr>
          <w:rFonts w:ascii="Gentium" w:hAnsi="Gentium"/>
        </w:rPr>
        <w:t>Tat’iana</w:t>
      </w:r>
      <w:r w:rsidRPr="007E6592">
        <w:rPr>
          <w:rFonts w:ascii="Gentium" w:hAnsi="Gentium"/>
          <w:color w:val="000000"/>
        </w:rPr>
        <w:t xml:space="preserve"> N. “Aga-Khan i Rossiiskaia Imperiia.” [Aga Khan and the Russian Empire] </w:t>
      </w:r>
      <w:r w:rsidRPr="007E6592">
        <w:rPr>
          <w:rFonts w:ascii="Gentium" w:hAnsi="Gentium"/>
          <w:i/>
          <w:color w:val="000000"/>
        </w:rPr>
        <w:t>Vostok</w:t>
      </w:r>
      <w:r w:rsidRPr="007E6592">
        <w:rPr>
          <w:rFonts w:ascii="Gentium" w:hAnsi="Gentium"/>
          <w:color w:val="000000"/>
        </w:rPr>
        <w:t xml:space="preserve"> 1 (2002): 34-42. [In Russian]</w:t>
      </w:r>
    </w:p>
    <w:p w14:paraId="30F0825B" w14:textId="77777777" w:rsidR="00EA60B1" w:rsidRPr="007E6592" w:rsidRDefault="00EA60B1" w:rsidP="00EA60B1">
      <w:pPr>
        <w:rPr>
          <w:rFonts w:ascii="Gentium" w:hAnsi="Gentium"/>
          <w:color w:val="000000"/>
        </w:rPr>
      </w:pPr>
      <w:r w:rsidRPr="007E6592">
        <w:rPr>
          <w:rFonts w:ascii="Gentium" w:hAnsi="Gentium"/>
          <w:color w:val="000000"/>
        </w:rPr>
        <w:t xml:space="preserve">Zbiss, Slimane-Mostafa. “Documents d’architecture fatîmite d’Occident.” </w:t>
      </w:r>
      <w:r w:rsidRPr="007E6592">
        <w:rPr>
          <w:rFonts w:ascii="Gentium" w:hAnsi="Gentium"/>
          <w:i/>
          <w:color w:val="000000"/>
        </w:rPr>
        <w:t xml:space="preserve">Ars Orientalis </w:t>
      </w:r>
      <w:r w:rsidRPr="007E6592">
        <w:rPr>
          <w:rFonts w:ascii="Gentium" w:hAnsi="Gentium"/>
          <w:color w:val="000000"/>
        </w:rPr>
        <w:t>3 (1959): 27-31.</w:t>
      </w:r>
    </w:p>
    <w:p w14:paraId="15C5A4C5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Zghal, Hatem. “Rapport entre savoir scientifique et savoir gnostique chez les Ihwan as-safa</w:t>
      </w:r>
      <w:r w:rsidRPr="00660D1C">
        <w:rPr>
          <w:rFonts w:ascii="Calibri" w:hAnsi="Calibri" w:cs="Calibri"/>
          <w:color w:val="000000"/>
        </w:rPr>
        <w:t>ʾ</w:t>
      </w:r>
      <w:r w:rsidRPr="00660D1C">
        <w:rPr>
          <w:rFonts w:ascii="Gentium" w:hAnsi="Gentium"/>
          <w:color w:val="000000"/>
        </w:rPr>
        <w:t>.” Thèse de philosophie, Université de Paris X – Nanterre, 1990. xiv + 227 pp. [U]</w:t>
      </w:r>
    </w:p>
    <w:p w14:paraId="5A4EC686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___. “La physique dans les </w:t>
      </w:r>
      <w:r w:rsidRPr="00660D1C">
        <w:rPr>
          <w:rFonts w:ascii="Gentium" w:hAnsi="Gentium"/>
          <w:i/>
          <w:color w:val="000000"/>
        </w:rPr>
        <w:t>Rasâ</w:t>
      </w:r>
      <w:r w:rsidRPr="00660D1C">
        <w:rPr>
          <w:rFonts w:ascii="Calibri" w:hAnsi="Calibri" w:cs="Calibri"/>
          <w:i/>
          <w:color w:val="000000"/>
        </w:rPr>
        <w:t>ʾ</w:t>
      </w:r>
      <w:r w:rsidRPr="00660D1C">
        <w:rPr>
          <w:rFonts w:ascii="Gentium" w:hAnsi="Gentium"/>
          <w:i/>
          <w:color w:val="000000"/>
        </w:rPr>
        <w:t>il Ihwân Al-Safâ</w:t>
      </w:r>
      <w:r w:rsidRPr="00660D1C">
        <w:rPr>
          <w:rFonts w:ascii="Calibri" w:hAnsi="Calibri" w:cs="Calibri"/>
          <w:i/>
          <w:color w:val="000000"/>
        </w:rPr>
        <w:t>ʾ</w:t>
      </w:r>
      <w:r w:rsidRPr="00660D1C">
        <w:rPr>
          <w:rFonts w:ascii="Gentium" w:hAnsi="Gentium"/>
          <w:color w:val="000000"/>
        </w:rPr>
        <w:t xml:space="preserve">.” </w:t>
      </w:r>
      <w:r w:rsidRPr="00660D1C">
        <w:rPr>
          <w:rFonts w:ascii="Gentium" w:hAnsi="Gentium"/>
          <w:i/>
          <w:color w:val="000000"/>
        </w:rPr>
        <w:t>Les Cahiers de Tunisie</w:t>
      </w:r>
      <w:r w:rsidRPr="00660D1C">
        <w:rPr>
          <w:rFonts w:ascii="Gentium" w:hAnsi="Gentium"/>
          <w:color w:val="000000"/>
        </w:rPr>
        <w:t xml:space="preserve"> 53:185 (2003): 97-118.</w:t>
      </w:r>
    </w:p>
    <w:p w14:paraId="1B22DBEC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Zick, Johanna. “Einige fatimidische Schalenmalerien: Fragen zu ihrer Ikonographie.” </w:t>
      </w:r>
      <w:r w:rsidRPr="00660D1C">
        <w:rPr>
          <w:rFonts w:ascii="Gentium" w:hAnsi="Gentium"/>
          <w:i/>
          <w:color w:val="000000"/>
        </w:rPr>
        <w:t>XX. Deutscher Orientalistentag in Erlangen</w:t>
      </w:r>
      <w:r w:rsidRPr="00660D1C">
        <w:rPr>
          <w:rFonts w:ascii="Gentium" w:hAnsi="Gentium"/>
          <w:color w:val="000000"/>
        </w:rPr>
        <w:t xml:space="preserve"> 3:8 (1977). </w:t>
      </w:r>
      <w:r w:rsidRPr="00660D1C">
        <w:rPr>
          <w:rFonts w:ascii="Gentium" w:hAnsi="Gentium"/>
          <w:i/>
          <w:color w:val="000000"/>
        </w:rPr>
        <w:t>Zeitschrift der Deutschen Morgenländischen Gesellschaft</w:t>
      </w:r>
      <w:r w:rsidRPr="00660D1C">
        <w:rPr>
          <w:rFonts w:ascii="Gentium" w:hAnsi="Gentium"/>
          <w:color w:val="000000"/>
        </w:rPr>
        <w:t xml:space="preserve"> Supplement 4 (1980): 541-543.</w:t>
      </w:r>
    </w:p>
    <w:p w14:paraId="235BAD06" w14:textId="77777777" w:rsidR="00EA60B1" w:rsidRPr="00660D1C" w:rsidRDefault="00EA60B1" w:rsidP="00EA60B1">
      <w:pPr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>Ziglar, Katie M. “Fatimid Lustre: Origins, Evolution and Influence.” M.A. thesis, American University in Cairo, 1986. 244 pp. [U]</w:t>
      </w:r>
    </w:p>
    <w:p w14:paraId="0F09932D" w14:textId="77777777" w:rsidR="00EA60B1" w:rsidRDefault="00EA60B1" w:rsidP="00EA60B1">
      <w:pPr>
        <w:tabs>
          <w:tab w:val="left" w:pos="2248"/>
        </w:tabs>
        <w:rPr>
          <w:rFonts w:ascii="Gentium" w:hAnsi="Gentium"/>
          <w:color w:val="000000"/>
        </w:rPr>
      </w:pPr>
      <w:r w:rsidRPr="00660D1C">
        <w:rPr>
          <w:rFonts w:ascii="Gentium" w:hAnsi="Gentium"/>
          <w:color w:val="000000"/>
        </w:rPr>
        <w:t xml:space="preserve">Zimmermann, Fritz. “The </w:t>
      </w:r>
      <w:r w:rsidRPr="00800419">
        <w:rPr>
          <w:rFonts w:ascii="Gentium" w:hAnsi="Gentium"/>
          <w:i/>
          <w:color w:val="000000"/>
        </w:rPr>
        <w:t>Dustūr al-Munajjimīn</w:t>
      </w:r>
      <w:r w:rsidRPr="00660D1C">
        <w:rPr>
          <w:rFonts w:ascii="Gentium" w:hAnsi="Gentium"/>
          <w:color w:val="000000"/>
        </w:rPr>
        <w:t xml:space="preserve"> of ms. Paris ar. no. 5968.” In </w:t>
      </w:r>
      <w:r w:rsidRPr="00660D1C">
        <w:rPr>
          <w:rFonts w:ascii="Gentium" w:hAnsi="Gentium"/>
          <w:i/>
          <w:color w:val="000000"/>
        </w:rPr>
        <w:t>Proceedings of the First International Symposium for the History of Arabic Science, April 5-12, 1976</w:t>
      </w:r>
      <w:r w:rsidRPr="00660D1C">
        <w:rPr>
          <w:rFonts w:ascii="Gentium" w:hAnsi="Gentium"/>
          <w:color w:val="000000"/>
        </w:rPr>
        <w:t>. 2 vols. Edited by Ahmad Y. al-Hassan, Ghada Karmi, and Nizar Namnum, 2:184-192. Aleppo: Institute for the History of Arabic Science, 1978.</w:t>
      </w:r>
    </w:p>
    <w:p w14:paraId="7D5FF092" w14:textId="77777777" w:rsidR="00EA60B1" w:rsidRDefault="00EA60B1" w:rsidP="00EA60B1"/>
    <w:p w14:paraId="4F33361E" w14:textId="1FF98697" w:rsidR="005F288D" w:rsidRPr="00EA60B1" w:rsidRDefault="00EA60B1" w:rsidP="00EA60B1">
      <w:bookmarkStart w:id="0" w:name="_GoBack"/>
      <w:bookmarkEnd w:id="0"/>
    </w:p>
    <w:sectPr w:rsidR="005F288D" w:rsidRPr="00EA60B1" w:rsidSect="007E2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ntium">
    <w:altName w:val="Luminari"/>
    <w:charset w:val="00"/>
    <w:family w:val="auto"/>
    <w:pitch w:val="variable"/>
    <w:sig w:usb0="E00000FF" w:usb1="00000003" w:usb2="00000000" w:usb3="00000000" w:csb0="0000001B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25D01"/>
    <w:multiLevelType w:val="multilevel"/>
    <w:tmpl w:val="8D6E2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08"/>
    <w:rsid w:val="00012083"/>
    <w:rsid w:val="000D3808"/>
    <w:rsid w:val="0016470E"/>
    <w:rsid w:val="002A0AC1"/>
    <w:rsid w:val="002B3F1D"/>
    <w:rsid w:val="00321D21"/>
    <w:rsid w:val="004024B3"/>
    <w:rsid w:val="00481629"/>
    <w:rsid w:val="00536AB4"/>
    <w:rsid w:val="005406B7"/>
    <w:rsid w:val="00545163"/>
    <w:rsid w:val="0057130E"/>
    <w:rsid w:val="00611D5C"/>
    <w:rsid w:val="0077447F"/>
    <w:rsid w:val="00776CCF"/>
    <w:rsid w:val="007A1626"/>
    <w:rsid w:val="007E2F49"/>
    <w:rsid w:val="008F5F5B"/>
    <w:rsid w:val="009261B4"/>
    <w:rsid w:val="00957648"/>
    <w:rsid w:val="0096360F"/>
    <w:rsid w:val="00970808"/>
    <w:rsid w:val="009C4ED0"/>
    <w:rsid w:val="00B1787D"/>
    <w:rsid w:val="00B817AC"/>
    <w:rsid w:val="00C37C0A"/>
    <w:rsid w:val="00C41699"/>
    <w:rsid w:val="00C47089"/>
    <w:rsid w:val="00CA3FC5"/>
    <w:rsid w:val="00CA7F02"/>
    <w:rsid w:val="00D66F74"/>
    <w:rsid w:val="00E62071"/>
    <w:rsid w:val="00E67B21"/>
    <w:rsid w:val="00EA60B1"/>
    <w:rsid w:val="00EB2183"/>
    <w:rsid w:val="00F82911"/>
    <w:rsid w:val="00FD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8BF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7089"/>
    <w:pPr>
      <w:spacing w:after="100"/>
    </w:pPr>
    <w:rPr>
      <w:rFonts w:ascii="Garamond" w:eastAsia="Calibri" w:hAnsi="Garamond" w:cs="Times New Roman"/>
      <w:szCs w:val="22"/>
      <w:lang w:val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0B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EA60B1"/>
    <w:pPr>
      <w:spacing w:before="100" w:beforeAutospacing="1" w:afterAutospacing="1"/>
      <w:outlineLvl w:val="3"/>
    </w:pPr>
    <w:rPr>
      <w:rFonts w:ascii="Times New Roman" w:eastAsia="Times New Roman" w:hAnsi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A60B1"/>
    <w:rPr>
      <w:rFonts w:ascii="Cambria" w:eastAsia="Times New Roman" w:hAnsi="Cambria" w:cs="Times New Roman"/>
      <w:b/>
      <w:bCs/>
      <w:i/>
      <w:iCs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EA60B1"/>
    <w:rPr>
      <w:rFonts w:ascii="Times New Roman" w:eastAsia="Times New Roman" w:hAnsi="Times New Roman" w:cs="Times New Roman"/>
      <w:b/>
      <w:bCs/>
      <w:lang w:val="en-CA" w:eastAsia="en-CA"/>
    </w:rPr>
  </w:style>
  <w:style w:type="character" w:styleId="EndnoteReference">
    <w:name w:val="endnote reference"/>
    <w:basedOn w:val="DefaultParagraphFont"/>
    <w:uiPriority w:val="99"/>
    <w:semiHidden/>
    <w:unhideWhenUsed/>
    <w:rsid w:val="00EA60B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A60B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A60B1"/>
    <w:rPr>
      <w:rFonts w:ascii="Garamond" w:eastAsia="Calibri" w:hAnsi="Garamond" w:cs="Times New Roman"/>
      <w:sz w:val="20"/>
      <w:szCs w:val="20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60B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60B1"/>
    <w:rPr>
      <w:rFonts w:ascii="Garamond" w:eastAsia="Calibri" w:hAnsi="Garamond" w:cs="Times New Roman"/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EA60B1"/>
    <w:rPr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EA60B1"/>
    <w:pPr>
      <w:tabs>
        <w:tab w:val="center" w:pos="4680"/>
        <w:tab w:val="right" w:pos="9360"/>
      </w:tabs>
      <w:spacing w:after="0"/>
    </w:pPr>
    <w:rPr>
      <w:rFonts w:ascii="Times New Roman" w:eastAsia="Times New Roman" w:hAnsi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A60B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A60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60B1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60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0B1"/>
    <w:rPr>
      <w:rFonts w:ascii="Garamond" w:eastAsia="Calibri" w:hAnsi="Garamond" w:cs="Times New Roman"/>
      <w:szCs w:val="22"/>
      <w:lang w:val="en-CA"/>
    </w:rPr>
  </w:style>
  <w:style w:type="table" w:styleId="TableGrid">
    <w:name w:val="Table Grid"/>
    <w:basedOn w:val="TableNormal"/>
    <w:uiPriority w:val="59"/>
    <w:rsid w:val="00EA60B1"/>
    <w:rPr>
      <w:rFonts w:ascii="Garamond" w:eastAsia="Calibri" w:hAnsi="Garamond" w:cs="Times New Roman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EA60B1"/>
    <w:rPr>
      <w:i/>
      <w:iCs/>
    </w:rPr>
  </w:style>
  <w:style w:type="paragraph" w:styleId="NoSpacing">
    <w:name w:val="No Spacing"/>
    <w:uiPriority w:val="1"/>
    <w:qFormat/>
    <w:rsid w:val="00EA60B1"/>
    <w:rPr>
      <w:rFonts w:ascii="Garamond" w:eastAsia="Calibri" w:hAnsi="Garamond" w:cs="Times New Roman"/>
      <w:szCs w:val="22"/>
      <w:lang w:val="en-CA"/>
    </w:rPr>
  </w:style>
  <w:style w:type="character" w:customStyle="1" w:styleId="medium-font">
    <w:name w:val="medium-font"/>
    <w:basedOn w:val="DefaultParagraphFont"/>
    <w:rsid w:val="00EA60B1"/>
  </w:style>
  <w:style w:type="character" w:customStyle="1" w:styleId="bold">
    <w:name w:val="bold"/>
    <w:basedOn w:val="DefaultParagraphFont"/>
    <w:rsid w:val="00EA60B1"/>
  </w:style>
  <w:style w:type="paragraph" w:customStyle="1" w:styleId="en">
    <w:name w:val="en"/>
    <w:basedOn w:val="Normal"/>
    <w:rsid w:val="00EA60B1"/>
    <w:pPr>
      <w:spacing w:before="100" w:beforeAutospacing="1" w:afterAutospacing="1"/>
    </w:pPr>
    <w:rPr>
      <w:rFonts w:ascii="Times New Roman" w:eastAsia="Times New Roman" w:hAnsi="Times New Roman"/>
      <w:szCs w:val="24"/>
      <w:lang w:val="en-US"/>
    </w:rPr>
  </w:style>
  <w:style w:type="paragraph" w:customStyle="1" w:styleId="plabel">
    <w:name w:val="plabel"/>
    <w:basedOn w:val="Normal"/>
    <w:rsid w:val="00EA60B1"/>
    <w:pPr>
      <w:spacing w:before="100" w:beforeAutospacing="1" w:afterAutospacing="1"/>
    </w:pPr>
    <w:rPr>
      <w:rFonts w:ascii="Times New Roman" w:eastAsia="Times New Roman" w:hAnsi="Times New Roman"/>
      <w:szCs w:val="24"/>
      <w:lang w:val="en-US"/>
    </w:rPr>
  </w:style>
  <w:style w:type="character" w:customStyle="1" w:styleId="report">
    <w:name w:val="report"/>
    <w:basedOn w:val="DefaultParagraphFont"/>
    <w:rsid w:val="00EA60B1"/>
  </w:style>
  <w:style w:type="character" w:customStyle="1" w:styleId="italic">
    <w:name w:val="italic"/>
    <w:basedOn w:val="DefaultParagraphFont"/>
    <w:rsid w:val="00EA60B1"/>
  </w:style>
  <w:style w:type="character" w:customStyle="1" w:styleId="style11">
    <w:name w:val="style11"/>
    <w:basedOn w:val="DefaultParagraphFont"/>
    <w:rsid w:val="00EA60B1"/>
    <w:rPr>
      <w:sz w:val="27"/>
      <w:szCs w:val="27"/>
    </w:rPr>
  </w:style>
  <w:style w:type="paragraph" w:styleId="PlainText">
    <w:name w:val="Plain Text"/>
    <w:basedOn w:val="Normal"/>
    <w:link w:val="PlainTextChar"/>
    <w:rsid w:val="00EA60B1"/>
    <w:pPr>
      <w:spacing w:after="0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lainTextChar">
    <w:name w:val="Plain Text Char"/>
    <w:basedOn w:val="DefaultParagraphFont"/>
    <w:link w:val="PlainText"/>
    <w:rsid w:val="00EA60B1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label1">
    <w:name w:val="label1"/>
    <w:basedOn w:val="DefaultParagraphFont"/>
    <w:rsid w:val="00EA60B1"/>
    <w:rPr>
      <w:rFonts w:ascii="Arial" w:hAnsi="Arial" w:cs="Arial" w:hint="default"/>
      <w:b/>
      <w:bCs/>
      <w:sz w:val="18"/>
      <w:szCs w:val="18"/>
      <w:bdr w:val="none" w:sz="0" w:space="0" w:color="auto" w:frame="1"/>
      <w:shd w:val="clear" w:color="auto" w:fill="FFFFFF"/>
    </w:rPr>
  </w:style>
  <w:style w:type="paragraph" w:styleId="NormalWeb">
    <w:name w:val="Normal (Web)"/>
    <w:basedOn w:val="Normal"/>
    <w:uiPriority w:val="99"/>
    <w:unhideWhenUsed/>
    <w:rsid w:val="00EA60B1"/>
    <w:pPr>
      <w:spacing w:before="100" w:beforeAutospacing="1" w:afterAutospacing="1"/>
    </w:pPr>
    <w:rPr>
      <w:rFonts w:ascii="Times New Roman" w:eastAsia="Times New Roman" w:hAnsi="Times New Roman"/>
      <w:szCs w:val="24"/>
      <w:lang w:eastAsia="en-CA"/>
    </w:rPr>
  </w:style>
  <w:style w:type="character" w:customStyle="1" w:styleId="citation">
    <w:name w:val="citation"/>
    <w:basedOn w:val="DefaultParagraphFont"/>
    <w:rsid w:val="00EA60B1"/>
  </w:style>
  <w:style w:type="character" w:customStyle="1" w:styleId="td1">
    <w:name w:val="td1"/>
    <w:basedOn w:val="DefaultParagraphFont"/>
    <w:rsid w:val="00EA60B1"/>
  </w:style>
  <w:style w:type="paragraph" w:styleId="ListParagraph">
    <w:name w:val="List Paragraph"/>
    <w:basedOn w:val="Normal"/>
    <w:uiPriority w:val="34"/>
    <w:qFormat/>
    <w:rsid w:val="00EA60B1"/>
    <w:pPr>
      <w:spacing w:after="0"/>
      <w:ind w:left="720"/>
      <w:contextualSpacing/>
    </w:pPr>
    <w:rPr>
      <w:rFonts w:ascii="Times New Roman" w:hAnsi="Times New Roman"/>
      <w:szCs w:val="24"/>
    </w:rPr>
  </w:style>
  <w:style w:type="character" w:customStyle="1" w:styleId="st">
    <w:name w:val="st"/>
    <w:basedOn w:val="DefaultParagraphFont"/>
    <w:rsid w:val="00EA60B1"/>
  </w:style>
  <w:style w:type="character" w:customStyle="1" w:styleId="highlight">
    <w:name w:val="highlight"/>
    <w:basedOn w:val="DefaultParagraphFont"/>
    <w:rsid w:val="00EA6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15440</Words>
  <Characters>88009</Characters>
  <Application>Microsoft Macintosh Word</Application>
  <DocSecurity>0</DocSecurity>
  <Lines>733</Lines>
  <Paragraphs>206</Paragraphs>
  <ScaleCrop>false</ScaleCrop>
  <LinksUpToDate>false</LinksUpToDate>
  <CharactersWithSpaces>103243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Nakash Ali Babwany</dc:creator>
  <cp:keywords/>
  <dc:description/>
  <cp:lastModifiedBy>Nakash Ali Babwany</cp:lastModifiedBy>
  <cp:revision>4</cp:revision>
  <dcterms:created xsi:type="dcterms:W3CDTF">2018-10-28T22:40:00Z</dcterms:created>
  <dcterms:modified xsi:type="dcterms:W3CDTF">2018-10-28T22:55:00Z</dcterms:modified>
</cp:coreProperties>
</file>