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Noto Sans Arabic" w:hAnsi="Noto Sans Arabic" w:eastAsia="Noto Sans Arabic"/>
          <w:b/>
          <w:color w:val="7A4A37"/>
          <w:sz w:val="36"/>
        </w:rPr>
        <w:t>مراجعة الروايات والأحاديث المعروضة في «حديث القلوب»</w:t>
      </w:r>
    </w:p>
    <w:p>
      <w:pPr>
        <w:jc w:val="center"/>
        <w:bidi/>
      </w:pPr>
      <w:r>
        <w:rPr>
          <w:rFonts w:ascii="Noto Sans Arabic" w:hAnsi="Noto Sans Arabic" w:eastAsia="Noto Sans Arabic"/>
          <w:b w:val="0"/>
          <w:color w:val="595E6A"/>
          <w:sz w:val="19"/>
        </w:rPr>
        <w:t>المتن المعروض مستقل، والمعنى والتطبيق منفصلان. اختَر القرار من القائمة المنسدلة في العمود الأخير.</w:t>
      </w:r>
    </w:p>
    <w:p>
      <w:pPr>
        <w:jc w:val="center"/>
        <w:bidi/>
      </w:pPr>
      <w:r>
        <w:rPr>
          <w:rFonts w:ascii="Noto Sans Arabic" w:hAnsi="Noto Sans Arabic" w:eastAsia="Noto Sans Arabic"/>
          <w:b w:val="0"/>
          <w:color w:val="6B4A3D"/>
          <w:sz w:val="17"/>
        </w:rPr>
        <w:t>تتضمن هذه النسخة 26 رواية/حديثاً منشوراً بعد استبعاد المتون المقتطعة أو المرتبطة بسياق خبر أطول. المراجعة هنا قرار إداري داخلي ولا تغيّر المحتوى إلا بعد اعتمادك.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rPr>
          <w:tblHeader w:val="true"/>
        </w:trPr>
        <w:tc>
          <w:tcPr>
            <w:tcW w:type="dxa" w:w="454"/>
            <w:vAlign w:val="center"/>
            <w:shd w:fill="2433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FFFFFF"/>
                <w:sz w:val="17"/>
              </w:rPr>
              <w:t>#</w:t>
            </w:r>
          </w:p>
        </w:tc>
        <w:tc>
          <w:tcPr>
            <w:tcW w:type="dxa" w:w="4422"/>
            <w:vAlign w:val="center"/>
            <w:shd w:fill="2433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FFFFFF"/>
                <w:sz w:val="17"/>
              </w:rPr>
              <w:t>الرواية أو الحديث</w:t>
            </w:r>
          </w:p>
        </w:tc>
        <w:tc>
          <w:tcPr>
            <w:tcW w:type="dxa" w:w="4082"/>
            <w:vAlign w:val="center"/>
            <w:shd w:fill="2433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FFFFFF"/>
                <w:sz w:val="17"/>
              </w:rPr>
              <w:t>المعنى والتطبيق</w:t>
            </w:r>
          </w:p>
        </w:tc>
        <w:tc>
          <w:tcPr>
            <w:tcW w:type="dxa" w:w="2381"/>
            <w:vAlign w:val="center"/>
            <w:shd w:fill="2433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FFFFFF"/>
                <w:sz w:val="17"/>
              </w:rPr>
              <w:t>المصدر والرابط</w:t>
            </w:r>
          </w:p>
        </w:tc>
        <w:tc>
          <w:tcPr>
            <w:tcW w:type="dxa" w:w="1814"/>
            <w:vAlign w:val="center"/>
            <w:shd w:fill="2433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سُوءُ الْخُلُقِ يُفْسِدُ الْعَمَلَ كَمَا يُفْسِدُ الْخَلُّ الْعَسَلَ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يحذّر المتن من أن سوء الخلق يفسد أثر العمل، ويصلح للتأمل في أثر نبرة التعامل داخل البيت.</w:t>
              <w:br/>
              <w:br/>
              <w:t>تطبيق مقترح: حددا موقفاً يومياً تحافظان فيه على الرفق، مثل خفض الصوت أو الاستماع حتى النهاية، ثم راجعا أثره بهدوء.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سوء الخلق، الحديث 1</w:t>
              <w:br/>
              <w:t>درجة المجلسي: حسن كالصحيح</w:t>
            </w:r>
          </w:p>
          <w:p>
            <w:pPr>
              <w:jc w:val="right"/>
              <w:bidi/>
            </w:pPr>
            <w:hyperlink r:id="rId9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"/>
              <w:tag w:val="hadith-decision-1"/>
              <w:id w:val="7001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مَا تَجَرَّعْتُ جُرْعَةً أَحَبَّ إِلَيَّ مِنْ جُرْعَةِ غَيْظٍ لَا أُكَافِي بِهَا صَاحِبَهَا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عند اشتداد الخلاف، امنح نفسك مساحة لتهدأ قبل أن ترد بالمثل أو تصعّد الموقف.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كظم الغيظ، الحديث 1</w:t>
              <w:br/>
              <w:t>درجة المجلسي: حسن كالصحيح</w:t>
            </w:r>
          </w:p>
          <w:p>
            <w:pPr>
              <w:jc w:val="right"/>
              <w:bidi/>
            </w:pPr>
            <w:hyperlink r:id="rId10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"/>
              <w:tag w:val="hadith-decision-2"/>
              <w:id w:val="7002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3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نِعْمَ الْجُرْعَةُ الْغَيْظُ لِمَنْ صَبَرَ عَلَيْهَا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الصبر على الغضب مهارة مشتركة في العلاقة: أوقف النقاش مؤقتاً ثم عُد إليه بهدوء.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كظم الغيظ، الحديث 2</w:t>
              <w:br/>
              <w:t>درجة المجلسي: صحيح</w:t>
            </w:r>
          </w:p>
          <w:p>
            <w:pPr>
              <w:jc w:val="right"/>
              <w:bidi/>
            </w:pPr>
            <w:hyperlink r:id="rId11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3"/>
              <w:tag w:val="hadith-decision-3"/>
              <w:id w:val="7003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4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يُشْبِعُهَا وَيَكْسُوهَا وَإِنْ جَهِلَتْ غَفَرَ لَهَا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يركز الإحسان في الحياة الزوجية على الرعاية العملية والإنصاف والمغفرة عند الخطأ.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ج5، كتاب 3، باب حق المرأة على الزوج، الحديث 1</w:t>
              <w:br/>
              <w:t>درجة المجلسي: موثق</w:t>
            </w:r>
          </w:p>
          <w:p>
            <w:pPr>
              <w:jc w:val="right"/>
              <w:bidi/>
            </w:pPr>
            <w:hyperlink r:id="rId12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4"/>
              <w:tag w:val="hadith-decision-4"/>
              <w:id w:val="7004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5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أَوْصَانِي جَبْرَئِيلُ بِالْمَرْأَةِ حَتَّى ظَنَنْتُ أَنَّهُ لَا يَنْبَغِي طَلَاقُهَا إِلَّا مِنْ فَاحِشَةٍ مُبَيِّنَةٍ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ليكن الرفق والاحترام والتروي أصل التعامل، لا التهديد أو الاستعجال عند الأزمات.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ج5، كتاب 3، باب حق المرأة على الزوج، الحديث 6</w:t>
              <w:br/>
              <w:t>درجة المجلسي: صحيح</w:t>
            </w:r>
          </w:p>
          <w:p>
            <w:pPr>
              <w:jc w:val="right"/>
              <w:bidi/>
            </w:pPr>
            <w:hyperlink r:id="rId13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5"/>
              <w:tag w:val="hadith-decision-5"/>
              <w:id w:val="7005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6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تَصِلُ مَنْ قَطَعَكَ وَتُعْطِي مَنْ حَرَمَكَ وَتَعْفُو عَمَّنْ ظَلَمَكَ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في خلافات العائلة، ابدأ بخطوة إصلاح آمنة: وصل، أو عطاء، أو عفو؛ مع مراعاة الحدود والسلامة الشخصية.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صلة الرحم، الحديث 2</w:t>
              <w:br/>
              <w:t>درجة المجلسي: موثق</w:t>
            </w:r>
          </w:p>
          <w:p>
            <w:pPr>
              <w:jc w:val="right"/>
              <w:bidi/>
            </w:pPr>
            <w:hyperlink r:id="rId14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6"/>
              <w:tag w:val="hadith-decision-6"/>
              <w:id w:val="7006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7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صِلْ رَحِمَكَ وَلَوْ بِشَرْبَةٍ مِنْ مَاءٍ وَأَفْضَلُ مَا تُوصَلُ بِهِ الرَّحِمُ كَفُّ الْأَذَى عَنْهَا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تقوية العائلة لا تحتاج فعلاً ضخماً: تواصل لطيف، ومساعدة يسيرة، والامتناع عن الأذى هي بداية عملية.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صلة الرحم، الحديث 9</w:t>
              <w:br/>
              <w:t>درجة المجلسي: صحيح</w:t>
            </w:r>
          </w:p>
          <w:p>
            <w:pPr>
              <w:jc w:val="right"/>
              <w:bidi/>
            </w:pPr>
            <w:hyperlink r:id="rId15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7"/>
              <w:tag w:val="hadith-decision-7"/>
              <w:id w:val="7007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8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إِنِّي لَأُبَادِرُ أَهْلَ بَيْتِي أَصِلُهُمْ قَبْلَ أَنْ يَسْتَغْنُوا عَنِّي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لا تنتظر دائماً أن يطلب المقربون الاهتمام؛ بادر بالسؤال والزيارة والمساندة قبل الحاجة.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صلة الرحم، الحديث 25</w:t>
              <w:br/>
              <w:t>درجة المجلسي: صحيح</w:t>
            </w:r>
          </w:p>
          <w:p>
            <w:pPr>
              <w:jc w:val="right"/>
              <w:bidi/>
            </w:pPr>
            <w:hyperlink r:id="rId16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8"/>
              <w:tag w:val="hadith-decision-8"/>
              <w:id w:val="7008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9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كَانَ أَمِيرُ الْمُؤْمِنِينَ صَلَوَاتُ اللهِ عَلَيْهِ يَحْتَطِبُ وَيَسْتَقِي وَيَكْنُسُ وَكَانَتْ فَاطِمَةُ سَلامُ اللهِ عَلَيْهَا تَطْحَنُ وَتَعْجِنُ وَتَخْبِزُ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تقدم الرواية صورة عملية للشراكة في أعمال البيت وخارجه، من دون تحويل الأدوار التاريخية إلى إلزام ثابت على أحد الزوجين.</w:t>
              <w:br/>
              <w:br/>
              <w:t>تطبيق مقترح: اتفقا على قائمة مرنة للمهام اليومية بحسب الوقت والطاقة والظروف، وراجعاها عند المرض أو ضغط العمل؛ فالمقصود شراكة عملية لا تحميل طرف واحد كل العبء.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ج5، كتاب 2، باب عمل الرجل في بيته، الحديث 1</w:t>
              <w:br/>
              <w:t>درجة المجلسي: حسن</w:t>
            </w:r>
          </w:p>
          <w:p>
            <w:pPr>
              <w:jc w:val="right"/>
              <w:bidi/>
            </w:pPr>
            <w:hyperlink r:id="rId17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9"/>
              <w:tag w:val="hadith-decision-9"/>
              <w:id w:val="7009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10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الَّذِي يَطْلُبُ مِنْ فَضْلِ اللهِ عَزَّ وَجَلَّ مَا يَكُفُّ بِهِ عِيَالَهُ أَعْظَمُ أَجْراً مِنَ الْمُجَاهِدِ فِي سَبِيلِ اللهِ عَزَّ وَجَلَّ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يبين النص قيمة العمل الذي يكفي الأسرة، ويصلح للتأمل في تقدير الجهد المعيشي والرعاية الاقتصادية داخل البيت.</w:t>
              <w:br/>
              <w:br/>
              <w:t>تطبيق مقترح: اعترفا بمساهمة كل طرف في إعالة الأسرة، سواء كانت دخلاً أو رعاية منزلية أو عملاً غير مدفوع، وضَعا ميزانية مشتركة من دون تحويل الإنفاق إلى سيطرة أو منّة.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ج5، كتاب 2، باب كدّ على عياله، الحديث 2</w:t>
              <w:br/>
              <w:t>درجة المجلسي: صحيح</w:t>
            </w:r>
          </w:p>
          <w:p>
            <w:pPr>
              <w:jc w:val="right"/>
              <w:bidi/>
            </w:pPr>
            <w:hyperlink r:id="rId18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0"/>
              <w:tag w:val="hadith-decision-10"/>
              <w:id w:val="7010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11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مَنْ أَغَاثَ أَخَاهُ الْمُؤْمِنَ اللَّهْفَانَ اللَّهْثَانَ عِنْدَ جَهْدِهِ فَنَفَّسَ كُرْبَتَهُ وَأَعَانَهُ عَلَى نَجَاحِ حَاجَتِهِ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يركز النص على الاستجابة العملية للضيق: تفريج الكربة والمساعدة في إنجاز الحاجة، لا الاكتفاء بالتعاطف اللفظي.</w:t>
              <w:br/>
              <w:br/>
              <w:t>تطبيق مقترح: عند التعب أو الضيق، اسأل شريكك عن مساعدة محددة ثم خذ مهمة واقعية مثل إعداد الطعام أو رعاية الأطفال أو إنجاز معاملة؛ لتكن المساندة باحترام لا بلوم أو إلغاء للاستقلال.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تفريج كرب المؤمن، الحديث 1</w:t>
              <w:br/>
              <w:t>درجة المجلسي: صحيح</w:t>
            </w:r>
          </w:p>
          <w:p>
            <w:pPr>
              <w:jc w:val="right"/>
              <w:bidi/>
            </w:pPr>
            <w:hyperlink r:id="rId19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1"/>
              <w:tag w:val="hadith-decision-11"/>
              <w:id w:val="7011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12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الرِّفْقُ يُمْنٌ وَالْخُرْقُ شُؤْمٌ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يجعل النص الرفق منهجاً مستمراً للمعاشرة وإدارة التفاصيل اليومية، لا مجرد استجابة مؤقتة عند نشوء الخلاف.</w:t>
              <w:br/>
              <w:br/>
              <w:t>تطبيق مقترح: اتفقا على قواعد بسيطة للحديث والعمل: خفض الصوت، الطلب بدلاً من الاتهام، وإتاحة وقت للراحة. الرفق لا يعني السكوت عن الأذى، بل طريقة غير عنيفة لوضع الحدود وطلب الإصلاح.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الرفق، الحديث 4</w:t>
              <w:br/>
              <w:t>درجة المجلسي: صحيح</w:t>
            </w:r>
          </w:p>
          <w:p>
            <w:pPr>
              <w:jc w:val="right"/>
              <w:bidi/>
            </w:pPr>
            <w:hyperlink r:id="rId20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2"/>
              <w:tag w:val="hadith-decision-12"/>
              <w:id w:val="7012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13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رَحِمَ اللَّهُ مَنْ أَعَانَ وَلَدَهُ عَلَى بِرِّهِ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يشرح النص أن إعانة الطفل تكون بقبول ميسوره، والتجاوز عن معسوره، وعدم إرهاقه أو التعامل معه بخرق.</w:t>
              <w:br/>
              <w:br/>
              <w:t>تطبيق مقترح: عند الخطأ أو التقصير، اسأل: ما الذي يقدر عليه الطفل الآن؟ ثم وجّهه من دون إهانة أو تحميل يفوق طاقته.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ج6، كتاب 1، باب الرفق بالأولاد، الحديث 6</w:t>
              <w:br/>
              <w:t>درجة المجلسي: صحيح</w:t>
            </w:r>
          </w:p>
          <w:p>
            <w:pPr>
              <w:jc w:val="right"/>
              <w:bidi/>
            </w:pPr>
            <w:hyperlink r:id="rId21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3"/>
              <w:tag w:val="hadith-decision-13"/>
              <w:id w:val="7013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14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إِذَا وَعَدْتُمُ الصِّبْيَانَ فَفُوا لَهُمْ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يربط النص الوفاء بالوعد مع الطفل بإدراكه أن والديه مصدر أمانه ورزقه، فيحفظ ثقته بهما.</w:t>
              <w:br/>
              <w:br/>
              <w:t>تطبيق مقترح: لا تعد بما لا تستطيع؛ وإذا تعذر الوفاء، اشرح السبب بلطف وحدد بديلاً أو موعداً واضحاً.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ج6، كتاب 1، باب الرفق بالأولاد، الحديث 8</w:t>
              <w:br/>
              <w:t>درجة المجلسي: حسن</w:t>
            </w:r>
          </w:p>
          <w:p>
            <w:pPr>
              <w:jc w:val="right"/>
              <w:bidi/>
            </w:pPr>
            <w:hyperlink r:id="rId22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4"/>
              <w:tag w:val="hadith-decision-14"/>
              <w:id w:val="7014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15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لَيْسَ لِلْحَكَمَيْنِ أَنْ يُفَرِّقَا حَتَّى يَسْتَأْمِرَا الرَّجُلَ وَالْمَرْأَةَ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عند تعقّد الخلاف، يلفت النص إلى أن الاستعانة بطرفين موثوقين لا تلغي موافقة الزوجين أو حقهما في فهم ما يُقترح عليهما.</w:t>
              <w:br/>
              <w:br/>
              <w:t>تطبيق مقترح: إذا تعذر الحوار وكان ذلك آمناً، اختارا مساعدة محايدة وبالتراضي. لا يُستخدم هذا النص بديلاً عن طلب الحماية أو الدعم المختص عند العنف أو الإكراه.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ج6، كتاب 2، باب الحكمين في الشقاق، الحديث 2</w:t>
              <w:br/>
              <w:t>درجة المجلسي: حسن</w:t>
            </w:r>
          </w:p>
          <w:p>
            <w:pPr>
              <w:jc w:val="right"/>
              <w:bidi/>
            </w:pPr>
            <w:hyperlink r:id="rId23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5"/>
              <w:tag w:val="hadith-decision-15"/>
              <w:id w:val="7015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16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أَمَرَنِي رَبِّي بِمُدَارَاةِ النَّاسِ كَمَا أَمَرَنِي بِأَدَاءِ الْفَرَائِضِ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يجعل النص اللين في التعامل أصلاً مستمراً؛ ويمكن أن يترجم داخل البيت إلى احترام نبرة الحوار وإتاحة مساحة للشرح والاستماع.</w:t>
              <w:br/>
              <w:br/>
              <w:t>تطبيق مقترح: عند اختلافكما، ابدآ بتسمية ما تفهمانه من موقف الآخر قبل عرض الاعتراض، من دون أن يعني اللين قبول الإهانة أو تجاوز الحدود.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المداراة، الحديث 4</w:t>
              <w:br/>
              <w:t>درجة المجلسي: صحيح</w:t>
            </w:r>
          </w:p>
          <w:p>
            <w:pPr>
              <w:jc w:val="right"/>
              <w:bidi/>
            </w:pPr>
            <w:hyperlink r:id="rId24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6"/>
              <w:tag w:val="hadith-decision-16"/>
              <w:id w:val="7016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17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مِنْ أَحَبِّ الْأَعْمَالِ إِلَى اللَّهِ عَزَّ وَجَلَّ إِدْخَالُ السُّرُورِ عَلَى الْمُؤْمِنِ: إِشْبَاعُ جَوْعَتِهِ أَوْ تَنْفِيسُ كُرْبَتِهِ أَوْ قَضَاءُ دَيْنِهِ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يربط النص إدخال السرور بالفعل العملي: إطعام، أو تفريج كربة، أو إعانة في التزام مالي؛ لا بالمجاملة وحدها.</w:t>
              <w:br/>
              <w:br/>
              <w:t>تطبيق مقترح: اختَر فعلاً محدداً يخفف عن شريكك أو أسرتك اليوم: وجبة، مهمة مؤجلة، أو خطوة عملية في ضغط يمر به الطرف الآخر.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إدخال السرور على المؤمن، الحديث 16</w:t>
              <w:br/>
              <w:t>درجة المجلسي: حسن كالصحيح</w:t>
            </w:r>
          </w:p>
          <w:p>
            <w:pPr>
              <w:jc w:val="right"/>
              <w:bidi/>
            </w:pPr>
            <w:hyperlink r:id="rId25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7"/>
              <w:tag w:val="hadith-decision-17"/>
              <w:id w:val="7017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18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إِنَّ حُسْنَ الْخُلُقِ يَبْلُغُ بِصَاحِبِهِ دَرَجَةَ الصَّائِمِ الْقَائِمِ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يقدم النص حسن الخلق قيمة إيجابية مستقلة، لا مجرد امتناع عن الإساءة، ويصلح أساساً للمعاشرة اليومية باحترام.</w:t>
              <w:br/>
              <w:br/>
              <w:t>تطبيق مقترح: حددا سلوكاً بسيطاً من حسن الخلق تريدان ملاحظته هذا الأسبوع، مثل الإصغاء حتى النهاية أو خفض الصوت أو الاعتذار الواضح.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حسن الخلق، الحديث 18</w:t>
              <w:br/>
              <w:t>درجة المجلسي: حسن كالصحيح</w:t>
            </w:r>
          </w:p>
          <w:p>
            <w:pPr>
              <w:jc w:val="right"/>
              <w:bidi/>
            </w:pPr>
            <w:hyperlink r:id="rId26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8"/>
              <w:tag w:val="hadith-decision-18"/>
              <w:id w:val="7018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19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الْغُلَامُ يَلْعَبُ سَبْعَ سِنِينَ وَيَتَعَلَّمُ الْكِتَابَ سَبْعَ سِنِينَ وَيَتَعَلَّمُ الْحَلَالَ وَالْحَرَامَ سَبْعَ سِنِينَ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يلفت النص إلى اختلاف احتياجات الطفل عبر مراحل النمو، فلا تُقاس توقعات اللعب والتعلم وتحمل المسؤولية بمقياس واحد في كل عمر.</w:t>
              <w:br/>
              <w:br/>
              <w:t>تطبيق مقترح: راجعا توقعكما من الطفل وفق مرحلته: اتركا مساحة للعب، وقدما تعلماً تدريجياً، وتجنبا تفسير عدم النضج كأنه تحدٍ أو سوء نية.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ج6، كتاب 1، باب آداب الطفل، الحديث 3</w:t>
              <w:br/>
              <w:t>درجة المجلسي: موثق</w:t>
            </w:r>
          </w:p>
          <w:p>
            <w:pPr>
              <w:jc w:val="right"/>
              <w:bidi/>
            </w:pPr>
            <w:hyperlink r:id="rId27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19"/>
              <w:tag w:val="hadith-decision-19"/>
              <w:id w:val="7019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20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إِنَّ اللَّهَ بَعَثَنِي بِالرَّحْمَةِ لَا بِالْعُقُوقِ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يُقدّم النص الرحمة والبر أصلاً في العلاقة مع الوالدين والأسرة الممتدة، بما يشمل الرفق في التواصل عند اختلاف الخلفيات أو الآراء.</w:t>
              <w:br/>
              <w:br/>
              <w:t>تطبيق مقترح: اختارا عبارة رحيمة للتواصل مع أحد الوالدين أو الأقارب عند اختلاف الرأي، مع إبقاء السلامة والحدود الشخصية مقدمة إذا كان التواصل مؤذياً أو قهرياً.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بر الوالدين، الحديث 8</w:t>
              <w:br/>
              <w:t>درجة المجلسي: صحيح</w:t>
            </w:r>
          </w:p>
          <w:p>
            <w:pPr>
              <w:jc w:val="right"/>
              <w:bidi/>
            </w:pPr>
            <w:hyperlink r:id="rId28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0"/>
              <w:tag w:val="hadith-decision-20"/>
              <w:id w:val="7020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21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مَنْ زَارَ أَخَاهُ فِي جَانِبِ الْمِصْرِ ابْتِغَاءَ وَجْهِ الله فَهُوَ زَوْرُهُ، وَحَقٌّ عَلَى الله أَنْ يُكْرِمَ زَوْرَهُ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يبرز النص قيمة الزيارة المقصودة والتواصل الإنساني، لا مجرد الحضور العابر أو المجاملة الشكلية.</w:t>
              <w:br/>
              <w:br/>
              <w:t>تطبيق مقترح: اختارا شخصاً من الأهل أو الأصدقاء طال انقطاع السؤال عنه، وارسلا رسالة مطمئنة أو رتبا زيارة مناسبة برضاه.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زيارة الإخوان، الحديث 5</w:t>
              <w:br/>
              <w:t>درجة المجلسي: صحيح</w:t>
            </w:r>
          </w:p>
          <w:p>
            <w:pPr>
              <w:jc w:val="right"/>
              <w:bidi/>
            </w:pPr>
            <w:hyperlink r:id="rId29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1"/>
              <w:tag w:val="hadith-decision-21"/>
              <w:id w:val="7021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22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يَجِبُ لِلْمُؤْمِنِ عَلَى الْمُؤْمِنِ النَّصِيحَةُ لَهُ فِي الْمَشْهَدِ وَالْمَغِيبِ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يربط النص النصيحة الصادقة بالمصلحة والوفاء، لا بالتهكم أو كشف الأسرار أو التحكم في الغير.</w:t>
              <w:br/>
              <w:br/>
              <w:t>تطبيق مقترح: اتفقا أن تكون النصيحة حول غائب حمايةً لمصلحته لا مناسبةً للتهكم؛ واستبدلا إشاعة محتملة بكلمة دعم أو صمت كريم.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النصيحة للمؤمن، الحديث 2</w:t>
              <w:br/>
              <w:t>درجة المجلسي: صحيح</w:t>
            </w:r>
          </w:p>
          <w:p>
            <w:pPr>
              <w:jc w:val="right"/>
              <w:bidi/>
            </w:pPr>
            <w:hyperlink r:id="rId30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2"/>
              <w:tag w:val="hadith-decision-22"/>
              <w:id w:val="7022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23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مَنْ أَتَاهُ أَخُوهُ الْمُسْلِمُ فَأَكْرَمَهُ فَإِنَّمَا أَكْرَمَ الله عَزَّ وَجَلَّ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يعطي النص للترحيب بالزائر واللطف معه معنى اجتماعياً، من دون جعل الضيافة تكلفاً أو عبئاً غير محتمل.</w:t>
              <w:br/>
              <w:br/>
              <w:t>تطبيق مقترح: خططا لفتة ضيافة ميسّرة في البيت أو رسالة ترحيب لضيف أو قريب، بما يناسب القدرة والوقت.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إلطاف المؤمن وإكرامه، الحديث 3</w:t>
              <w:br/>
              <w:t>درجة المجلسي: صحيح</w:t>
            </w:r>
          </w:p>
          <w:p>
            <w:pPr>
              <w:jc w:val="right"/>
              <w:bidi/>
            </w:pPr>
            <w:hyperlink r:id="rId31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3"/>
              <w:tag w:val="hadith-decision-23"/>
              <w:id w:val="7023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24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عَظِّمُوا كِبَارَكُمْ وَصِلُوا أَرْحَامَكُمْ، وَلَيْسَ تَصِلُونَهُمْ بِشَيْءٍ أَفْضَلَ مِنْ كَفِّ الأذَى عَنْهُمْ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يجمع النص توقير الكبير وصلة الرحم مع قاعدة عملية واضحة: الامتناع عن الأذى.</w:t>
              <w:br/>
              <w:br/>
              <w:t>تطبيق مقترح: اختارا كبيراً في العائلة أو المحيط الاجتماعي، وفكرا في صورة عملية لكف الأذى: إنصات أهدأ، أو تجنب تعليق جارح، أو مساعدة باحترام.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إجلال الكبير، الحديث 3</w:t>
              <w:br/>
              <w:t>درجة المجلسي: حسن كالصحيح</w:t>
            </w:r>
          </w:p>
          <w:p>
            <w:pPr>
              <w:jc w:val="right"/>
              <w:bidi/>
            </w:pPr>
            <w:hyperlink r:id="rId32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4"/>
              <w:tag w:val="hadith-decision-24"/>
              <w:id w:val="7024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25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مُصَافَحَةُ الْمُؤْمِنِ أَفْضَلُ مِنْ مُصَافَحَةِ الْمَلائِكَةِ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يفتح النص باباً للتحية الودودة والتواصل الاجتماعي الحسن مع مراعاة ما يلائم الناس وراحتهم.</w:t>
              <w:br/>
              <w:br/>
              <w:t>تطبيق مقترح: اختارا تحية دافئة تناسب عرفكما وراحة الطرف الآخر، مثل سلام واضح أو ابتسامة أو مصافحة رضائية حيث تلائم.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المصافحة، الحديث 21</w:t>
              <w:br/>
              <w:t>درجة المجلسي: صحيح</w:t>
            </w:r>
          </w:p>
          <w:p>
            <w:pPr>
              <w:jc w:val="right"/>
              <w:bidi/>
            </w:pPr>
            <w:hyperlink r:id="rId33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5"/>
              <w:tag w:val="hadith-decision-25"/>
              <w:id w:val="7025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  <w:tr>
        <w:tc>
          <w:tcPr>
            <w:tcW w:type="dxa" w:w="45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  <w:bidi/>
            </w:pPr>
            <w:r>
              <w:rPr>
                <w:rFonts w:ascii="Noto Sans Arabic" w:hAnsi="Noto Sans Arabic" w:eastAsia="Noto Sans Arabic"/>
                <w:b/>
                <w:color w:val="7A4A37"/>
                <w:sz w:val="16"/>
              </w:rPr>
              <w:t>26</w:t>
            </w:r>
          </w:p>
        </w:tc>
        <w:tc>
          <w:tcPr>
            <w:tcW w:type="dxa" w:w="442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/>
                <w:sz w:val="17"/>
              </w:rPr>
              <w:t>إِنَّكَ إِذَا وَصَلْتَهُ وَقَطَعَكَ وَصَلَكُمَا الله عَزَّ وَجَلَّ جَمِيعاً، وَإِنْ قَطَعْتَهُ وَقَطَعَكَ قَطَعَكُمَا الله</w:t>
            </w:r>
          </w:p>
        </w:tc>
        <w:tc>
          <w:tcPr>
            <w:tcW w:type="dxa" w:w="408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sz w:val="15"/>
              </w:rPr>
              <w:t>يعالج النص حالة صلة الرحم عند عدم المعاملة بالمثل، ويشجع على النظر في مبادرة إصلاح آمنة بدلاً من التصعيد المتبادل.</w:t>
              <w:br/>
              <w:br/>
              <w:t>تطبيق مقترح: يمكن التفكير في صلة منخفضة المخاطر، كدعاء أو رسالة مختصرة أو سؤال غير متطفل، عند وجود أمان وملاءمة.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right"/>
              <w:bidi/>
            </w:pPr>
            <w:r>
              <w:rPr>
                <w:rFonts w:ascii="Noto Sans Arabic" w:hAnsi="Noto Sans Arabic" w:eastAsia="Noto Sans Arabic"/>
                <w:b w:val="0"/>
                <w:color w:val="374151"/>
                <w:sz w:val="14"/>
              </w:rPr>
              <w:t>الكافي</w:t>
              <w:br/>
              <w:t>ج2، كتاب 1، باب صلة الرحم، الحديث 24</w:t>
              <w:br/>
              <w:t>درجة المجلسي: صحيح</w:t>
            </w:r>
          </w:p>
          <w:p>
            <w:pPr>
              <w:jc w:val="right"/>
              <w:bidi/>
            </w:pPr>
            <w:hyperlink r:id="rId34">
              <w:r>
                <w:rPr>
                  <w:rFonts w:ascii="Noto Sans Arabic" w:hAnsi="Noto Sans Arabic"/>
                  <w:color w:val="1D4ED8"/>
                  <w:u w:val="single"/>
                </w:rPr>
                <w:t>فتح المرجع في ثقلين</w:t>
              </w:r>
            </w:hyperlink>
          </w:p>
        </w:tc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sdt>
            <w:sdtPr>
              <w:alias w:val="قرار الرواية 26"/>
              <w:tag w:val="hadith-decision-26"/>
              <w:id w:val="7026"/>
              <w:dropDownList>
                <w:listItem w:displayText="اختر القرار" w:value="اختر القرار"/>
                <w:listItem w:displayText="موافق على الإدخال" w:value="موافق على الإدخال"/>
                <w:listItem w:displayText="غير موافق" w:value="غير موافق"/>
              </w:dropDownList>
            </w:sdtPr>
            <w:sdtContent>
              <w:p>
                <w:pPr>
                  <w:jc w:val="center"/>
                  <w:bidi/>
                </w:pPr>
                <w:r>
                  <w:rPr>
                    <w:rFonts w:ascii="Noto Sans Arabic" w:hAnsi="Noto Sans Arabic"/>
                  </w:rPr>
                  <w:t>اختر القرار</w:t>
                </w:r>
              </w:p>
            </w:sdtContent>
          </w:sdt>
        </w:tc>
      </w:tr>
    </w:tbl>
    <w:p/>
    <w:p>
      <w:pPr>
        <w:jc w:val="center"/>
        <w:bidi/>
      </w:pPr>
      <w:r>
        <w:rPr>
          <w:rFonts w:ascii="Noto Sans Arabic" w:hAnsi="Noto Sans Arabic" w:eastAsia="Noto Sans Arabic"/>
          <w:b w:val="0"/>
          <w:color w:val="6B7280"/>
          <w:sz w:val="15"/>
        </w:rPr>
        <w:t>إعداد للمراجعة الداخلية — حديث القلوب — 22 أغسطس 2026</w:t>
      </w:r>
    </w:p>
    <w:sectPr w:rsidR="00FC693F" w:rsidRPr="0006063C" w:rsidSect="00034616">
      <w:pgSz w:w="15840" w:h="12240" w:orient="landscape"/>
      <w:pgMar w:top="567" w:right="510" w:bottom="56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aqalayn.net/hadith/2/1/129/1" TargetMode="External"/><Relationship Id="rId10" Type="http://schemas.openxmlformats.org/officeDocument/2006/relationships/hyperlink" Target="https://thaqalayn.net/hadith/2/1/54/1" TargetMode="External"/><Relationship Id="rId11" Type="http://schemas.openxmlformats.org/officeDocument/2006/relationships/hyperlink" Target="https://thaqalayn.net/hadith/2/1/54/2" TargetMode="External"/><Relationship Id="rId12" Type="http://schemas.openxmlformats.org/officeDocument/2006/relationships/hyperlink" Target="https://thaqalayn.net/hadith/5/3/152/1" TargetMode="External"/><Relationship Id="rId13" Type="http://schemas.openxmlformats.org/officeDocument/2006/relationships/hyperlink" Target="https://thaqalayn.net/hadith/5/3/152/6" TargetMode="External"/><Relationship Id="rId14" Type="http://schemas.openxmlformats.org/officeDocument/2006/relationships/hyperlink" Target="https://thaqalayn.net/hadith/2/1/68/2" TargetMode="External"/><Relationship Id="rId15" Type="http://schemas.openxmlformats.org/officeDocument/2006/relationships/hyperlink" Target="https://thaqalayn.net/hadith/2/1/68/9" TargetMode="External"/><Relationship Id="rId16" Type="http://schemas.openxmlformats.org/officeDocument/2006/relationships/hyperlink" Target="https://thaqalayn.net/hadith/2/1/68/25" TargetMode="External"/><Relationship Id="rId17" Type="http://schemas.openxmlformats.org/officeDocument/2006/relationships/hyperlink" Target="https://thaqalayn.net/ar/hadith/5/2/11/1" TargetMode="External"/><Relationship Id="rId18" Type="http://schemas.openxmlformats.org/officeDocument/2006/relationships/hyperlink" Target="https://thaqalayn.net/ar/hadith/5/2/13/2" TargetMode="External"/><Relationship Id="rId19" Type="http://schemas.openxmlformats.org/officeDocument/2006/relationships/hyperlink" Target="https://thaqalayn.net/ar/hadith/2/1/85/1" TargetMode="External"/><Relationship Id="rId20" Type="http://schemas.openxmlformats.org/officeDocument/2006/relationships/hyperlink" Target="https://thaqalayn.net/ar/hadith/2/1/58/4" TargetMode="External"/><Relationship Id="rId21" Type="http://schemas.openxmlformats.org/officeDocument/2006/relationships/hyperlink" Target="https://thaqalayn.net/hadith/6/1/35/6" TargetMode="External"/><Relationship Id="rId22" Type="http://schemas.openxmlformats.org/officeDocument/2006/relationships/hyperlink" Target="https://thaqalayn.net/hadith/6/1/35/8" TargetMode="External"/><Relationship Id="rId23" Type="http://schemas.openxmlformats.org/officeDocument/2006/relationships/hyperlink" Target="https://thaqalayn.net/hadith/6/2/67/2" TargetMode="External"/><Relationship Id="rId24" Type="http://schemas.openxmlformats.org/officeDocument/2006/relationships/hyperlink" Target="https://thaqalayn.net/hadith/2/1/57/4" TargetMode="External"/><Relationship Id="rId25" Type="http://schemas.openxmlformats.org/officeDocument/2006/relationships/hyperlink" Target="https://thaqalayn.net/hadith/2/1/82/16" TargetMode="External"/><Relationship Id="rId26" Type="http://schemas.openxmlformats.org/officeDocument/2006/relationships/hyperlink" Target="https://thaqalayn.net/hadith/2/1/49/18" TargetMode="External"/><Relationship Id="rId27" Type="http://schemas.openxmlformats.org/officeDocument/2006/relationships/hyperlink" Target="https://thaqalayn.net/hadith/6/1/33/3" TargetMode="External"/><Relationship Id="rId28" Type="http://schemas.openxmlformats.org/officeDocument/2006/relationships/hyperlink" Target="https://thaqalayn.net/hadith/2/1/69/8" TargetMode="External"/><Relationship Id="rId29" Type="http://schemas.openxmlformats.org/officeDocument/2006/relationships/hyperlink" Target="https://thaqalayn.net/hadith/2/1/77/5" TargetMode="External"/><Relationship Id="rId30" Type="http://schemas.openxmlformats.org/officeDocument/2006/relationships/hyperlink" Target="https://thaqalayn.net/hadith/2/1/90/2" TargetMode="External"/><Relationship Id="rId31" Type="http://schemas.openxmlformats.org/officeDocument/2006/relationships/hyperlink" Target="https://thaqalayn.net/hadith/2/1/88/3" TargetMode="External"/><Relationship Id="rId32" Type="http://schemas.openxmlformats.org/officeDocument/2006/relationships/hyperlink" Target="https://thaqalayn.net/ar/hadith/2/1/71/3" TargetMode="External"/><Relationship Id="rId33" Type="http://schemas.openxmlformats.org/officeDocument/2006/relationships/hyperlink" Target="https://thaqalayn.net/ar/hadith/2/1/78/21" TargetMode="External"/><Relationship Id="rId34" Type="http://schemas.openxmlformats.org/officeDocument/2006/relationships/hyperlink" Target="https://thaqalayn.net/hadith/2/1/68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