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aps/>
          <w:color w:val="B8944E"/>
          <w:sz w:val="20"/>
          <w:szCs w:val="20"/>
        </w:rPr>
        <w:t xml:space="preserve">RECIPE &amp; STANDARD OPERATING PROCEDURE</w:t>
      </w:r>
    </w:p>
    <w:p>
      <w:pPr>
        <w:spacing w:after="60"/>
        <w:jc w:val="left"/>
      </w:pPr>
      <w:r>
        <w:rPr>
          <w:rFonts w:ascii="Arial" w:cs="Arial" w:eastAsia="Arial" w:hAnsi="Arial"/>
          <w:b/>
          <w:bCs/>
          <w:color w:val="2C2218"/>
          <w:sz w:val="44"/>
          <w:szCs w:val="44"/>
        </w:rPr>
        <w:t xml:space="preserve">Asian Inspired Ginger Pickled Carrots</w:t>
      </w:r>
    </w:p>
    <w:p>
      <w:pPr>
        <w:pBdr>
          <w:bottom w:val="single" w:color="B8944E" w:sz="8" w:space="1"/>
        </w:pBdr>
        <w:spacing w:before="1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1170"/>
        <w:gridCol w:w="1170"/>
      </w:tblGrid>
      <w:tr>
        <w:tc>
          <w:tcPr>
            <w:tcW w:type="dxa" w:w="2340"/>
            <w:tcBorders>
              <w:top w:val="single" w:color="A89888" w:sz="1"/>
              <w:left w:val="single" w:color="A89888" w:sz="1"/>
              <w:bottom w:val="single" w:color="A89888" w:sz="1"/>
              <w:right w:val="single" w:color="A89888" w:sz="1"/>
            </w:tcBorders>
            <w:shd w:fill="F7F3EC"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Document Title:</w:t>
            </w:r>
          </w:p>
        </w:tc>
        <w:tc>
          <w:tcPr>
            <w:tcW w:type="dxa" w:w="468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Asian Inspired Ginger Pickled Carrots — Recipe &amp; SOP</w:t>
            </w:r>
          </w:p>
        </w:tc>
        <w:tc>
          <w:tcPr>
            <w:tcW w:type="dxa" w:w="1170"/>
            <w:tcBorders>
              <w:top w:val="single" w:color="A89888" w:sz="1"/>
              <w:left w:val="single" w:color="A89888" w:sz="1"/>
              <w:bottom w:val="single" w:color="A89888" w:sz="1"/>
              <w:right w:val="single" w:color="A89888" w:sz="1"/>
            </w:tcBorders>
            <w:shd w:fill="F7F3EC"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Version:</w:t>
            </w:r>
          </w:p>
        </w:tc>
        <w:tc>
          <w:tcPr>
            <w:tcW w:type="dxa" w:w="117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1.0</w:t>
            </w:r>
          </w:p>
        </w:tc>
      </w:tr>
      <w:tr>
        <w:tc>
          <w:tcPr>
            <w:tcW w:type="dxa" w:w="2340"/>
            <w:tcBorders>
              <w:top w:val="single" w:color="A89888" w:sz="1"/>
              <w:left w:val="single" w:color="A89888" w:sz="1"/>
              <w:bottom w:val="single" w:color="A89888" w:sz="1"/>
              <w:right w:val="single" w:color="A89888" w:sz="1"/>
            </w:tcBorders>
            <w:shd w:fill="F7F3EC"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Department:</w:t>
            </w:r>
          </w:p>
        </w:tc>
        <w:tc>
          <w:tcPr>
            <w:tcW w:type="dxa" w:w="468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Commissary Kitchen — Prep &amp; Production</w:t>
            </w:r>
          </w:p>
        </w:tc>
        <w:tc>
          <w:tcPr>
            <w:tcW w:type="dxa" w:w="1170"/>
            <w:tcBorders>
              <w:top w:val="single" w:color="A89888" w:sz="1"/>
              <w:left w:val="single" w:color="A89888" w:sz="1"/>
              <w:bottom w:val="single" w:color="A89888" w:sz="1"/>
              <w:right w:val="single" w:color="A89888" w:sz="1"/>
            </w:tcBorders>
            <w:shd w:fill="F7F3EC"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Date:</w:t>
            </w:r>
          </w:p>
        </w:tc>
        <w:tc>
          <w:tcPr>
            <w:tcW w:type="dxa" w:w="117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02/15/2026</w:t>
            </w:r>
          </w:p>
        </w:tc>
      </w:tr>
      <w:tr>
        <w:tc>
          <w:tcPr>
            <w:tcW w:type="dxa" w:w="2340"/>
            <w:tcBorders>
              <w:top w:val="single" w:color="A89888" w:sz="1"/>
              <w:left w:val="single" w:color="A89888" w:sz="1"/>
              <w:bottom w:val="single" w:color="A89888" w:sz="1"/>
              <w:right w:val="single" w:color="A89888" w:sz="1"/>
            </w:tcBorders>
            <w:shd w:fill="F7F3EC"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Prepared By:</w:t>
            </w:r>
          </w:p>
        </w:tc>
        <w:tc>
          <w:tcPr>
            <w:tcW w:type="dxa" w:w="468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Kitchen Management</w:t>
            </w:r>
          </w:p>
        </w:tc>
        <w:tc>
          <w:tcPr>
            <w:tcW w:type="dxa" w:w="1170"/>
            <w:tcBorders>
              <w:top w:val="single" w:color="A89888" w:sz="1"/>
              <w:left w:val="single" w:color="A89888" w:sz="1"/>
              <w:bottom w:val="single" w:color="A89888" w:sz="1"/>
              <w:right w:val="single" w:color="A89888" w:sz="1"/>
            </w:tcBorders>
            <w:shd w:fill="F7F3EC"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Pages:</w:t>
            </w:r>
          </w:p>
        </w:tc>
        <w:tc>
          <w:tcPr>
            <w:tcW w:type="dxa" w:w="117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3</w:t>
            </w:r>
          </w:p>
        </w:tc>
      </w:tr>
    </w:tbl>
    <w:p>
      <w:pPr>
        <w:spacing w:after="240"/>
      </w:pPr>
      <w:r>
        <w:rPr>
          <w:rFonts w:ascii="Arial" w:cs="Arial" w:eastAsia="Arial" w:hAnsi="Arial"/>
          <w:b w:val="false"/>
          <w:bCs w:val="false"/>
          <w:color w:val="2C2218"/>
          <w:sz w:val="20"/>
          <w:szCs w:val="20"/>
        </w:rPr>
        <w:t xml:space="preserve"/>
      </w:r>
    </w:p>
    <w:p>
      <w:pPr>
        <w:pStyle w:val="Heading1"/>
      </w:pPr>
      <w:r>
        <w:t xml:space="preserve">1. Purpose</w:t>
      </w:r>
    </w:p>
    <w:p>
      <w:pPr>
        <w:spacing w:after="240"/>
      </w:pPr>
      <w:r>
        <w:rPr>
          <w:rFonts w:ascii="Arial" w:cs="Arial" w:eastAsia="Arial" w:hAnsi="Arial"/>
          <w:b w:val="false"/>
          <w:bCs w:val="false"/>
          <w:color w:val="2C2218"/>
          <w:sz w:val="20"/>
          <w:szCs w:val="20"/>
        </w:rPr>
        <w:t xml:space="preserve">This Standard Operating Procedure establishes the recipe, preparation method, food safety protocols, and quality standards for producing Asian Inspired Ginger Pickled Carrots at commissary scale. This product is designed for use across both catering services and grab-and-go retail lines, supporting the kitchen’s mission of maximizing donated ingredient utilization while maintaining consistent quality and food safety compliance.</w:t>
      </w:r>
    </w:p>
    <w:p>
      <w:pPr>
        <w:pStyle w:val="Heading1"/>
      </w:pPr>
      <w:r>
        <w:t xml:space="preserve">2. Yield &amp;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Batch Yield</w:t>
            </w:r>
          </w:p>
        </w:tc>
        <w:tc>
          <w:tcPr>
            <w:tcW w:type="dxa" w:w="234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Prep Time</w:t>
            </w:r>
          </w:p>
        </w:tc>
        <w:tc>
          <w:tcPr>
            <w:tcW w:type="dxa" w:w="234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Pickle Time</w:t>
            </w:r>
          </w:p>
        </w:tc>
        <w:tc>
          <w:tcPr>
            <w:tcW w:type="dxa" w:w="234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Shelf Life</w:t>
            </w:r>
          </w:p>
        </w:tc>
      </w:tr>
      <w:tr>
        <w:tc>
          <w:tcPr>
            <w:tcW w:type="dxa" w:w="234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Approx. 1 gallon (8 pint jars)</w:t>
            </w:r>
          </w:p>
        </w:tc>
        <w:tc>
          <w:tcPr>
            <w:tcW w:type="dxa" w:w="234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30–45 minutes</w:t>
            </w:r>
          </w:p>
        </w:tc>
        <w:tc>
          <w:tcPr>
            <w:tcW w:type="dxa" w:w="234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Minimum 72 hours</w:t>
            </w:r>
          </w:p>
        </w:tc>
        <w:tc>
          <w:tcPr>
            <w:tcW w:type="dxa" w:w="234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Up to 1 month (refrigerated)</w:t>
            </w:r>
          </w:p>
        </w:tc>
      </w:tr>
    </w:tbl>
    <w:p>
      <w:pPr>
        <w:spacing w:after="240"/>
      </w:pPr>
      <w:r>
        <w:rPr>
          <w:rFonts w:ascii="Arial" w:cs="Arial" w:eastAsia="Arial" w:hAnsi="Arial"/>
          <w:b w:val="false"/>
          <w:bCs w:val="false"/>
          <w:color w:val="2C2218"/>
          <w:sz w:val="20"/>
          <w:szCs w:val="20"/>
        </w:rPr>
        <w:t xml:space="preserve"/>
      </w:r>
    </w:p>
    <w:p>
      <w:pPr>
        <w:pStyle w:val="Heading1"/>
      </w:pPr>
      <w:r>
        <w:t xml:space="preserve">3. Ingredients</w:t>
      </w:r>
    </w:p>
    <w:p>
      <w:pPr>
        <w:spacing w:after="160"/>
      </w:pPr>
      <w:r>
        <w:rPr>
          <w:rFonts w:ascii="Arial" w:cs="Arial" w:eastAsia="Arial" w:hAnsi="Arial"/>
          <w:b w:val="false"/>
          <w:bCs w:val="false"/>
          <w:color w:val="2C2218"/>
          <w:sz w:val="20"/>
          <w:szCs w:val="20"/>
        </w:rPr>
        <w:t xml:space="preserve">The following quantities produce approximately 1 gallon of finished pickled carrots. Scale proportionally for larger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Quantity</w:t>
            </w:r>
          </w:p>
        </w:tc>
        <w:tc>
          <w:tcPr>
            <w:tcW w:type="dxa" w:w="32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Ingredient</w:t>
            </w:r>
          </w:p>
        </w:tc>
        <w:tc>
          <w:tcPr>
            <w:tcW w:type="dxa" w:w="476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Prep Notes</w:t>
            </w:r>
          </w:p>
        </w:tc>
      </w:tr>
      <w:tr>
        <w:tc>
          <w:tcPr>
            <w:tcW w:type="dxa" w:w="14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5 lbs</w:t>
            </w:r>
          </w:p>
        </w:tc>
        <w:tc>
          <w:tcPr>
            <w:tcW w:type="dxa" w:w="32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Fresh whole carrots</w:t>
            </w:r>
          </w:p>
        </w:tc>
        <w:tc>
          <w:tcPr>
            <w:tcW w:type="dxa" w:w="4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Peeled, julienned or cut into ¼-inch sticks</w:t>
            </w:r>
          </w:p>
        </w:tc>
      </w:tr>
      <w:tr>
        <w:tc>
          <w:tcPr>
            <w:tcW w:type="dxa" w:w="14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4 oz</w:t>
            </w:r>
          </w:p>
        </w:tc>
        <w:tc>
          <w:tcPr>
            <w:tcW w:type="dxa" w:w="32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Fresh ginger root</w:t>
            </w:r>
          </w:p>
        </w:tc>
        <w:tc>
          <w:tcPr>
            <w:tcW w:type="dxa" w:w="47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Peeled, sliced into thin coins</w:t>
            </w:r>
          </w:p>
        </w:tc>
      </w:tr>
      <w:tr>
        <w:tc>
          <w:tcPr>
            <w:tcW w:type="dxa" w:w="14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6 cloves</w:t>
            </w:r>
          </w:p>
        </w:tc>
        <w:tc>
          <w:tcPr>
            <w:tcW w:type="dxa" w:w="32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Fresh garlic</w:t>
            </w:r>
          </w:p>
        </w:tc>
        <w:tc>
          <w:tcPr>
            <w:tcW w:type="dxa" w:w="4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Peeled, thinly sliced or lightly smashed</w:t>
            </w:r>
          </w:p>
        </w:tc>
      </w:tr>
      <w:tr>
        <w:tc>
          <w:tcPr>
            <w:tcW w:type="dxa" w:w="14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1 tbsp</w:t>
            </w:r>
          </w:p>
        </w:tc>
        <w:tc>
          <w:tcPr>
            <w:tcW w:type="dxa" w:w="32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Red pepper flakes</w:t>
            </w:r>
          </w:p>
        </w:tc>
        <w:tc>
          <w:tcPr>
            <w:tcW w:type="dxa" w:w="47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Adjust to desired heat level</w:t>
            </w:r>
          </w:p>
        </w:tc>
      </w:tr>
      <w:tr>
        <w:tc>
          <w:tcPr>
            <w:tcW w:type="dxa" w:w="14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3 cups</w:t>
            </w:r>
          </w:p>
        </w:tc>
        <w:tc>
          <w:tcPr>
            <w:tcW w:type="dxa" w:w="32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White distilled vinegar (5% acidity)</w:t>
            </w:r>
          </w:p>
        </w:tc>
        <w:tc>
          <w:tcPr>
            <w:tcW w:type="dxa" w:w="4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Or rice vinegar for milder flavor</w:t>
            </w:r>
          </w:p>
        </w:tc>
      </w:tr>
      <w:tr>
        <w:tc>
          <w:tcPr>
            <w:tcW w:type="dxa" w:w="14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2 cups</w:t>
            </w:r>
          </w:p>
        </w:tc>
        <w:tc>
          <w:tcPr>
            <w:tcW w:type="dxa" w:w="32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Water</w:t>
            </w:r>
          </w:p>
        </w:tc>
        <w:tc>
          <w:tcPr>
            <w:tcW w:type="dxa" w:w="47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Filtered or clean tap water</w:t>
            </w:r>
          </w:p>
        </w:tc>
      </w:tr>
      <w:tr>
        <w:tc>
          <w:tcPr>
            <w:tcW w:type="dxa" w:w="14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½ cup</w:t>
            </w:r>
          </w:p>
        </w:tc>
        <w:tc>
          <w:tcPr>
            <w:tcW w:type="dxa" w:w="32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Honey (or granulated sugar)</w:t>
            </w:r>
          </w:p>
        </w:tc>
        <w:tc>
          <w:tcPr>
            <w:tcW w:type="dxa" w:w="4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Honey preferred for depth of flavor</w:t>
            </w:r>
          </w:p>
        </w:tc>
      </w:tr>
      <w:tr>
        <w:tc>
          <w:tcPr>
            <w:tcW w:type="dxa" w:w="14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2 tbsp</w:t>
            </w:r>
          </w:p>
        </w:tc>
        <w:tc>
          <w:tcPr>
            <w:tcW w:type="dxa" w:w="32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Kosher salt</w:t>
            </w:r>
          </w:p>
        </w:tc>
        <w:tc>
          <w:tcPr>
            <w:tcW w:type="dxa" w:w="47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Reduce if using table salt</w:t>
            </w:r>
          </w:p>
        </w:tc>
      </w:tr>
    </w:tbl>
    <w:p>
      <w:pPr>
        <w:spacing w:after="80"/>
      </w:pPr>
      <w:r>
        <w:rPr>
          <w:rFonts w:ascii="Arial" w:cs="Arial" w:eastAsia="Arial" w:hAnsi="Arial"/>
          <w:b w:val="false"/>
          <w:bCs w:val="false"/>
          <w:color w:val="2C2218"/>
          <w:sz w:val="20"/>
          <w:szCs w:val="20"/>
        </w:rPr>
        <w:t xml:space="preserve"/>
      </w:r>
    </w:p>
    <w:p>
      <w:pPr>
        <w:spacing w:after="240"/>
      </w:pPr>
      <w:r>
        <w:rPr>
          <w:rFonts w:ascii="Arial" w:cs="Arial" w:eastAsia="Arial" w:hAnsi="Arial"/>
          <w:b/>
          <w:bCs/>
          <w:color w:val="B8944E"/>
          <w:sz w:val="20"/>
          <w:szCs w:val="20"/>
        </w:rPr>
        <w:t xml:space="preserve">Scaling Note: </w:t>
      </w:r>
      <w:r>
        <w:rPr>
          <w:rFonts w:ascii="Arial" w:cs="Arial" w:eastAsia="Arial" w:hAnsi="Arial"/>
          <w:color w:val="2C2218"/>
          <w:sz w:val="20"/>
          <w:szCs w:val="20"/>
        </w:rPr>
        <w:t xml:space="preserve">For a 5-gallon batch (typical commissary production run), multiply all quantities by 5. Ensure brine-to-carrot ratio is maintained — all carrots must be fully submerged in brine.</w:t>
      </w:r>
    </w:p>
    <w:p>
      <w:pPr>
        <w:pStyle w:val="Heading1"/>
      </w:pPr>
      <w:r>
        <w:t xml:space="preserve">4. Required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Equipment</w:t>
            </w:r>
          </w:p>
        </w:tc>
        <w:tc>
          <w:tcPr>
            <w:tcW w:type="dxa" w:w="586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Notes</w:t>
            </w:r>
          </w:p>
        </w:tc>
      </w:tr>
      <w:tr>
        <w:tc>
          <w:tcPr>
            <w:tcW w:type="dxa" w:w="35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Commercial cutting boards</w:t>
            </w:r>
          </w:p>
        </w:tc>
        <w:tc>
          <w:tcPr>
            <w:tcW w:type="dxa" w:w="58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Dedicated to produce use; color-coded green preferred</w:t>
            </w:r>
          </w:p>
        </w:tc>
      </w:tr>
      <w:tr>
        <w:tc>
          <w:tcPr>
            <w:tcW w:type="dxa" w:w="35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Chef’s knives or mandoline slicer</w:t>
            </w:r>
          </w:p>
        </w:tc>
        <w:tc>
          <w:tcPr>
            <w:tcW w:type="dxa" w:w="58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For uniform julienne cuts; use cut-resistant gloves with mandoline</w:t>
            </w:r>
          </w:p>
        </w:tc>
      </w:tr>
      <w:tr>
        <w:tc>
          <w:tcPr>
            <w:tcW w:type="dxa" w:w="35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Large stockpot or saucepan</w:t>
            </w:r>
          </w:p>
        </w:tc>
        <w:tc>
          <w:tcPr>
            <w:tcW w:type="dxa" w:w="58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For heating brine</w:t>
            </w:r>
          </w:p>
        </w:tc>
      </w:tr>
      <w:tr>
        <w:tc>
          <w:tcPr>
            <w:tcW w:type="dxa" w:w="35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Sanitized glass mason jars with lids</w:t>
            </w:r>
          </w:p>
        </w:tc>
        <w:tc>
          <w:tcPr>
            <w:tcW w:type="dxa" w:w="58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Pint or quart size; inspect for cracks before use</w:t>
            </w:r>
          </w:p>
        </w:tc>
      </w:tr>
      <w:tr>
        <w:tc>
          <w:tcPr>
            <w:tcW w:type="dxa" w:w="35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Measuring cups and spoons</w:t>
            </w:r>
          </w:p>
        </w:tc>
        <w:tc>
          <w:tcPr>
            <w:tcW w:type="dxa" w:w="58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Standardized, calibrated</w:t>
            </w:r>
          </w:p>
        </w:tc>
      </w:tr>
      <w:tr>
        <w:tc>
          <w:tcPr>
            <w:tcW w:type="dxa" w:w="35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Ladle and tongs</w:t>
            </w:r>
          </w:p>
        </w:tc>
        <w:tc>
          <w:tcPr>
            <w:tcW w:type="dxa" w:w="58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For transferring carrots and pouring hot brine</w:t>
            </w:r>
          </w:p>
        </w:tc>
      </w:tr>
      <w:tr>
        <w:tc>
          <w:tcPr>
            <w:tcW w:type="dxa" w:w="35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Food-safe gloves</w:t>
            </w:r>
          </w:p>
        </w:tc>
        <w:tc>
          <w:tcPr>
            <w:tcW w:type="dxa" w:w="58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Required during all handling</w:t>
            </w:r>
          </w:p>
        </w:tc>
      </w:tr>
      <w:tr>
        <w:tc>
          <w:tcPr>
            <w:tcW w:type="dxa" w:w="35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Thermometer</w:t>
            </w:r>
          </w:p>
        </w:tc>
        <w:tc>
          <w:tcPr>
            <w:tcW w:type="dxa" w:w="58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To verify brine temperature</w:t>
            </w:r>
          </w:p>
        </w:tc>
      </w:tr>
      <w:tr>
        <w:tc>
          <w:tcPr>
            <w:tcW w:type="dxa" w:w="35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Labels and markers</w:t>
            </w:r>
          </w:p>
        </w:tc>
        <w:tc>
          <w:tcPr>
            <w:tcW w:type="dxa" w:w="58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For date, batch ID, and contents</w:t>
            </w:r>
          </w:p>
        </w:tc>
      </w:tr>
    </w:tbl>
    <w:p>
      <w:pPr>
        <w:spacing w:after="240"/>
      </w:pPr>
      <w:r>
        <w:rPr>
          <w:rFonts w:ascii="Arial" w:cs="Arial" w:eastAsia="Arial" w:hAnsi="Arial"/>
          <w:b w:val="false"/>
          <w:bCs w:val="false"/>
          <w:color w:val="2C2218"/>
          <w:sz w:val="20"/>
          <w:szCs w:val="20"/>
        </w:rPr>
        <w:t xml:space="preserve"/>
      </w:r>
    </w:p>
    <w:p>
      <w:r>
        <w:br w:type="page"/>
      </w:r>
    </w:p>
    <w:p>
      <w:pPr>
        <w:pStyle w:val="Heading1"/>
      </w:pPr>
      <w:r>
        <w:t xml:space="preserve">5. Preparation Procedure</w:t>
      </w:r>
    </w:p>
    <w:p>
      <w:pPr>
        <w:pStyle w:val="Heading2"/>
      </w:pPr>
      <w:r>
        <w:t xml:space="preserve">5.1 Workspace Setup</w:t>
      </w:r>
    </w:p>
    <w:p>
      <w:pPr>
        <w:pStyle w:val="ListParagraph"/>
        <w:numPr>
          <w:ilvl w:val="0"/>
          <w:numId w:val="2"/>
        </w:numPr>
      </w:pPr>
      <w:r>
        <w:rPr>
          <w:rFonts w:ascii="Arial" w:cs="Arial" w:eastAsia="Arial" w:hAnsi="Arial"/>
          <w:color w:val="2C2218"/>
          <w:sz w:val="20"/>
          <w:szCs w:val="20"/>
        </w:rPr>
        <w:t xml:space="preserve">Sanitize all work surfaces, cutting boards, knives, and equipment per kitchen sanitation SOP.</w:t>
      </w:r>
    </w:p>
    <w:p>
      <w:pPr>
        <w:pStyle w:val="ListParagraph"/>
        <w:numPr>
          <w:ilvl w:val="0"/>
          <w:numId w:val="2"/>
        </w:numPr>
      </w:pPr>
      <w:r>
        <w:rPr>
          <w:rFonts w:ascii="Arial" w:cs="Arial" w:eastAsia="Arial" w:hAnsi="Arial"/>
          <w:color w:val="2C2218"/>
          <w:sz w:val="20"/>
          <w:szCs w:val="20"/>
        </w:rPr>
        <w:t xml:space="preserve">Wash and sanitize all mason jars and lids. Inspect jars for cracks or chips and discard any that are damaged.</w:t>
      </w:r>
    </w:p>
    <w:p>
      <w:pPr>
        <w:pStyle w:val="ListParagraph"/>
        <w:numPr>
          <w:ilvl w:val="0"/>
          <w:numId w:val="2"/>
        </w:numPr>
      </w:pPr>
      <w:r>
        <w:rPr>
          <w:rFonts w:ascii="Arial" w:cs="Arial" w:eastAsia="Arial" w:hAnsi="Arial"/>
          <w:color w:val="2C2218"/>
          <w:sz w:val="20"/>
          <w:szCs w:val="20"/>
        </w:rPr>
        <w:t xml:space="preserve">Gather and stage all ingredients and equipment at the prep station.</w:t>
      </w:r>
    </w:p>
    <w:p>
      <w:pPr>
        <w:pStyle w:val="ListParagraph"/>
        <w:numPr>
          <w:ilvl w:val="0"/>
          <w:numId w:val="2"/>
        </w:numPr>
      </w:pPr>
      <w:r>
        <w:rPr>
          <w:rFonts w:ascii="Arial" w:cs="Arial" w:eastAsia="Arial" w:hAnsi="Arial"/>
          <w:color w:val="2C2218"/>
          <w:sz w:val="20"/>
          <w:szCs w:val="20"/>
        </w:rPr>
        <w:t xml:space="preserve">Ensure team members are wearing food-safe gloves and hair restraints.</w:t>
      </w:r>
    </w:p>
    <w:p>
      <w:pPr>
        <w:spacing w:after="160"/>
      </w:pPr>
      <w:r>
        <w:rPr>
          <w:rFonts w:ascii="Arial" w:cs="Arial" w:eastAsia="Arial" w:hAnsi="Arial"/>
          <w:b w:val="false"/>
          <w:bCs w:val="false"/>
          <w:color w:val="2C2218"/>
          <w:sz w:val="20"/>
          <w:szCs w:val="20"/>
        </w:rPr>
        <w:t xml:space="preserve"/>
      </w:r>
    </w:p>
    <w:p>
      <w:pPr>
        <w:pStyle w:val="Heading2"/>
      </w:pPr>
      <w:r>
        <w:t xml:space="preserve">5.2 Carrot Preparation</w:t>
      </w:r>
    </w:p>
    <w:p>
      <w:pPr>
        <w:pStyle w:val="ListParagraph"/>
        <w:numPr>
          <w:ilvl w:val="0"/>
          <w:numId w:val="3"/>
        </w:numPr>
      </w:pPr>
      <w:r>
        <w:rPr>
          <w:rFonts w:ascii="Arial" w:cs="Arial" w:eastAsia="Arial" w:hAnsi="Arial"/>
          <w:color w:val="2C2218"/>
          <w:sz w:val="20"/>
          <w:szCs w:val="20"/>
        </w:rPr>
        <w:t xml:space="preserve">Wash all carrots thoroughly under cold running water, scrubbing to remove any soil.</w:t>
      </w:r>
    </w:p>
    <w:p>
      <w:pPr>
        <w:pStyle w:val="ListParagraph"/>
        <w:numPr>
          <w:ilvl w:val="0"/>
          <w:numId w:val="3"/>
        </w:numPr>
      </w:pPr>
      <w:r>
        <w:rPr>
          <w:rFonts w:ascii="Arial" w:cs="Arial" w:eastAsia="Arial" w:hAnsi="Arial"/>
          <w:color w:val="2C2218"/>
          <w:sz w:val="20"/>
          <w:szCs w:val="20"/>
        </w:rPr>
        <w:t xml:space="preserve">Peel carrots and trim ends. Discard any carrots with soft spots, excessive blemishes, or signs of decay.</w:t>
      </w:r>
    </w:p>
    <w:p>
      <w:pPr>
        <w:pStyle w:val="ListParagraph"/>
        <w:numPr>
          <w:ilvl w:val="0"/>
          <w:numId w:val="3"/>
        </w:numPr>
      </w:pPr>
      <w:r>
        <w:rPr>
          <w:rFonts w:ascii="Arial" w:cs="Arial" w:eastAsia="Arial" w:hAnsi="Arial"/>
          <w:color w:val="2C2218"/>
          <w:sz w:val="20"/>
          <w:szCs w:val="20"/>
        </w:rPr>
        <w:t xml:space="preserve">Cut carrots into uniform sticks, approximately 3–4 inches long and ¼-inch thick. A mandoline slicer with a julienne blade is recommended for consistency and speed. </w:t>
      </w:r>
      <w:r>
        <w:rPr>
          <w:rFonts w:ascii="Arial" w:cs="Arial" w:eastAsia="Arial" w:hAnsi="Arial"/>
          <w:b/>
          <w:bCs/>
          <w:color w:val="2C2218"/>
          <w:sz w:val="20"/>
          <w:szCs w:val="20"/>
        </w:rPr>
        <w:t xml:space="preserve">Use cut-resistant gloves when operating the mandoline.</w:t>
      </w:r>
    </w:p>
    <w:p>
      <w:pPr>
        <w:pStyle w:val="ListParagraph"/>
        <w:numPr>
          <w:ilvl w:val="0"/>
          <w:numId w:val="3"/>
        </w:numPr>
      </w:pPr>
      <w:r>
        <w:rPr>
          <w:rFonts w:ascii="Arial" w:cs="Arial" w:eastAsia="Arial" w:hAnsi="Arial"/>
          <w:color w:val="2C2218"/>
          <w:sz w:val="20"/>
          <w:szCs w:val="20"/>
        </w:rPr>
        <w:t xml:space="preserve">Ensure all carrot pieces are similar in size for even pickling and consistent presentation.</w:t>
      </w:r>
    </w:p>
    <w:p>
      <w:pPr>
        <w:spacing w:after="160"/>
      </w:pPr>
      <w:r>
        <w:rPr>
          <w:rFonts w:ascii="Arial" w:cs="Arial" w:eastAsia="Arial" w:hAnsi="Arial"/>
          <w:b w:val="false"/>
          <w:bCs w:val="false"/>
          <w:color w:val="2C2218"/>
          <w:sz w:val="20"/>
          <w:szCs w:val="20"/>
        </w:rPr>
        <w:t xml:space="preserve"/>
      </w:r>
    </w:p>
    <w:p>
      <w:pPr>
        <w:pStyle w:val="Heading2"/>
      </w:pPr>
      <w:r>
        <w:t xml:space="preserve">5.3 Aromatics Preparation</w:t>
      </w:r>
    </w:p>
    <w:p>
      <w:pPr>
        <w:pStyle w:val="ListParagraph"/>
        <w:numPr>
          <w:ilvl w:val="0"/>
          <w:numId w:val="4"/>
        </w:numPr>
      </w:pPr>
      <w:r>
        <w:rPr>
          <w:rFonts w:ascii="Arial" w:cs="Arial" w:eastAsia="Arial" w:hAnsi="Arial"/>
          <w:color w:val="2C2218"/>
          <w:sz w:val="20"/>
          <w:szCs w:val="20"/>
        </w:rPr>
        <w:t xml:space="preserve">Peel ginger root and slice into thin coins (approximately ⅛-inch thick).</w:t>
      </w:r>
    </w:p>
    <w:p>
      <w:pPr>
        <w:pStyle w:val="ListParagraph"/>
        <w:numPr>
          <w:ilvl w:val="0"/>
          <w:numId w:val="4"/>
        </w:numPr>
      </w:pPr>
      <w:r>
        <w:rPr>
          <w:rFonts w:ascii="Arial" w:cs="Arial" w:eastAsia="Arial" w:hAnsi="Arial"/>
          <w:color w:val="2C2218"/>
          <w:sz w:val="20"/>
          <w:szCs w:val="20"/>
        </w:rPr>
        <w:t xml:space="preserve">Peel garlic cloves and slice thinly, or lightly smash with the flat side of a knife to release oils.</w:t>
      </w:r>
    </w:p>
    <w:p>
      <w:pPr>
        <w:pStyle w:val="ListParagraph"/>
        <w:numPr>
          <w:ilvl w:val="0"/>
          <w:numId w:val="4"/>
        </w:numPr>
      </w:pPr>
      <w:r>
        <w:rPr>
          <w:rFonts w:ascii="Arial" w:cs="Arial" w:eastAsia="Arial" w:hAnsi="Arial"/>
          <w:color w:val="2C2218"/>
          <w:sz w:val="20"/>
          <w:szCs w:val="20"/>
        </w:rPr>
        <w:t xml:space="preserve">Measure red pepper flakes.</w:t>
      </w:r>
    </w:p>
    <w:p>
      <w:pPr>
        <w:spacing w:after="160"/>
      </w:pPr>
      <w:r>
        <w:rPr>
          <w:rFonts w:ascii="Arial" w:cs="Arial" w:eastAsia="Arial" w:hAnsi="Arial"/>
          <w:b w:val="false"/>
          <w:bCs w:val="false"/>
          <w:color w:val="2C2218"/>
          <w:sz w:val="20"/>
          <w:szCs w:val="20"/>
        </w:rPr>
        <w:t xml:space="preserve"/>
      </w:r>
    </w:p>
    <w:p>
      <w:pPr>
        <w:pStyle w:val="Heading2"/>
      </w:pPr>
      <w:r>
        <w:t xml:space="preserve">5.4 Jar Packing</w:t>
      </w:r>
    </w:p>
    <w:p>
      <w:pPr>
        <w:spacing w:after="160"/>
      </w:pPr>
      <w:r>
        <w:rPr>
          <w:rFonts w:ascii="Arial" w:cs="Arial" w:eastAsia="Arial" w:hAnsi="Arial"/>
          <w:b w:val="false"/>
          <w:bCs w:val="false"/>
          <w:color w:val="2C2218"/>
          <w:sz w:val="20"/>
          <w:szCs w:val="20"/>
        </w:rPr>
        <w:t xml:space="preserve">Distribute the aromatics evenly across the sanitized jars. Place ginger coins, garlic slices, and red pepper flakes at the bottom of each jar. Pack carrot sticks tightly and vertically into jars, leaving approximately ½ inch of headspace from the top.</w:t>
      </w:r>
    </w:p>
    <w:p>
      <w:pPr>
        <w:pStyle w:val="Heading2"/>
      </w:pPr>
      <w:r>
        <w:t xml:space="preserve">5.5 Brine Preparation &amp; Pouring</w:t>
      </w:r>
    </w:p>
    <w:p>
      <w:pPr>
        <w:spacing w:after="120"/>
      </w:pPr>
      <w:r>
        <w:rPr>
          <w:rFonts w:ascii="Arial" w:cs="Arial" w:eastAsia="Arial" w:hAnsi="Arial"/>
          <w:b w:val="false"/>
          <w:bCs w:val="false"/>
          <w:color w:val="2C2218"/>
          <w:sz w:val="20"/>
          <w:szCs w:val="20"/>
        </w:rPr>
        <w:t xml:space="preserve">In a large stockpot, combine the vinegar, water, honey (or sugar), and kosher salt. Bring the mixture to a full rolling boil over high heat, stirring to ensure the honey and salt are completely dissolved. Verify the temperature reaches 212°F with a calibrated thermometer.</w:t>
      </w:r>
    </w:p>
    <w:p>
      <w:pPr>
        <w:spacing w:after="120"/>
      </w:pPr>
      <w:r>
        <w:rPr>
          <w:rFonts w:ascii="Arial" w:cs="Arial" w:eastAsia="Arial" w:hAnsi="Arial"/>
          <w:b/>
          <w:bCs/>
          <w:color w:val="A0522D"/>
          <w:sz w:val="20"/>
          <w:szCs w:val="20"/>
        </w:rPr>
        <w:t xml:space="preserve">CRITICAL: </w:t>
      </w:r>
      <w:r>
        <w:rPr>
          <w:rFonts w:ascii="Arial" w:cs="Arial" w:eastAsia="Arial" w:hAnsi="Arial"/>
          <w:color w:val="2C2218"/>
          <w:sz w:val="20"/>
          <w:szCs w:val="20"/>
        </w:rPr>
        <w:t xml:space="preserve">Carefully ladle or pour the hot brine over the packed carrots within 5 minutes of reaching a boil. Fill each jar until the carrots are fully submerged with approximately ¼ inch of brine above the top of the carrots. Ensure no carrot pieces are exposed above the brine line.</w:t>
      </w:r>
    </w:p>
    <w:p>
      <w:pPr>
        <w:spacing w:after="240"/>
      </w:pPr>
      <w:r>
        <w:rPr>
          <w:rFonts w:ascii="Arial" w:cs="Arial" w:eastAsia="Arial" w:hAnsi="Arial"/>
          <w:b w:val="false"/>
          <w:bCs w:val="false"/>
          <w:color w:val="2C2218"/>
          <w:sz w:val="20"/>
          <w:szCs w:val="20"/>
        </w:rPr>
        <w:t xml:space="preserve">Wipe jar rims clean with a damp sanitized cloth. Secure lids and allow jars to cool to room temperature on the counter (approximately 1–2 hours). Do not refrigerate while still hot.</w:t>
      </w:r>
    </w:p>
    <w:p>
      <w:pPr>
        <w:pStyle w:val="Heading1"/>
      </w:pPr>
      <w:r>
        <w:t xml:space="preserve">6. Cooling, Labeling &amp; Storage</w:t>
      </w:r>
    </w:p>
    <w:p>
      <w:pPr>
        <w:pStyle w:val="ListParagraph"/>
        <w:numPr>
          <w:ilvl w:val="0"/>
          <w:numId w:val="5"/>
        </w:numPr>
      </w:pPr>
      <w:r>
        <w:rPr>
          <w:rFonts w:ascii="Arial" w:cs="Arial" w:eastAsia="Arial" w:hAnsi="Arial"/>
          <w:color w:val="2C2218"/>
          <w:sz w:val="20"/>
          <w:szCs w:val="20"/>
        </w:rPr>
        <w:t xml:space="preserve">Once jars have reached room temperature, transfer immediately to the walk-in cooler or refrigeration unit (34–40°F).</w:t>
      </w:r>
    </w:p>
    <w:p>
      <w:pPr>
        <w:pStyle w:val="ListParagraph"/>
        <w:numPr>
          <w:ilvl w:val="0"/>
          <w:numId w:val="5"/>
        </w:numPr>
      </w:pPr>
      <w:r>
        <w:rPr>
          <w:rFonts w:ascii="Arial" w:cs="Arial" w:eastAsia="Arial" w:hAnsi="Arial"/>
          <w:color w:val="2C2218"/>
          <w:sz w:val="20"/>
          <w:szCs w:val="20"/>
        </w:rPr>
        <w:t xml:space="preserve">Label each jar with: Product Name, Batch Date, Use-By Date (30 days from production), Preparer Initials, and Batch ID number.</w:t>
      </w:r>
    </w:p>
    <w:p>
      <w:pPr>
        <w:pStyle w:val="ListParagraph"/>
        <w:numPr>
          <w:ilvl w:val="0"/>
          <w:numId w:val="5"/>
        </w:numPr>
      </w:pPr>
      <w:r>
        <w:rPr>
          <w:rFonts w:ascii="Arial" w:cs="Arial" w:eastAsia="Arial" w:hAnsi="Arial"/>
          <w:color w:val="2C2218"/>
          <w:sz w:val="20"/>
          <w:szCs w:val="20"/>
        </w:rPr>
        <w:t xml:space="preserve">Store jars upright on designated shelving. Follow FIFO (First In, First Out) rotation.</w:t>
      </w:r>
    </w:p>
    <w:p>
      <w:pPr>
        <w:pStyle w:val="ListParagraph"/>
        <w:numPr>
          <w:ilvl w:val="0"/>
          <w:numId w:val="5"/>
        </w:numPr>
      </w:pPr>
      <w:r>
        <w:rPr>
          <w:rFonts w:ascii="Arial" w:cs="Arial" w:eastAsia="Arial" w:hAnsi="Arial"/>
          <w:color w:val="2C2218"/>
          <w:sz w:val="20"/>
          <w:szCs w:val="20"/>
        </w:rPr>
        <w:t xml:space="preserve">Pickled carrots require a minimum of 72 hours of refrigerated pickling before they are ready for service. Best flavor develops between days 3 and 14.</w:t>
      </w:r>
    </w:p>
    <w:p>
      <w:pPr>
        <w:pStyle w:val="ListParagraph"/>
        <w:numPr>
          <w:ilvl w:val="0"/>
          <w:numId w:val="5"/>
        </w:numPr>
      </w:pPr>
      <w:r>
        <w:rPr>
          <w:rFonts w:ascii="Arial" w:cs="Arial" w:eastAsia="Arial" w:hAnsi="Arial"/>
          <w:color w:val="2C2218"/>
          <w:sz w:val="20"/>
          <w:szCs w:val="20"/>
        </w:rPr>
        <w:t xml:space="preserve">Discard any jars where the brine appears cloudy, has developed an off-odor, or shows any sign of mold.</w:t>
      </w:r>
    </w:p>
    <w:p>
      <w:pPr>
        <w:spacing w:after="240"/>
      </w:pPr>
      <w:r>
        <w:rPr>
          <w:rFonts w:ascii="Arial" w:cs="Arial" w:eastAsia="Arial" w:hAnsi="Arial"/>
          <w:b w:val="false"/>
          <w:bCs w:val="false"/>
          <w:color w:val="2C2218"/>
          <w:sz w:val="20"/>
          <w:szCs w:val="20"/>
        </w:rPr>
        <w:t xml:space="preserve"/>
      </w:r>
    </w:p>
    <w:p>
      <w:pPr>
        <w:pStyle w:val="Heading1"/>
      </w:pPr>
      <w:r>
        <w:t xml:space="preserve">7. Food Safety &amp; HACCP Controls</w:t>
      </w:r>
    </w:p>
    <w:p>
      <w:pPr>
        <w:spacing w:after="160"/>
      </w:pPr>
      <w:r>
        <w:rPr>
          <w:rFonts w:ascii="Arial" w:cs="Arial" w:eastAsia="Arial" w:hAnsi="Arial"/>
          <w:b w:val="false"/>
          <w:bCs w:val="false"/>
          <w:color w:val="2C2218"/>
          <w:sz w:val="20"/>
          <w:szCs w:val="20"/>
        </w:rPr>
        <w:t xml:space="preserve">The following critical control points must be observed and documented for every batch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Control Point</w:t>
            </w:r>
          </w:p>
        </w:tc>
        <w:tc>
          <w:tcPr>
            <w:tcW w:type="dxa" w:w="576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Procedure</w:t>
            </w:r>
          </w:p>
        </w:tc>
        <w:tc>
          <w:tcPr>
            <w:tcW w:type="dxa" w:w="18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Documentation</w:t>
            </w:r>
          </w:p>
        </w:tc>
      </w:tr>
      <w:tr>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Receiving</w:t>
            </w:r>
          </w:p>
        </w:tc>
        <w:tc>
          <w:tcPr>
            <w:tcW w:type="dxa" w:w="5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Inspect carrots for freshness, firmness, and absence of mold or soft spots. Reject any product below 41°F threshold upon delivery.</w:t>
            </w:r>
          </w:p>
        </w:tc>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Receiving log</w:t>
            </w:r>
          </w:p>
        </w:tc>
      </w:tr>
      <w:tr>
        <w:tc>
          <w:tcPr>
            <w:tcW w:type="dxa" w:w="18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Cold Storage</w:t>
            </w:r>
          </w:p>
        </w:tc>
        <w:tc>
          <w:tcPr>
            <w:tcW w:type="dxa" w:w="57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Store raw carrots at 34–40°F prior to processing. Use within 5 days of receiving for optimal quality.</w:t>
            </w:r>
          </w:p>
        </w:tc>
        <w:tc>
          <w:tcPr>
            <w:tcW w:type="dxa" w:w="18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Cooler temp log</w:t>
            </w:r>
          </w:p>
        </w:tc>
      </w:tr>
      <w:tr>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Preparation</w:t>
            </w:r>
          </w:p>
        </w:tc>
        <w:tc>
          <w:tcPr>
            <w:tcW w:type="dxa" w:w="5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Wash all carrots thoroughly under cold running water. Sanitize all cutting surfaces, equipment, and jars before use.</w:t>
            </w:r>
          </w:p>
        </w:tc>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Prep checklist</w:t>
            </w:r>
          </w:p>
        </w:tc>
      </w:tr>
      <w:tr>
        <w:tc>
          <w:tcPr>
            <w:tcW w:type="dxa" w:w="18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Brine Preparation</w:t>
            </w:r>
          </w:p>
        </w:tc>
        <w:tc>
          <w:tcPr>
            <w:tcW w:type="dxa" w:w="57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Bring brine to a full rolling boil (212°F). Verify temperature with calibrated thermometer before pouring over carrots.</w:t>
            </w:r>
          </w:p>
        </w:tc>
        <w:tc>
          <w:tcPr>
            <w:tcW w:type="dxa" w:w="18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Temp verification log</w:t>
            </w:r>
          </w:p>
        </w:tc>
      </w:tr>
      <w:tr>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Jarring &amp; Cooling</w:t>
            </w:r>
          </w:p>
        </w:tc>
        <w:tc>
          <w:tcPr>
            <w:tcW w:type="dxa" w:w="5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Pour hot brine over carrots within 5 minutes of boiling. Ensure all carrots are fully submerged. Cool jars to room temperature before refrigerating.</w:t>
            </w:r>
          </w:p>
        </w:tc>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Batch log</w:t>
            </w:r>
          </w:p>
        </w:tc>
      </w:tr>
      <w:tr>
        <w:tc>
          <w:tcPr>
            <w:tcW w:type="dxa" w:w="18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Storage &amp; Labeling</w:t>
            </w:r>
          </w:p>
        </w:tc>
        <w:tc>
          <w:tcPr>
            <w:tcW w:type="dxa" w:w="57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Refrigerate immediately after cooling. Label with product name, batch date, use-by date (30 days), and preparer initials.</w:t>
            </w:r>
          </w:p>
        </w:tc>
        <w:tc>
          <w:tcPr>
            <w:tcW w:type="dxa" w:w="18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Label verification</w:t>
            </w:r>
          </w:p>
        </w:tc>
      </w:tr>
      <w:tr>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Service / Distribution</w:t>
            </w:r>
          </w:p>
        </w:tc>
        <w:tc>
          <w:tcPr>
            <w:tcW w:type="dxa" w:w="5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Use clean, sanitized utensils for portioning. Never return unused product to the original jar. Discard if brine appears cloudy, develops off-odor, or shows mold.</w:t>
            </w:r>
          </w:p>
        </w:tc>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Waste log</w:t>
            </w:r>
          </w:p>
        </w:tc>
      </w:tr>
    </w:tbl>
    <w:p>
      <w:pPr>
        <w:spacing w:after="240"/>
      </w:pPr>
      <w:r>
        <w:rPr>
          <w:rFonts w:ascii="Arial" w:cs="Arial" w:eastAsia="Arial" w:hAnsi="Arial"/>
          <w:b w:val="false"/>
          <w:bCs w:val="false"/>
          <w:color w:val="2C2218"/>
          <w:sz w:val="20"/>
          <w:szCs w:val="20"/>
        </w:rPr>
        <w:t xml:space="preserve"/>
      </w:r>
    </w:p>
    <w:p>
      <w:pPr>
        <w:pStyle w:val="Heading1"/>
      </w:pPr>
      <w:r>
        <w:t xml:space="preserve">8. Quality Standards</w:t>
      </w:r>
    </w:p>
    <w:p>
      <w:pPr>
        <w:spacing w:after="120"/>
      </w:pPr>
      <w:r>
        <w:rPr>
          <w:rFonts w:ascii="Arial" w:cs="Arial" w:eastAsia="Arial" w:hAnsi="Arial"/>
          <w:b w:val="false"/>
          <w:bCs w:val="false"/>
          <w:color w:val="2C2218"/>
          <w:sz w:val="20"/>
          <w:szCs w:val="20"/>
        </w:rPr>
        <w:t xml:space="preserve">Each batch should be evaluated against the following benchmarks before being approved for service or sale:</w:t>
      </w:r>
    </w:p>
    <w:p>
      <w:pPr>
        <w:spacing/>
      </w:pPr>
      <w:r>
        <w:rPr>
          <w:rFonts w:ascii="Arial" w:cs="Arial" w:eastAsia="Arial" w:hAnsi="Arial"/>
          <w:b/>
          <w:bCs/>
          <w:color w:val="B8944E"/>
          <w:sz w:val="20"/>
          <w:szCs w:val="20"/>
        </w:rPr>
        <w:t xml:space="preserve">Appearance: </w:t>
      </w:r>
      <w:r>
        <w:rPr>
          <w:rFonts w:ascii="Arial" w:cs="Arial" w:eastAsia="Arial" w:hAnsi="Arial"/>
          <w:color w:val="2C2218"/>
          <w:sz w:val="20"/>
          <w:szCs w:val="20"/>
        </w:rPr>
        <w:t xml:space="preserve">Bright orange carrot sticks with visible ginger coins and garlic slices. Brine should be clear to slightly golden.</w:t>
      </w:r>
    </w:p>
    <w:p>
      <w:pPr>
        <w:spacing/>
      </w:pPr>
      <w:r>
        <w:rPr>
          <w:rFonts w:ascii="Arial" w:cs="Arial" w:eastAsia="Arial" w:hAnsi="Arial"/>
          <w:b/>
          <w:bCs/>
          <w:color w:val="B8944E"/>
          <w:sz w:val="20"/>
          <w:szCs w:val="20"/>
        </w:rPr>
        <w:t xml:space="preserve">Texture: </w:t>
      </w:r>
      <w:r>
        <w:rPr>
          <w:rFonts w:ascii="Arial" w:cs="Arial" w:eastAsia="Arial" w:hAnsi="Arial"/>
          <w:color w:val="2C2218"/>
          <w:sz w:val="20"/>
          <w:szCs w:val="20"/>
        </w:rPr>
        <w:t xml:space="preserve">Crisp-tender with a satisfying crunch. Carrots should not be mushy or rubbery.</w:t>
      </w:r>
    </w:p>
    <w:p>
      <w:pPr>
        <w:spacing/>
      </w:pPr>
      <w:r>
        <w:rPr>
          <w:rFonts w:ascii="Arial" w:cs="Arial" w:eastAsia="Arial" w:hAnsi="Arial"/>
          <w:b/>
          <w:bCs/>
          <w:color w:val="B8944E"/>
          <w:sz w:val="20"/>
          <w:szCs w:val="20"/>
        </w:rPr>
        <w:t xml:space="preserve">Flavor Profile: </w:t>
      </w:r>
      <w:r>
        <w:rPr>
          <w:rFonts w:ascii="Arial" w:cs="Arial" w:eastAsia="Arial" w:hAnsi="Arial"/>
          <w:color w:val="2C2218"/>
          <w:sz w:val="20"/>
          <w:szCs w:val="20"/>
        </w:rPr>
        <w:t xml:space="preserve">Tangy and bright from the vinegar, with warm ginger heat, subtle garlic depth, and a gentle sweetness from honey. Mild chili warmth on the finish.</w:t>
      </w:r>
    </w:p>
    <w:p>
      <w:pPr>
        <w:spacing/>
      </w:pPr>
      <w:r>
        <w:rPr>
          <w:rFonts w:ascii="Arial" w:cs="Arial" w:eastAsia="Arial" w:hAnsi="Arial"/>
          <w:b/>
          <w:bCs/>
          <w:color w:val="B8944E"/>
          <w:sz w:val="20"/>
          <w:szCs w:val="20"/>
        </w:rPr>
        <w:t xml:space="preserve">Aroma: </w:t>
      </w:r>
      <w:r>
        <w:rPr>
          <w:rFonts w:ascii="Arial" w:cs="Arial" w:eastAsia="Arial" w:hAnsi="Arial"/>
          <w:color w:val="2C2218"/>
          <w:sz w:val="20"/>
          <w:szCs w:val="20"/>
        </w:rPr>
        <w:t xml:space="preserve">Fresh, aromatic ginger with clean vinegar notes. No off-odors or fermentation smell.</w:t>
      </w:r>
    </w:p>
    <w:p>
      <w:pPr>
        <w:spacing w:after="240"/>
      </w:pPr>
      <w:r>
        <w:rPr>
          <w:rFonts w:ascii="Arial" w:cs="Arial" w:eastAsia="Arial" w:hAnsi="Arial"/>
          <w:b w:val="false"/>
          <w:bCs w:val="false"/>
          <w:color w:val="2C2218"/>
          <w:sz w:val="20"/>
          <w:szCs w:val="20"/>
        </w:rPr>
        <w:t xml:space="preserve"/>
      </w:r>
    </w:p>
    <w:p>
      <w:pPr>
        <w:pStyle w:val="Heading1"/>
      </w:pPr>
      <w:r>
        <w:t xml:space="preserve">9. Menu Applications &amp; Cross-Utilization</w:t>
      </w:r>
    </w:p>
    <w:p>
      <w:pPr>
        <w:spacing w:after="160"/>
      </w:pPr>
      <w:r>
        <w:rPr>
          <w:rFonts w:ascii="Arial" w:cs="Arial" w:eastAsia="Arial" w:hAnsi="Arial"/>
          <w:b w:val="false"/>
          <w:bCs w:val="false"/>
          <w:color w:val="2C2218"/>
          <w:sz w:val="20"/>
          <w:szCs w:val="20"/>
        </w:rPr>
        <w:t xml:space="preserve">This product is designed to serve multiple menu items across both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Service Line</w:t>
            </w:r>
          </w:p>
        </w:tc>
        <w:tc>
          <w:tcPr>
            <w:tcW w:type="dxa" w:w="716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Applications</w:t>
            </w:r>
          </w:p>
        </w:tc>
      </w:tr>
      <w:tr>
        <w:tc>
          <w:tcPr>
            <w:tcW w:type="dxa" w:w="22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Grab-and-Go</w:t>
            </w:r>
          </w:p>
        </w:tc>
        <w:tc>
          <w:tcPr>
            <w:tcW w:type="dxa" w:w="71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Asian rice bowls, stir-fry bowls, bánh mì-style sandwiches, snack cups with dipping sauce, noodle salad cups</w:t>
            </w:r>
          </w:p>
        </w:tc>
      </w:tr>
      <w:tr>
        <w:tc>
          <w:tcPr>
            <w:tcW w:type="dxa" w:w="22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Catering</w:t>
            </w:r>
          </w:p>
        </w:tc>
        <w:tc>
          <w:tcPr>
            <w:tcW w:type="dxa" w:w="71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Grilled protein accompaniment, Asian-themed buffet condiment, spring roll filling component, charcuterie/appetizer boards</w:t>
            </w:r>
          </w:p>
        </w:tc>
      </w:tr>
      <w:tr>
        <w:tc>
          <w:tcPr>
            <w:tcW w:type="dxa" w:w="22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Cross-Utilization</w:t>
            </w:r>
          </w:p>
        </w:tc>
        <w:tc>
          <w:tcPr>
            <w:tcW w:type="dxa" w:w="71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Combine with coleslaw mix for Asian slaw; top egg roll in a bowl; garnish soups; add to lettuce wraps</w:t>
            </w:r>
          </w:p>
        </w:tc>
      </w:tr>
    </w:tbl>
    <w:p>
      <w:pPr>
        <w:spacing w:after="240"/>
      </w:pPr>
      <w:r>
        <w:rPr>
          <w:rFonts w:ascii="Arial" w:cs="Arial" w:eastAsia="Arial" w:hAnsi="Arial"/>
          <w:b w:val="false"/>
          <w:bCs w:val="false"/>
          <w:color w:val="2C2218"/>
          <w:sz w:val="20"/>
          <w:szCs w:val="20"/>
        </w:rPr>
        <w:t xml:space="preserve"/>
      </w:r>
    </w:p>
    <w:p>
      <w:pPr>
        <w:pStyle w:val="Heading1"/>
      </w:pPr>
      <w:r>
        <w:t xml:space="preserve">10. Approved Batch Variations</w:t>
      </w:r>
    </w:p>
    <w:p>
      <w:pPr>
        <w:spacing w:after="120"/>
      </w:pPr>
      <w:r>
        <w:rPr>
          <w:rFonts w:ascii="Arial" w:cs="Arial" w:eastAsia="Arial" w:hAnsi="Arial"/>
          <w:b w:val="false"/>
          <w:bCs w:val="false"/>
          <w:color w:val="2C2218"/>
          <w:sz w:val="20"/>
          <w:szCs w:val="20"/>
        </w:rPr>
        <w:t xml:space="preserve">The following variations are approved for production using this base recipe and SOP:</w:t>
      </w:r>
    </w:p>
    <w:p>
      <w:pPr>
        <w:spacing/>
      </w:pPr>
      <w:r>
        <w:rPr>
          <w:rFonts w:ascii="Arial" w:cs="Arial" w:eastAsia="Arial" w:hAnsi="Arial"/>
          <w:b/>
          <w:bCs/>
          <w:color w:val="B8944E"/>
          <w:sz w:val="20"/>
          <w:szCs w:val="20"/>
        </w:rPr>
        <w:t xml:space="preserve">Sesame-Ginger: </w:t>
      </w:r>
      <w:r>
        <w:rPr>
          <w:rFonts w:ascii="Arial" w:cs="Arial" w:eastAsia="Arial" w:hAnsi="Arial"/>
          <w:color w:val="2C2218"/>
          <w:sz w:val="20"/>
          <w:szCs w:val="20"/>
        </w:rPr>
        <w:t xml:space="preserve">Add 1 tablespoon of toasted sesame oil and 2 tablespoons of sesame seeds to the brine before pouring.</w:t>
      </w:r>
    </w:p>
    <w:p>
      <w:pPr>
        <w:spacing/>
      </w:pPr>
      <w:r>
        <w:rPr>
          <w:rFonts w:ascii="Arial" w:cs="Arial" w:eastAsia="Arial" w:hAnsi="Arial"/>
          <w:b/>
          <w:bCs/>
          <w:color w:val="B8944E"/>
          <w:sz w:val="20"/>
          <w:szCs w:val="20"/>
        </w:rPr>
        <w:t xml:space="preserve">Lemongrass-Ginger: </w:t>
      </w:r>
      <w:r>
        <w:rPr>
          <w:rFonts w:ascii="Arial" w:cs="Arial" w:eastAsia="Arial" w:hAnsi="Arial"/>
          <w:color w:val="2C2218"/>
          <w:sz w:val="20"/>
          <w:szCs w:val="20"/>
        </w:rPr>
        <w:t xml:space="preserve">Add 2–3 stalks of lemongrass (bruised and cut into 3-inch pieces) to the brine during boiling.</w:t>
      </w:r>
    </w:p>
    <w:p>
      <w:pPr>
        <w:spacing/>
      </w:pPr>
      <w:r>
        <w:rPr>
          <w:rFonts w:ascii="Arial" w:cs="Arial" w:eastAsia="Arial" w:hAnsi="Arial"/>
          <w:b/>
          <w:bCs/>
          <w:color w:val="B8944E"/>
          <w:sz w:val="20"/>
          <w:szCs w:val="20"/>
        </w:rPr>
        <w:t xml:space="preserve">Spicy Thai: </w:t>
      </w:r>
      <w:r>
        <w:rPr>
          <w:rFonts w:ascii="Arial" w:cs="Arial" w:eastAsia="Arial" w:hAnsi="Arial"/>
          <w:color w:val="2C2218"/>
          <w:sz w:val="20"/>
          <w:szCs w:val="20"/>
        </w:rPr>
        <w:t xml:space="preserve">Double the red pepper flakes and add 2–3 sliced Thai bird’s eye chilies per jar.</w:t>
      </w:r>
    </w:p>
    <w:p>
      <w:pPr>
        <w:spacing/>
      </w:pPr>
      <w:r>
        <w:rPr>
          <w:rFonts w:ascii="Arial" w:cs="Arial" w:eastAsia="Arial" w:hAnsi="Arial"/>
          <w:b/>
          <w:bCs/>
          <w:color w:val="B8944E"/>
          <w:sz w:val="20"/>
          <w:szCs w:val="20"/>
        </w:rPr>
        <w:t xml:space="preserve">Carrot-Daikon Blend: </w:t>
      </w:r>
      <w:r>
        <w:rPr>
          <w:rFonts w:ascii="Arial" w:cs="Arial" w:eastAsia="Arial" w:hAnsi="Arial"/>
          <w:color w:val="2C2218"/>
          <w:sz w:val="20"/>
          <w:szCs w:val="20"/>
        </w:rPr>
        <w:t xml:space="preserve">Replace 2 lbs of carrots with 2 lbs of julienned daikon radish for a Vietnamese-inspired đồ chua variation.</w:t>
      </w:r>
    </w:p>
    <w:p>
      <w:pPr>
        <w:spacing w:after="240"/>
      </w:pPr>
      <w:r>
        <w:rPr>
          <w:rFonts w:ascii="Arial" w:cs="Arial" w:eastAsia="Arial" w:hAnsi="Arial"/>
          <w:b w:val="false"/>
          <w:bCs w:val="false"/>
          <w:color w:val="2C2218"/>
          <w:sz w:val="20"/>
          <w:szCs w:val="20"/>
        </w:rPr>
        <w:t xml:space="preserve"/>
      </w:r>
    </w:p>
    <w:p>
      <w:pPr>
        <w:pStyle w:val="Heading1"/>
      </w:pPr>
      <w:r>
        <w:t xml:space="preserve">11.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80"/>
        <w:gridCol w:w="4280"/>
      </w:tblGrid>
      <w:tr>
        <w:tc>
          <w:tcPr>
            <w:tcW w:type="dxa" w:w="14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Version</w:t>
            </w:r>
          </w:p>
        </w:tc>
        <w:tc>
          <w:tcPr>
            <w:tcW w:type="dxa" w:w="14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Date</w:t>
            </w:r>
          </w:p>
        </w:tc>
        <w:tc>
          <w:tcPr>
            <w:tcW w:type="dxa" w:w="228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Author</w:t>
            </w:r>
          </w:p>
        </w:tc>
        <w:tc>
          <w:tcPr>
            <w:tcW w:type="dxa" w:w="428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Changes</w:t>
            </w:r>
          </w:p>
        </w:tc>
      </w:tr>
      <w:tr>
        <w:tc>
          <w:tcPr>
            <w:tcW w:type="dxa" w:w="14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1.0</w:t>
            </w:r>
          </w:p>
        </w:tc>
        <w:tc>
          <w:tcPr>
            <w:tcW w:type="dxa" w:w="14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02/15/2026</w:t>
            </w:r>
          </w:p>
        </w:tc>
        <w:tc>
          <w:tcPr>
            <w:tcW w:type="dxa" w:w="228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Kitchen Management</w:t>
            </w:r>
          </w:p>
        </w:tc>
        <w:tc>
          <w:tcPr>
            <w:tcW w:type="dxa" w:w="428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Initial release</w:t>
            </w:r>
          </w:p>
        </w:tc>
      </w:tr>
    </w:tbl>
    <w:p>
      <w:pPr>
        <w:spacing w:after="200"/>
      </w:pPr>
      <w:r>
        <w:rPr>
          <w:rFonts w:ascii="Arial" w:cs="Arial" w:eastAsia="Arial" w:hAnsi="Arial"/>
          <w:b w:val="false"/>
          <w:bCs w:val="false"/>
          <w:color w:val="2C2218"/>
          <w:sz w:val="20"/>
          <w:szCs w:val="20"/>
        </w:rPr>
        <w:t xml:space="preserve"/>
      </w:r>
    </w:p>
    <w:p>
      <w:pPr>
        <w:pBdr>
          <w:bottom w:val="single" w:color="B8944E" w:sz="8" w:space="1"/>
        </w:pBdr>
        <w:spacing w:before="100" w:after="200"/>
      </w:pPr>
    </w:p>
    <w:p>
      <w:pPr>
        <w:spacing/>
        <w:jc w:val="center"/>
      </w:pPr>
      <w:r>
        <w:rPr>
          <w:rFonts w:ascii="Arial" w:cs="Arial" w:eastAsia="Arial" w:hAnsi="Arial"/>
          <w:b w:val="false"/>
          <w:bCs w:val="false"/>
          <w:color w:val="8C7E72"/>
          <w:sz w:val="18"/>
          <w:szCs w:val="18"/>
        </w:rPr>
        <w:t xml:space="preserve">This document is the property of Citizens Coffee &amp; Catering. Unauthorized reproduction or distribution is prohibited.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44E" w:sz="4" w:space="4"/>
      </w:pBdr>
      <w:spacing w:before="80"/>
    </w:pPr>
    <w:r>
      <w:rPr>
        <w:rFonts w:ascii="Arial" w:cs="Arial" w:eastAsia="Arial" w:hAnsi="Arial"/>
        <w:color w:val="8C7E72"/>
        <w:sz w:val="14"/>
        <w:szCs w:val="14"/>
      </w:rPr>
      <w:t xml:space="preserve">Citizens Coffee &amp; Catering  |  3830 W. Davis St., Conroe, TX 77304  |  (855) 227-3783  |  Hello@CitizensCatering.com</w:t>
    </w:r>
  </w:p>
  <w:p>
    <w:pPr>
      <w:jc w:val="right"/>
    </w:pPr>
    <w:r>
      <w:rPr>
        <w:rFonts w:ascii="Arial" w:cs="Arial" w:eastAsia="Arial" w:hAnsi="Arial"/>
        <w:color w:val="A89888"/>
        <w:sz w:val="14"/>
        <w:szCs w:val="14"/>
      </w:rPr>
      <w:t xml:space="preserve">Asian Inspired Ginger Pickled Carrots — SOP v1.0  |  Page </w:t>
    </w:r>
    <w:r>
      <w:rPr>
        <w:rFonts w:ascii="Arial" w:cs="Arial" w:eastAsia="Arial" w:hAnsi="Arial"/>
        <w:color w:val="A89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Arial" w:cs="Arial" w:eastAsia="Arial" w:hAnsi="Arial"/>
        <w:b/>
        <w:bCs/>
        <w:color w:val="2C2218"/>
        <w:sz w:val="20"/>
        <w:szCs w:val="20"/>
      </w:rPr>
      <w:t xml:space="preserve">CITIZENS COFFEE &amp; CATERING</w:t>
    </w:r>
  </w:p>
  <w:p>
    <w:pPr>
      <w:pBdr>
        <w:bottom w:val="single" w:color="B8944E" w:sz="6" w:space="4"/>
      </w:pBdr>
      <w:spacing w:after="80"/>
    </w:pPr>
    <w:r>
      <w:rPr>
        <w:rFonts w:ascii="Arial" w:cs="Arial" w:eastAsia="Arial" w:hAnsi="Arial"/>
        <w:color w:val="8C7E72"/>
        <w:sz w:val="16"/>
        <w:szCs w:val="16"/>
      </w:rPr>
      <w:t xml:space="preserve">Commissary Kitchen  •  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2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C2218"/>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B8944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C30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2026-02-16T01:51:00.680Z</dcterms:created>
  <dcterms:modified xsi:type="dcterms:W3CDTF">2026-02-16T01:51:00.680Z</dcterms:modified>
</cp:coreProperties>
</file>

<file path=docProps/custom.xml><?xml version="1.0" encoding="utf-8"?>
<Properties xmlns="http://schemas.openxmlformats.org/officeDocument/2006/custom-properties" xmlns:vt="http://schemas.openxmlformats.org/officeDocument/2006/docPropsVTypes"/>
</file>