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5836" w14:textId="77777777" w:rsidR="00816399" w:rsidRPr="00C6692A" w:rsidRDefault="00000000">
      <w:pPr>
        <w:pStyle w:val="Title"/>
        <w:rPr>
          <w:lang w:val="es-CO"/>
        </w:rPr>
      </w:pPr>
      <w:r w:rsidRPr="00C6692A">
        <w:rPr>
          <w:lang w:val="es-CO"/>
        </w:rPr>
        <w:t>Paso 2 – Frameworks de Gobernanza y Soporte</w:t>
      </w:r>
    </w:p>
    <w:p>
      <w:r>
        <w:rPr>
          <w:i/>
          <w:sz w:val="18"/>
        </w:rPr>
        <w:t>Proyecto: Arquitectura Empresarial para CamelloYa – Plataforma digital de intermediación laboral bajo demanda  |  Organización: CamelloYa S.A.S.  |  Autor(es): Marlon Kerguelen, Nakly Contreras  |  Fecha: 22 de septiembre de 2026</w:t>
      </w:r>
    </w:p>
    <w:p>
      <w:pPr>
        <w:pStyle w:val="Heading1"/>
      </w:pPr>
      <w:r>
        <w:t>Descripción</w:t>
      </w:r>
    </w:p>
    <w:p>
      <w:pPr>
        <w:jc w:val="both"/>
      </w:pPr>
      <w:r>
        <w:t>En este paso se identifican los marcos de gobernanza y los procesos organizacionales existentes en CamelloYa S.A.S. que condicionan el trabajo de Arquitectura Empresarial. El propósito no es seleccionar tecnologías, sino reconocer las estructuras de decisión, las políticas y los procesos que la arquitectura deberá respetar, soportar y, en algunos casos, transformar.</w:t>
      </w:r>
    </w:p>
    <w:p w14:paraId="6833CBEF" w14:textId="77777777" w:rsidR="00816399" w:rsidRDefault="00000000">
      <w:pPr>
        <w:pStyle w:val="Heading1"/>
      </w:pPr>
      <w:r>
        <w:t>Frameworks Existentes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6399" w14:paraId="01A97F45" w14:textId="77777777" w:rsidTr="00C6692A">
        <w:tc>
          <w:tcPr>
            <w:tcW w:w="2880" w:type="dxa"/>
          </w:tcPr>
          <w:p w14:paraId="26237222" w14:textId="77777777" w:rsidR="00816399" w:rsidRDefault="00000000">
            <w:r>
              <w:t>Framework</w:t>
            </w:r>
          </w:p>
        </w:tc>
        <w:tc>
          <w:tcPr>
            <w:tcW w:w="2880" w:type="dxa"/>
          </w:tcPr>
          <w:p w14:paraId="38DE58D2" w14:textId="77777777" w:rsidR="00816399" w:rsidRDefault="00000000">
            <w:r>
              <w:t>Área</w:t>
            </w:r>
          </w:p>
        </w:tc>
        <w:tc>
          <w:tcPr>
            <w:tcW w:w="2880" w:type="dxa"/>
          </w:tcPr>
          <w:p w14:paraId="45023B4B" w14:textId="77777777" w:rsidR="00816399" w:rsidRDefault="00000000">
            <w:r>
              <w:t>Descripción</w:t>
            </w:r>
          </w:p>
        </w:tc>
      </w:tr>
      <w:tr w:rsidR="00816399" w14:paraId="34F8DE4B" w14:textId="77777777" w:rsidTr="00C6692A">
        <w:tc>
          <w:tcPr>
            <w:tcW w:w="2880" w:type="dxa"/>
          </w:tcPr>
          <w:p w14:paraId="5E84376E" w14:textId="77777777" w:rsidR="00816399" w:rsidRDefault="00816399">
            <w:r>
              <w:t>Gobierno Corporativo</w:t>
            </w:r>
          </w:p>
        </w:tc>
        <w:tc>
          <w:tcPr>
            <w:tcW w:w="2880" w:type="dxa"/>
          </w:tcPr>
          <w:p w14:paraId="114F6E1A" w14:textId="77777777" w:rsidR="00816399" w:rsidRDefault="00816399">
            <w:r>
              <w:t>Gerencia General / Junta de Socios</w:t>
            </w:r>
          </w:p>
        </w:tc>
        <w:tc>
          <w:tcPr>
            <w:tcW w:w="2880" w:type="dxa"/>
          </w:tcPr>
          <w:p w14:paraId="2F3F930B" w14:textId="77777777" w:rsidR="00816399" w:rsidRDefault="00816399">
            <w:r>
              <w:t>Define los niveles de autoridad, la aprobación de inversiones y la forma en que se toman y validan las decisiones estratégicas de CamelloYa. Es el marco que aprueba el alcance y la financiación del esfuerzo de Arquitectura Empresarial.</w:t>
            </w:r>
          </w:p>
        </w:tc>
      </w:tr>
      <w:tr w:rsidR="00816399" w14:paraId="6688F57E" w14:textId="77777777" w:rsidTr="00C6692A">
        <w:tc>
          <w:tcPr>
            <w:tcW w:w="2880" w:type="dxa"/>
          </w:tcPr>
          <w:p w14:paraId="4A74C028" w14:textId="77777777" w:rsidR="00816399" w:rsidRDefault="00816399">
            <w:r>
              <w:t>Gobierno de Datos y Protección de Datos Personales</w:t>
            </w:r>
          </w:p>
        </w:tc>
        <w:tc>
          <w:tcPr>
            <w:tcW w:w="2880" w:type="dxa"/>
          </w:tcPr>
          <w:p w14:paraId="7BFCA15C" w14:textId="77777777" w:rsidR="00816399" w:rsidRDefault="00816399">
            <w:r>
              <w:t>Jurídico / Datos / Tecnología</w:t>
            </w:r>
          </w:p>
        </w:tc>
        <w:tc>
          <w:tcPr>
            <w:tcW w:w="2880" w:type="dxa"/>
          </w:tcPr>
          <w:p w14:paraId="25C736AB" w14:textId="77777777" w:rsidR="00816399" w:rsidRDefault="00816399">
            <w:r>
              <w:t>Establece los lineamientos de tratamiento, calidad, acceso, retención y trazabilidad de los datos de identidad, ubicación y pago, en cumplimiento de la Ley 1581 de 2012.</w:t>
            </w:r>
          </w:p>
        </w:tc>
      </w:tr>
      <w:tr w:rsidR="00816399" w14:paraId="1FA1DACC" w14:textId="77777777" w:rsidTr="00C6692A">
        <w:tc>
          <w:tcPr>
            <w:tcW w:w="2880" w:type="dxa"/>
          </w:tcPr>
          <w:p w14:paraId="2F3EC588" w14:textId="77777777" w:rsidR="00816399" w:rsidRDefault="00816399">
            <w:r>
              <w:t>Gestión de Seguridad de la Información (referencia ISO/IEC 27001)</w:t>
            </w:r>
          </w:p>
        </w:tc>
        <w:tc>
          <w:tcPr>
            <w:tcW w:w="2880" w:type="dxa"/>
          </w:tcPr>
          <w:p w14:paraId="162CB552" w14:textId="77777777" w:rsidR="00816399" w:rsidRDefault="00816399">
            <w:r>
              <w:t>Tecnología / Seguridad</w:t>
            </w:r>
          </w:p>
        </w:tc>
        <w:tc>
          <w:tcPr>
            <w:tcW w:w="2880" w:type="dxa"/>
          </w:tcPr>
          <w:p w14:paraId="4C34C622" w14:textId="77777777" w:rsidR="00816399" w:rsidRDefault="00816399">
            <w:r>
              <w:t>Define políticas de control de acceso, cifrado, respaldo, registro de eventos y respuesta a incidentes sobre la plataforma y sus integraciones externas.</w:t>
            </w:r>
          </w:p>
        </w:tc>
      </w:tr>
      <w:tr w:rsidR="00816399" w14:paraId="34F8DE4B" w14:textId="77777777" w:rsidTr="00C6692A">
        <w:tc>
          <w:tcPr>
            <w:tcW w:w="2880" w:type="dxa"/>
          </w:tcPr>
          <w:p w14:paraId="5E84376E" w14:textId="77777777" w:rsidR="00816399" w:rsidRDefault="00816399">
            <w:r>
              <w:t>Gestión de Riesgos Operacionales y de Cumplimiento</w:t>
            </w:r>
          </w:p>
        </w:tc>
        <w:tc>
          <w:tcPr>
            <w:tcW w:w="2880" w:type="dxa"/>
          </w:tcPr>
          <w:p w14:paraId="114F6E1A" w14:textId="77777777" w:rsidR="00816399" w:rsidRDefault="00816399">
            <w:r>
              <w:t>Gerencia / Jurídico</w:t>
            </w:r>
          </w:p>
        </w:tc>
        <w:tc>
          <w:tcPr>
            <w:tcW w:w="2880" w:type="dxa"/>
          </w:tcPr>
          <w:p w14:paraId="2F3F930B" w14:textId="77777777" w:rsidR="00816399" w:rsidRDefault="00816399">
            <w:r>
              <w:t>Identifica y controla los riesgos de suplantación de identidad, fraude en pagos, incidentes durante la prestación del servicio e incumplimiento normativo.</w:t>
            </w:r>
          </w:p>
        </w:tc>
      </w:tr>
      <w:tr w:rsidR="00816399" w14:paraId="34F8DE4B" w14:textId="77777777" w:rsidTr="00C6692A">
        <w:tc>
          <w:tcPr>
            <w:tcW w:w="2880" w:type="dxa"/>
          </w:tcPr>
          <w:p w14:paraId="5E84376E" w14:textId="77777777" w:rsidR="00816399" w:rsidRDefault="00816399">
            <w:r>
              <w:t>Gestión de Servicios de TI (referencia ITIL)</w:t>
            </w:r>
          </w:p>
        </w:tc>
        <w:tc>
          <w:tcPr>
            <w:tcW w:w="2880" w:type="dxa"/>
          </w:tcPr>
          <w:p w14:paraId="114F6E1A" w14:textId="77777777" w:rsidR="00816399" w:rsidRDefault="00816399">
            <w:r>
              <w:t>Tecnología</w:t>
            </w:r>
          </w:p>
        </w:tc>
        <w:tc>
          <w:tcPr>
            <w:tcW w:w="2880" w:type="dxa"/>
          </w:tcPr>
          <w:p w14:paraId="2F3F930B" w14:textId="77777777" w:rsidR="00816399" w:rsidRDefault="00816399">
            <w:r>
              <w:t>Organiza la gestión de incidentes, cambios, disponibilidad y niveles de servicio de la aplicación móvil y de los servicios de back-end.</w:t>
            </w:r>
          </w:p>
        </w:tc>
      </w:tr>
      <w:tr w:rsidR="00816399" w14:paraId="34F8DE4B" w14:textId="77777777" w:rsidTr="00C6692A">
        <w:tc>
          <w:tcPr>
            <w:tcW w:w="2880" w:type="dxa"/>
          </w:tcPr>
          <w:p w14:paraId="5E84376E" w14:textId="77777777" w:rsidR="00816399" w:rsidRDefault="00816399">
            <w:r>
              <w:t>Marco de Gestión de Proyectos y Desarrollo Ágil (Scrum)</w:t>
            </w:r>
          </w:p>
        </w:tc>
        <w:tc>
          <w:tcPr>
            <w:tcW w:w="2880" w:type="dxa"/>
          </w:tcPr>
          <w:p w14:paraId="114F6E1A" w14:textId="77777777" w:rsidR="00816399" w:rsidRDefault="00816399">
            <w:r>
              <w:t>Tecnología / Producto</w:t>
            </w:r>
          </w:p>
        </w:tc>
        <w:tc>
          <w:tcPr>
            <w:tcW w:w="2880" w:type="dxa"/>
          </w:tcPr>
          <w:p w14:paraId="2F3F930B" w14:textId="77777777" w:rsidR="00816399" w:rsidRDefault="00816399">
            <w:r>
              <w:t>Define cómo se planifica, prioriza y entrega de forma incremental la funcionalidad de la plataforma, y marca el ritmo en que la arquitectura debe producir sus decisiones.</w:t>
            </w:r>
          </w:p>
        </w:tc>
      </w:tr>
    </w:tbl>
    <w:p w14:paraId="1F5392C9" w14:textId="77777777" w:rsidR="00816399" w:rsidRDefault="00000000">
      <w:pPr>
        <w:pStyle w:val="Heading1"/>
      </w:pPr>
      <w:r>
        <w:t>Procesos Relacionados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6399" w14:paraId="7C67AD1A" w14:textId="77777777" w:rsidTr="00C6692A">
        <w:tc>
          <w:tcPr>
            <w:tcW w:w="2880" w:type="dxa"/>
          </w:tcPr>
          <w:p w14:paraId="6432F838" w14:textId="77777777" w:rsidR="00816399" w:rsidRDefault="00000000">
            <w:r>
              <w:t>Proceso</w:t>
            </w:r>
          </w:p>
        </w:tc>
        <w:tc>
          <w:tcPr>
            <w:tcW w:w="2880" w:type="dxa"/>
          </w:tcPr>
          <w:p w14:paraId="126955F6" w14:textId="77777777" w:rsidR="00816399" w:rsidRDefault="00000000">
            <w:r>
              <w:t>Área Responsable</w:t>
            </w:r>
          </w:p>
        </w:tc>
        <w:tc>
          <w:tcPr>
            <w:tcW w:w="2880" w:type="dxa"/>
          </w:tcPr>
          <w:p w14:paraId="6E137B22" w14:textId="77777777" w:rsidR="00816399" w:rsidRDefault="00000000">
            <w:r>
              <w:t>Relación con EA</w:t>
            </w:r>
          </w:p>
        </w:tc>
      </w:tr>
      <w:tr w:rsidR="00816399" w14:paraId="4C2E6CAB" w14:textId="77777777" w:rsidTr="00C6692A">
        <w:tc>
          <w:tcPr>
            <w:tcW w:w="2880" w:type="dxa"/>
          </w:tcPr>
          <w:p w14:paraId="3068B210" w14:textId="77777777" w:rsidR="00816399" w:rsidRDefault="00816399">
            <w:r>
              <w:t>Registro y verificación de trabajadores</w:t>
            </w:r>
          </w:p>
        </w:tc>
        <w:tc>
          <w:tcPr>
            <w:tcW w:w="2880" w:type="dxa"/>
          </w:tcPr>
          <w:p w14:paraId="3B83CDC7" w14:textId="77777777" w:rsidR="00816399" w:rsidRDefault="00816399">
            <w:r>
              <w:t>Coordinación de Trabajadores</w:t>
            </w:r>
          </w:p>
        </w:tc>
        <w:tc>
          <w:tcPr>
            <w:tcW w:w="2880" w:type="dxa"/>
          </w:tcPr>
          <w:p w14:paraId="4A7A2D73" w14:textId="77777777" w:rsidR="00816399" w:rsidRDefault="00816399">
            <w:r>
              <w:t>Alimenta la capacidad de confianza de la plataforma. La arquitectura debe soportarlo con servicios de validación de identidad, gestión documental y estados de habilitación del trabajador.</w:t>
            </w:r>
          </w:p>
        </w:tc>
      </w:tr>
      <w:tr w:rsidR="00816399" w14:paraId="47285019" w14:textId="77777777" w:rsidTr="00C6692A">
        <w:tc>
          <w:tcPr>
            <w:tcW w:w="2880" w:type="dxa"/>
          </w:tcPr>
          <w:p w14:paraId="2C0BB86F" w14:textId="77777777" w:rsidR="00816399" w:rsidRDefault="00816399">
            <w:r>
              <w:t>Publicación y emparejamiento de solicitudes de servicio</w:t>
            </w:r>
          </w:p>
        </w:tc>
        <w:tc>
          <w:tcPr>
            <w:tcW w:w="2880" w:type="dxa"/>
          </w:tcPr>
          <w:p w14:paraId="58AF4BC5" w14:textId="77777777" w:rsidR="00816399" w:rsidRDefault="00816399">
            <w:r>
              <w:t>Tecnología / Operaciones</w:t>
            </w:r>
          </w:p>
        </w:tc>
        <w:tc>
          <w:tcPr>
            <w:tcW w:w="2880" w:type="dxa"/>
          </w:tcPr>
          <w:p w14:paraId="57FAAF6A" w14:textId="77777777" w:rsidR="00816399" w:rsidRDefault="00816399">
            <w:r>
              <w:t>Es el proceso núcleo del negocio. La arquitectura debe soportarlo y optimizarlo, pues de él dependen la propuesta de valor y el objetivo de crecimiento de usuarios.</w:t>
            </w:r>
          </w:p>
        </w:tc>
      </w:tr>
      <w:tr w:rsidR="00816399" w14:paraId="22152EEC" w14:textId="77777777" w:rsidTr="00C6692A">
        <w:tc>
          <w:tcPr>
            <w:tcW w:w="2880" w:type="dxa"/>
          </w:tcPr>
          <w:p w14:paraId="709599B5" w14:textId="77777777" w:rsidR="00816399" w:rsidRDefault="00816399">
            <w:r>
              <w:t>Ejecución y seguimiento del servicio</w:t>
            </w:r>
          </w:p>
        </w:tc>
        <w:tc>
          <w:tcPr>
            <w:tcW w:w="2880" w:type="dxa"/>
          </w:tcPr>
          <w:p w14:paraId="3636B1A9" w14:textId="77777777" w:rsidR="00816399" w:rsidRDefault="00816399">
            <w:r>
              <w:t>Operaciones</w:t>
            </w:r>
          </w:p>
        </w:tc>
        <w:tc>
          <w:tcPr>
            <w:tcW w:w="2880" w:type="dxa"/>
          </w:tcPr>
          <w:p w14:paraId="6B4A7270" w14:textId="77777777" w:rsidR="00816399" w:rsidRDefault="00816399">
            <w:r>
              <w:t>Comprende la aceptación, el seguimiento en vivo, la confirmación de finalización y la calificación bidireccional. Define los datos de evidencia que la arquitectura debe conservar.</w:t>
            </w:r>
          </w:p>
        </w:tc>
      </w:tr>
      <w:tr w:rsidR="00816399" w14:paraId="4C2E6CAB" w14:textId="77777777" w:rsidTr="00C6692A">
        <w:tc>
          <w:tcPr>
            <w:tcW w:w="2880" w:type="dxa"/>
          </w:tcPr>
          <w:p w14:paraId="3068B210" w14:textId="77777777" w:rsidR="00816399" w:rsidRDefault="00816399">
            <w:r>
              <w:t>Cobro, comisión y liquidación a trabajadores</w:t>
            </w:r>
          </w:p>
        </w:tc>
        <w:tc>
          <w:tcPr>
            <w:tcW w:w="2880" w:type="dxa"/>
          </w:tcPr>
          <w:p w14:paraId="3B83CDC7" w14:textId="77777777" w:rsidR="00816399" w:rsidRDefault="00816399">
            <w:r>
              <w:t>Administración y Finanzas</w:t>
            </w:r>
          </w:p>
        </w:tc>
        <w:tc>
          <w:tcPr>
            <w:tcW w:w="2880" w:type="dxa"/>
          </w:tcPr>
          <w:p w14:paraId="4A7A2D73" w14:textId="77777777" w:rsidR="00816399" w:rsidRDefault="00816399">
            <w:r>
              <w:t>Determina los requisitos de integración con la pasarela de pagos, la conciliación de transacciones y la trazabilidad contable de los ingresos de la empresa.</w:t>
            </w:r>
          </w:p>
        </w:tc>
      </w:tr>
      <w:tr w:rsidR="00816399" w14:paraId="4C2E6CAB" w14:textId="77777777" w:rsidTr="00C6692A">
        <w:tc>
          <w:tcPr>
            <w:tcW w:w="2880" w:type="dxa"/>
          </w:tcPr>
          <w:p w14:paraId="3068B210" w14:textId="77777777" w:rsidR="00816399" w:rsidRDefault="00816399">
            <w:r>
              <w:t>Gestión de PQR y disputas entre usuarios</w:t>
            </w:r>
          </w:p>
        </w:tc>
        <w:tc>
          <w:tcPr>
            <w:tcW w:w="2880" w:type="dxa"/>
          </w:tcPr>
          <w:p w14:paraId="3B83CDC7" w14:textId="77777777" w:rsidR="00816399" w:rsidRDefault="00816399">
            <w:r>
              <w:t>Soporte y Atención al Usuario</w:t>
            </w:r>
          </w:p>
        </w:tc>
        <w:tc>
          <w:tcPr>
            <w:tcW w:w="2880" w:type="dxa"/>
          </w:tcPr>
          <w:p w14:paraId="4A7A2D73" w14:textId="77777777" w:rsidR="00816399" w:rsidRDefault="00816399">
            <w:r>
              <w:t>Exige que la arquitectura mantenga el historial completo de cada servicio (solicitud, asignación, seguimiento, pago y calificación) como soporte probatorio.</w:t>
            </w:r>
          </w:p>
        </w:tc>
      </w:tr>
      <w:tr w:rsidR="00816399" w14:paraId="4C2E6CAB" w14:textId="77777777" w:rsidTr="00C6692A">
        <w:tc>
          <w:tcPr>
            <w:tcW w:w="2880" w:type="dxa"/>
          </w:tcPr>
          <w:p w14:paraId="3068B210" w14:textId="77777777" w:rsidR="00816399" w:rsidRDefault="00816399">
            <w:r>
              <w:t>Gestión de alianzas con gremios y comercios</w:t>
            </w:r>
          </w:p>
        </w:tc>
        <w:tc>
          <w:tcPr>
            <w:tcW w:w="2880" w:type="dxa"/>
          </w:tcPr>
          <w:p w14:paraId="3B83CDC7" w14:textId="77777777" w:rsidR="00816399" w:rsidRDefault="00816399">
            <w:r>
              <w:t>Coordinación de Alianzas y Comercios</w:t>
            </w:r>
          </w:p>
        </w:tc>
        <w:tc>
          <w:tcPr>
            <w:tcW w:w="2880" w:type="dxa"/>
          </w:tcPr>
          <w:p w14:paraId="4A7A2D73" w14:textId="77777777" w:rsidR="00816399" w:rsidRDefault="00816399">
            <w:r>
              <w:t>Genera requisitos de vinculación masiva de usuarios, convenios con condiciones particulares y reportes periódicos para los aliados.</w:t>
            </w:r>
          </w:p>
        </w:tc>
      </w:tr>
      <w:tr w:rsidR="00816399" w14:paraId="4C2E6CAB" w14:textId="77777777" w:rsidTr="00C6692A">
        <w:tc>
          <w:tcPr>
            <w:tcW w:w="2880" w:type="dxa"/>
          </w:tcPr>
          <w:p w14:paraId="3068B210" w14:textId="77777777" w:rsidR="00816399" w:rsidRDefault="00816399">
            <w:r>
              <w:t>Analítica de oferta y demanda de oficios</w:t>
            </w:r>
          </w:p>
        </w:tc>
        <w:tc>
          <w:tcPr>
            <w:tcW w:w="2880" w:type="dxa"/>
          </w:tcPr>
          <w:p w14:paraId="3B83CDC7" w14:textId="77777777" w:rsidR="00816399" w:rsidRDefault="00816399">
            <w:r>
              <w:t>Analítica de Datos y Operaciones</w:t>
            </w:r>
          </w:p>
        </w:tc>
        <w:tc>
          <w:tcPr>
            <w:tcW w:w="2880" w:type="dxa"/>
          </w:tcPr>
          <w:p w14:paraId="4A7A2D73" w14:textId="77777777" w:rsidR="00816399" w:rsidRDefault="00816399">
            <w:r>
              <w:t>Requiere una arquitectura de datos que consolide la información de los demás procesos y evite silos entre áreas.</w:t>
            </w:r>
          </w:p>
        </w:tc>
      </w:tr>
    </w:tbl>
    <w:p w14:paraId="21B5CD82" w14:textId="77777777" w:rsidR="00E21D99" w:rsidRDefault="00E21D99"/>
    <w:p>
      <w:pPr>
        <w:pStyle w:val="Heading1"/>
      </w:pPr>
      <w:r>
        <w:t>Nota</w:t>
      </w:r>
    </w:p>
    <w:p>
      <w:pPr>
        <w:jc w:val="both"/>
      </w:pPr>
      <w:r>
        <w:t>En esta etapa se identifican los marcos de gobierno y los procesos existentes que condicionan la Arquitectura Empresarial de CamelloYa; todavía no se seleccionan tecnologías ni soluciones específicas. Dado el tamaño de la empresa, varios de estos marcos existen de manera informal y deberán formalizarse a medida que avance el ciclo ADM.</w:t>
      </w:r>
    </w:p>
    <w:sectPr w:rsidR="00E21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993795">
    <w:abstractNumId w:val="8"/>
  </w:num>
  <w:num w:numId="2" w16cid:durableId="2137091880">
    <w:abstractNumId w:val="6"/>
  </w:num>
  <w:num w:numId="3" w16cid:durableId="196046795">
    <w:abstractNumId w:val="5"/>
  </w:num>
  <w:num w:numId="4" w16cid:durableId="1448043633">
    <w:abstractNumId w:val="4"/>
  </w:num>
  <w:num w:numId="5" w16cid:durableId="506940191">
    <w:abstractNumId w:val="7"/>
  </w:num>
  <w:num w:numId="6" w16cid:durableId="512114747">
    <w:abstractNumId w:val="3"/>
  </w:num>
  <w:num w:numId="7" w16cid:durableId="856039623">
    <w:abstractNumId w:val="2"/>
  </w:num>
  <w:num w:numId="8" w16cid:durableId="2007510204">
    <w:abstractNumId w:val="1"/>
  </w:num>
  <w:num w:numId="9" w16cid:durableId="5782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43B"/>
    <w:rsid w:val="00816399"/>
    <w:rsid w:val="00AA1D8D"/>
    <w:rsid w:val="00B47730"/>
    <w:rsid w:val="00C6692A"/>
    <w:rsid w:val="00CB0664"/>
    <w:rsid w:val="00E21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6956C8"/>
  <w14:defaultImageDpi w14:val="300"/>
  <w15:docId w15:val="{AFB36FC2-9705-4C56-BDC6-5631DD09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 2 - Frameworks de Gobernanza y Soporte</dc:title>
  <dc:subject>Arquitectura Empresarial - CamelloYa S.A.S. - Fase Preliminar TOGAF</dc:subject>
  <dc:creator>Nakly Contreras</dc:creator>
  <cp:keywords>TOGAF; Fase Preliminar; CamelloYa; CECAR</cp:keywords>
  <dc:description/>
  <cp:lastModifiedBy>Nakly Contreras</cp:lastModifiedBy>
  <cp:revision>3</cp:revision>
  <dcterms:created xsi:type="dcterms:W3CDTF">2026-09-22T20:15:00Z</dcterms:created>
  <dcterms:modified xsi:type="dcterms:W3CDTF">2026-09-22T20:15:00Z</dcterms:modified>
  <cp:category/>
</cp:coreProperties>
</file>