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45855" w14:textId="77777777" w:rsidR="00D90B29" w:rsidRPr="00FD4A18" w:rsidRDefault="00000000">
      <w:pPr>
        <w:pStyle w:val="Title"/>
        <w:rPr>
          <w:lang w:val="es-CO"/>
        </w:rPr>
      </w:pPr>
      <w:r w:rsidRPr="00FD4A18">
        <w:rPr>
          <w:lang w:val="es-CO"/>
        </w:rPr>
        <w:t>Paso 5 – Adaptación del Framework TOGAF</w:t>
      </w:r>
    </w:p>
    <w:p>
      <w:r>
        <w:rPr>
          <w:i/>
          <w:sz w:val="18"/>
        </w:rPr>
        <w:t>Proyecto: Arquitectura Empresarial para CamelloYa – Plataforma digital de intermediación laboral bajo demanda  |  Organización: CamelloYa S.A.S.  |  Autor(es): Marlon Kerguelen, Nakly Contreras  |  Fecha: 22 de septiembre de 2026</w:t>
      </w:r>
    </w:p>
    <w:p>
      <w:pPr>
        <w:pStyle w:val="Heading1"/>
      </w:pPr>
      <w:r>
        <w:t>Descripción</w:t>
      </w:r>
    </w:p>
    <w:p>
      <w:pPr>
        <w:jc w:val="both"/>
      </w:pPr>
      <w:r>
        <w:t>En este paso se define cómo se utilizará y adaptará TOGAF ADM al contexto particular de CamelloYa S.A.S. Se ajusta la terminología del framework al lenguaje del negocio y se precisa el alcance y la profundidad con que se abordará cada fase del ciclo ADM, considerando que se trata de una empresa en formación, sin sistemas heredados y con un equipo de arquitectura reducido.</w:t>
      </w:r>
    </w:p>
    <w:p w14:paraId="181D7864" w14:textId="77777777" w:rsidR="00D90B29" w:rsidRPr="00FD4A18" w:rsidRDefault="00000000">
      <w:pPr>
        <w:pStyle w:val="Heading1"/>
        <w:rPr>
          <w:lang w:val="es-CO"/>
        </w:rPr>
      </w:pPr>
      <w:r w:rsidRPr="00FD4A18">
        <w:rPr>
          <w:lang w:val="es-CO"/>
        </w:rPr>
        <w:t>Terminología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D90B29" w14:paraId="511368C5" w14:textId="77777777" w:rsidTr="00FD4A18">
        <w:tc>
          <w:tcPr>
            <w:tcW w:w="4320" w:type="dxa"/>
          </w:tcPr>
          <w:p w14:paraId="3DA0610E" w14:textId="77777777" w:rsidR="00D90B29" w:rsidRDefault="00000000">
            <w:r>
              <w:t>Término</w:t>
            </w:r>
          </w:p>
        </w:tc>
        <w:tc>
          <w:tcPr>
            <w:tcW w:w="4320" w:type="dxa"/>
          </w:tcPr>
          <w:p w14:paraId="4CB82FED" w14:textId="77777777" w:rsidR="00D90B29" w:rsidRDefault="00000000">
            <w:r>
              <w:t>Definición</w:t>
            </w:r>
          </w:p>
        </w:tc>
      </w:tr>
      <w:tr w:rsidR="00D90B29" w14:paraId="0A1BCA31" w14:textId="77777777" w:rsidTr="00FD4A18">
        <w:tc>
          <w:tcPr>
            <w:tcW w:w="4320" w:type="dxa"/>
          </w:tcPr>
          <w:p w14:paraId="70A726F4" w14:textId="77777777" w:rsidR="00D90B29" w:rsidRDefault="00D90B29">
            <w:r>
              <w:t>Camello / Chamba</w:t>
            </w:r>
          </w:p>
        </w:tc>
        <w:tc>
          <w:tcPr>
            <w:tcW w:w="4320" w:type="dxa"/>
          </w:tcPr>
          <w:p w14:paraId="578E533A" w14:textId="77777777" w:rsidR="00D90B29" w:rsidRDefault="00D90B29">
            <w:r>
              <w:t>Trabajo u oficio de corta duración solicitado a través de la plataforma. Equivale al concepto genérico de “orden de servicio” y es la unidad básica de la operación de CamelloYa.</w:t>
            </w:r>
          </w:p>
        </w:tc>
      </w:tr>
      <w:tr w:rsidR="00D90B29" w14:paraId="67563ED8" w14:textId="77777777" w:rsidTr="00FD4A18">
        <w:tc>
          <w:tcPr>
            <w:tcW w:w="4320" w:type="dxa"/>
          </w:tcPr>
          <w:p w14:paraId="67285F6A" w14:textId="77777777" w:rsidR="00D90B29" w:rsidRDefault="00D90B29">
            <w:r>
              <w:t>Camellador (Trabajador)</w:t>
            </w:r>
          </w:p>
        </w:tc>
        <w:tc>
          <w:tcPr>
            <w:tcW w:w="4320" w:type="dxa"/>
          </w:tcPr>
          <w:p w14:paraId="12E14665" w14:textId="77777777" w:rsidR="00D90B29" w:rsidRDefault="00D90B29">
            <w:r>
              <w:t>Persona natural con identidad verificada que ofrece su mano de obra u oficio a través de la plataforma.</w:t>
            </w:r>
          </w:p>
        </w:tc>
      </w:tr>
      <w:tr w:rsidR="00D90B29" w14:paraId="0964EA32" w14:textId="77777777" w:rsidTr="00FD4A18">
        <w:tc>
          <w:tcPr>
            <w:tcW w:w="4320" w:type="dxa"/>
          </w:tcPr>
          <w:p w14:paraId="72B5E079" w14:textId="77777777" w:rsidR="00D90B29" w:rsidRDefault="00D90B29">
            <w:r>
              <w:t>Solicitante</w:t>
            </w:r>
          </w:p>
        </w:tc>
        <w:tc>
          <w:tcPr>
            <w:tcW w:w="4320" w:type="dxa"/>
          </w:tcPr>
          <w:p w14:paraId="46717366" w14:textId="77777777" w:rsidR="00D90B29" w:rsidRDefault="00D90B29">
            <w:r>
              <w:t>Persona natural o micronegocio que publica una solicitud de servicio y contrata a un trabajador. Corresponde al segundo segmento del modelo B2B2C.</w:t>
            </w:r>
          </w:p>
        </w:tc>
      </w:tr>
      <w:tr w:rsidR="00D90B29" w14:paraId="0A1BCA31" w14:textId="77777777" w:rsidTr="00FD4A18">
        <w:tc>
          <w:tcPr>
            <w:tcW w:w="4320" w:type="dxa"/>
          </w:tcPr>
          <w:p w14:paraId="70A726F4" w14:textId="77777777" w:rsidR="00D90B29" w:rsidRDefault="00D90B29">
            <w:r>
              <w:t>Emparejamiento (Matching)</w:t>
            </w:r>
          </w:p>
        </w:tc>
        <w:tc>
          <w:tcPr>
            <w:tcW w:w="4320" w:type="dxa"/>
          </w:tcPr>
          <w:p w14:paraId="578E533A" w14:textId="77777777" w:rsidR="00D90B29" w:rsidRDefault="00D90B29">
            <w:r>
              <w:t>Proceso automático que asocia una solicitud de servicio con los trabajadores disponibles según oficio, ubicación, disponibilidad y reputación.</w:t>
            </w:r>
          </w:p>
        </w:tc>
      </w:tr>
      <w:tr w:rsidR="00D90B29" w14:paraId="0A1BCA31" w14:textId="77777777" w:rsidTr="00FD4A18">
        <w:tc>
          <w:tcPr>
            <w:tcW w:w="4320" w:type="dxa"/>
          </w:tcPr>
          <w:p w14:paraId="70A726F4" w14:textId="77777777" w:rsidR="00D90B29" w:rsidRDefault="00D90B29">
            <w:r>
              <w:t>Calificación bidireccional</w:t>
            </w:r>
          </w:p>
        </w:tc>
        <w:tc>
          <w:tcPr>
            <w:tcW w:w="4320" w:type="dxa"/>
          </w:tcPr>
          <w:p w14:paraId="578E533A" w14:textId="77777777" w:rsidR="00D90B29" w:rsidRDefault="00D90B29">
            <w:r>
              <w:t>Valoración mutua que trabajador y solicitante se otorgan al finalizar un servicio, y que alimenta la reputación de ambas partes.</w:t>
            </w:r>
          </w:p>
        </w:tc>
      </w:tr>
      <w:tr w:rsidR="00D90B29" w14:paraId="0A1BCA31" w14:textId="77777777" w:rsidTr="00FD4A18">
        <w:tc>
          <w:tcPr>
            <w:tcW w:w="4320" w:type="dxa"/>
          </w:tcPr>
          <w:p w14:paraId="70A726F4" w14:textId="77777777" w:rsidR="00D90B29" w:rsidRDefault="00D90B29">
            <w:r>
              <w:t>Verificación de identidad</w:t>
            </w:r>
          </w:p>
        </w:tc>
        <w:tc>
          <w:tcPr>
            <w:tcW w:w="4320" w:type="dxa"/>
          </w:tcPr>
          <w:p w14:paraId="578E533A" w14:textId="77777777" w:rsidR="00D90B29" w:rsidRDefault="00D90B29">
            <w:r>
              <w:t>Proceso de validación documental y biométrica que habilita a un trabajador para operar dentro de la plataforma.</w:t>
            </w:r>
          </w:p>
        </w:tc>
      </w:tr>
      <w:tr w:rsidR="00D90B29" w14:paraId="0A1BCA31" w14:textId="77777777" w:rsidTr="00FD4A18">
        <w:tc>
          <w:tcPr>
            <w:tcW w:w="4320" w:type="dxa"/>
          </w:tcPr>
          <w:p w14:paraId="70A726F4" w14:textId="77777777" w:rsidR="00D90B29" w:rsidRDefault="00D90B29">
            <w:r>
              <w:t>Comisión</w:t>
            </w:r>
          </w:p>
        </w:tc>
        <w:tc>
          <w:tcPr>
            <w:tcW w:w="4320" w:type="dxa"/>
          </w:tcPr>
          <w:p w14:paraId="578E533A" w14:textId="77777777" w:rsidR="00D90B29" w:rsidRDefault="00D90B29">
            <w:r>
              <w:t>Porcentaje del valor del servicio que CamelloYa retiene como ingreso al completarse la transacción.</w:t>
            </w:r>
          </w:p>
        </w:tc>
      </w:tr>
      <w:tr w:rsidR="00D90B29" w14:paraId="0A1BCA31" w14:textId="77777777" w:rsidTr="00FD4A18">
        <w:tc>
          <w:tcPr>
            <w:tcW w:w="4320" w:type="dxa"/>
          </w:tcPr>
          <w:p w14:paraId="70A726F4" w14:textId="77777777" w:rsidR="00D90B29" w:rsidRDefault="00D90B29">
            <w:r>
              <w:t>Liquidación</w:t>
            </w:r>
          </w:p>
        </w:tc>
        <w:tc>
          <w:tcPr>
            <w:tcW w:w="4320" w:type="dxa"/>
          </w:tcPr>
          <w:p w14:paraId="578E533A" w14:textId="77777777" w:rsidR="00D90B29" w:rsidRDefault="00D90B29">
            <w:r>
              <w:t>Transferencia al trabajador del valor del servicio una vez descontada la comisión de la plataforma.</w:t>
            </w:r>
          </w:p>
        </w:tc>
      </w:tr>
      <w:tr w:rsidR="00D90B29" w14:paraId="0A1BCA31" w14:textId="77777777" w:rsidTr="00FD4A18">
        <w:tc>
          <w:tcPr>
            <w:tcW w:w="4320" w:type="dxa"/>
          </w:tcPr>
          <w:p w14:paraId="70A726F4" w14:textId="77777777" w:rsidR="00D90B29" w:rsidRDefault="00D90B29">
            <w:r>
              <w:t>Aliado comercial</w:t>
            </w:r>
          </w:p>
        </w:tc>
        <w:tc>
          <w:tcPr>
            <w:tcW w:w="4320" w:type="dxa"/>
          </w:tcPr>
          <w:p w14:paraId="578E533A" w14:textId="77777777" w:rsidR="00D90B29" w:rsidRDefault="00D90B29">
            <w:r>
              <w:t>Gremio, asociación o comercio del Nuevo Mercado vinculado mediante convenio, que aporta trabajadores o solicitantes a la plataforma.</w:t>
            </w:r>
          </w:p>
        </w:tc>
      </w:tr>
      <w:tr w:rsidR="00D90B29" w14:paraId="0A1BCA31" w14:textId="77777777" w:rsidTr="00FD4A18">
        <w:tc>
          <w:tcPr>
            <w:tcW w:w="4320" w:type="dxa"/>
          </w:tcPr>
          <w:p w14:paraId="70A726F4" w14:textId="77777777" w:rsidR="00D90B29" w:rsidRDefault="00D90B29">
            <w:r>
              <w:t>Artefacto de arquitectura</w:t>
            </w:r>
          </w:p>
        </w:tc>
        <w:tc>
          <w:tcPr>
            <w:tcW w:w="4320" w:type="dxa"/>
          </w:tcPr>
          <w:p w14:paraId="578E533A" w14:textId="77777777" w:rsidR="00D90B29" w:rsidRDefault="00D90B29">
            <w:r>
              <w:t>Cualquier documento o modelo producido durante el ciclo ADM y publicado en el repositorio GitHub del proyecto.</w:t>
            </w:r>
          </w:p>
        </w:tc>
      </w:tr>
    </w:tbl>
    <w:p w14:paraId="7F794758" w14:textId="77777777" w:rsidR="00D90B29" w:rsidRDefault="00000000">
      <w:pPr>
        <w:pStyle w:val="Heading1"/>
      </w:pPr>
      <w:r>
        <w:t>Adaptaciones del Proceso ADM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D90B29" w14:paraId="2778A301" w14:textId="77777777" w:rsidTr="00FD4A18">
        <w:tc>
          <w:tcPr>
            <w:tcW w:w="4320" w:type="dxa"/>
          </w:tcPr>
          <w:p w14:paraId="6AB2EA3C" w14:textId="77777777" w:rsidR="00D90B29" w:rsidRDefault="00000000">
            <w:r>
              <w:t>Fase ADM</w:t>
            </w:r>
          </w:p>
        </w:tc>
        <w:tc>
          <w:tcPr>
            <w:tcW w:w="4320" w:type="dxa"/>
          </w:tcPr>
          <w:p w14:paraId="6CD0F5F5" w14:textId="77777777" w:rsidR="00D90B29" w:rsidRDefault="00000000">
            <w:r>
              <w:t>Adaptación</w:t>
            </w:r>
          </w:p>
        </w:tc>
      </w:tr>
      <w:tr w:rsidR="00D90B29" w14:paraId="15C49341" w14:textId="77777777" w:rsidTr="00FD4A18">
        <w:tc>
          <w:tcPr>
            <w:tcW w:w="4320" w:type="dxa"/>
          </w:tcPr>
          <w:p w14:paraId="5A121F86" w14:textId="77777777" w:rsidR="00D90B29" w:rsidRDefault="00D90B29">
            <w:r>
              <w:t>Preliminary (Fase Preliminar)</w:t>
            </w:r>
          </w:p>
        </w:tc>
        <w:tc>
          <w:tcPr>
            <w:tcW w:w="4320" w:type="dxa"/>
          </w:tcPr>
          <w:p w14:paraId="0450406F" w14:textId="77777777" w:rsidR="00D90B29" w:rsidRDefault="00D90B29">
            <w:r>
              <w:t>Se desarrolla en una sola iteración y se documenta en seis artefactos independientes. No se constituye un Architecture Board formal: la función de gobierno la asumen el equipo de arquitectura junto con el Patrocinador Ejecutivo, de forma proporcional al tamaño de la empresa.</w:t>
            </w:r>
          </w:p>
        </w:tc>
      </w:tr>
      <w:tr w:rsidR="00D90B29" w14:paraId="7BE0A9B5" w14:textId="77777777" w:rsidTr="00FD4A18">
        <w:tc>
          <w:tcPr>
            <w:tcW w:w="4320" w:type="dxa"/>
          </w:tcPr>
          <w:p w14:paraId="3151EF8B" w14:textId="77777777" w:rsidR="00D90B29" w:rsidRDefault="00D90B29">
            <w:r>
              <w:t>A – Architecture Vision</w:t>
            </w:r>
          </w:p>
        </w:tc>
        <w:tc>
          <w:tcPr>
            <w:tcW w:w="4320" w:type="dxa"/>
          </w:tcPr>
          <w:p w14:paraId="2F5F738D" w14:textId="77777777" w:rsidR="00D90B29" w:rsidRDefault="00D90B29">
            <w:r>
              <w:t>Se elaborará con la plantilla Architecture_Vision_Document_Template disponible en el repositorio, tomando como insumo directo la estrategia, los objetivos y las capacidades definidos en el Taller #1.</w:t>
            </w:r>
          </w:p>
        </w:tc>
      </w:tr>
      <w:tr w:rsidR="00D90B29" w14:paraId="5C7E93F5" w14:textId="77777777" w:rsidTr="00FD4A18">
        <w:tc>
          <w:tcPr>
            <w:tcW w:w="4320" w:type="dxa"/>
          </w:tcPr>
          <w:p w14:paraId="74DB7B83" w14:textId="77777777" w:rsidR="00D90B29" w:rsidRDefault="00D90B29">
            <w:r>
              <w:t>B – Business Architecture</w:t>
            </w:r>
          </w:p>
        </w:tc>
        <w:tc>
          <w:tcPr>
            <w:tcW w:w="4320" w:type="dxa"/>
          </w:tcPr>
          <w:p w14:paraId="231E4D0C" w14:textId="77777777" w:rsidR="00D90B29" w:rsidRDefault="00D90B29">
            <w:r>
              <w:t>Se modelarán únicamente los cuatro procesos núcleo (registro y verificación, publicación y emparejamiento, ejecución y seguimiento del servicio, y cobro y liquidación), partiendo del mapa de capacidades empresariales ya definido.</w:t>
            </w:r>
          </w:p>
        </w:tc>
      </w:tr>
      <w:tr w:rsidR="00D90B29" w14:paraId="15C49341" w14:textId="77777777" w:rsidTr="00FD4A18">
        <w:tc>
          <w:tcPr>
            <w:tcW w:w="4320" w:type="dxa"/>
          </w:tcPr>
          <w:p w14:paraId="5A121F86" w14:textId="77777777" w:rsidR="00D90B29" w:rsidRDefault="00D90B29">
            <w:r>
              <w:t>C – Information Systems Architecture</w:t>
            </w:r>
          </w:p>
        </w:tc>
        <w:tc>
          <w:tcPr>
            <w:tcW w:w="4320" w:type="dxa"/>
          </w:tcPr>
          <w:p w14:paraId="0450406F" w14:textId="77777777" w:rsidR="00D90B29" w:rsidRDefault="00D90B29">
            <w:r>
              <w:t>La arquitectura de datos y la de aplicaciones se desarrollarán en un único entregable integrado, dado el tamaño reducido de la solución y la fuerte dependencia entre el modelo de datos y los módulos de la plataforma.</w:t>
            </w:r>
          </w:p>
        </w:tc>
      </w:tr>
      <w:tr w:rsidR="00D90B29" w14:paraId="15C49341" w14:textId="77777777" w:rsidTr="00FD4A18">
        <w:tc>
          <w:tcPr>
            <w:tcW w:w="4320" w:type="dxa"/>
          </w:tcPr>
          <w:p w14:paraId="5A121F86" w14:textId="77777777" w:rsidR="00D90B29" w:rsidRDefault="00D90B29">
            <w:r>
              <w:t>D – Technology Architecture</w:t>
            </w:r>
          </w:p>
        </w:tc>
        <w:tc>
          <w:tcPr>
            <w:tcW w:w="4320" w:type="dxa"/>
          </w:tcPr>
          <w:p w14:paraId="0450406F" w14:textId="77777777" w:rsidR="00D90B29" w:rsidRDefault="00D90B29">
            <w:r>
              <w:t>Se enfocará en servicios de nube, plataforma móvil e integraciones externas. No se diseñará infraestructura física propia, ya que el modelo operativo de la empresa se apoya completamente en servicios gestionados.</w:t>
            </w:r>
          </w:p>
        </w:tc>
      </w:tr>
      <w:tr w:rsidR="00D90B29" w14:paraId="15C49341" w14:textId="77777777" w:rsidTr="00FD4A18">
        <w:tc>
          <w:tcPr>
            <w:tcW w:w="4320" w:type="dxa"/>
          </w:tcPr>
          <w:p w14:paraId="5A121F86" w14:textId="77777777" w:rsidR="00D90B29" w:rsidRDefault="00D90B29">
            <w:r>
              <w:t>E – Opportunities &amp; Solutions</w:t>
            </w:r>
          </w:p>
        </w:tc>
        <w:tc>
          <w:tcPr>
            <w:tcW w:w="4320" w:type="dxa"/>
          </w:tcPr>
          <w:p w14:paraId="0450406F" w14:textId="77777777" w:rsidR="00D90B29" w:rsidRDefault="00D90B29">
            <w:r>
              <w:t>Las funcionalidades se priorizarán según su aporte a los tres objetivos estratégicos del Taller #1, definiendo un producto mínimo viable (MVP) para el primer año de operación.</w:t>
            </w:r>
          </w:p>
        </w:tc>
      </w:tr>
      <w:tr w:rsidR="00D90B29" w14:paraId="15C49341" w14:textId="77777777" w:rsidTr="00FD4A18">
        <w:tc>
          <w:tcPr>
            <w:tcW w:w="4320" w:type="dxa"/>
          </w:tcPr>
          <w:p w14:paraId="5A121F86" w14:textId="77777777" w:rsidR="00D90B29" w:rsidRDefault="00D90B29">
            <w:r>
              <w:t>F – Migration Planning</w:t>
            </w:r>
          </w:p>
        </w:tc>
        <w:tc>
          <w:tcPr>
            <w:tcW w:w="4320" w:type="dxa"/>
          </w:tcPr>
          <w:p w14:paraId="0450406F" w14:textId="77777777" w:rsidR="00D90B29" w:rsidRDefault="00D90B29">
            <w:r>
              <w:t>Al no existir sistemas heredados por ser una empresa nueva, esta fase se adapta como un plan de despliegue por etapas: piloto en el Nuevo Mercado de Sincelejo y posterior expansión al resto de la ciudad.</w:t>
            </w:r>
          </w:p>
        </w:tc>
      </w:tr>
      <w:tr w:rsidR="00D90B29" w14:paraId="15C49341" w14:textId="77777777" w:rsidTr="00FD4A18">
        <w:tc>
          <w:tcPr>
            <w:tcW w:w="4320" w:type="dxa"/>
          </w:tcPr>
          <w:p w14:paraId="5A121F86" w14:textId="77777777" w:rsidR="00D90B29" w:rsidRDefault="00D90B29">
            <w:r>
              <w:t>G – Implementation Governance</w:t>
            </w:r>
          </w:p>
        </w:tc>
        <w:tc>
          <w:tcPr>
            <w:tcW w:w="4320" w:type="dxa"/>
          </w:tcPr>
          <w:p w14:paraId="0450406F" w14:textId="77777777" w:rsidR="00D90B29" w:rsidRDefault="00D90B29">
            <w:r>
              <w:t>La revisión de cumplimiento arquitectónico la realizan el equipo de arquitectura y el Líder de Tecnología al cierre de cada incremento de desarrollo, verificando la conformidad frente a los ocho principios definidos.</w:t>
            </w:r>
          </w:p>
        </w:tc>
      </w:tr>
      <w:tr w:rsidR="00D90B29" w14:paraId="15C49341" w14:textId="77777777" w:rsidTr="00FD4A18">
        <w:tc>
          <w:tcPr>
            <w:tcW w:w="4320" w:type="dxa"/>
          </w:tcPr>
          <w:p w14:paraId="5A121F86" w14:textId="77777777" w:rsidR="00D90B29" w:rsidRDefault="00D90B29">
            <w:r>
              <w:t>H – Architecture Change Management</w:t>
            </w:r>
          </w:p>
        </w:tc>
        <w:tc>
          <w:tcPr>
            <w:tcW w:w="4320" w:type="dxa"/>
          </w:tcPr>
          <w:p w14:paraId="0450406F" w14:textId="77777777" w:rsidR="00D90B29" w:rsidRDefault="00D90B29">
            <w:r>
              <w:t>Los cambios se gestionan mediante el control de versiones del repositorio GitHub: cada modificación se registra en un commit descriptivo que indica la decisión adoptada y su justificación.</w:t>
            </w:r>
          </w:p>
        </w:tc>
      </w:tr>
      <w:tr w:rsidR="00D90B29" w14:paraId="15C49341" w14:textId="77777777" w:rsidTr="00FD4A18">
        <w:tc>
          <w:tcPr>
            <w:tcW w:w="4320" w:type="dxa"/>
          </w:tcPr>
          <w:p w14:paraId="5A121F86" w14:textId="77777777" w:rsidR="00D90B29" w:rsidRDefault="00D90B29">
            <w:r>
              <w:t>Requirements Management (transversal)</w:t>
            </w:r>
          </w:p>
        </w:tc>
        <w:tc>
          <w:tcPr>
            <w:tcW w:w="4320" w:type="dxa"/>
          </w:tcPr>
          <w:p w14:paraId="0450406F" w14:textId="77777777" w:rsidR="00D90B29" w:rsidRDefault="00D90B29">
            <w:r>
              <w:t>Los requisitos se registran en el repositorio y se trazan explícitamente contra los principios de arquitectura y los objetivos estratégicos, de modo que toda solicitud de cambio pueda evaluarse frente a ellos.</w:t>
            </w:r>
          </w:p>
        </w:tc>
      </w:tr>
    </w:tbl>
    <w:p w14:paraId="7EFF0C98" w14:textId="77777777" w:rsidR="004C2589" w:rsidRDefault="004C2589"/>
    <w:p>
      <w:pPr>
        <w:pStyle w:val="Heading1"/>
      </w:pPr>
      <w:r>
        <w:t>Contenido Arquitectónico Esperado</w:t>
      </w:r>
    </w:p>
    <w:p>
      <w:pPr>
        <w:pStyle w:val="ListBullet"/>
      </w:pPr>
      <w:r>
        <w:t>Mapa de capacidades empresariales de CamelloYa, derivado de las cinco capacidades definidas en el Taller #1.</w:t>
      </w:r>
    </w:p>
    <w:p>
      <w:pPr>
        <w:pStyle w:val="ListBullet"/>
      </w:pPr>
      <w:r>
        <w:t>Modelo de los procesos núcleo: registro y verificación, emparejamiento, ejecución del servicio y liquidación.</w:t>
      </w:r>
    </w:p>
    <w:p>
      <w:pPr>
        <w:pStyle w:val="ListBullet"/>
      </w:pPr>
      <w:r>
        <w:t>Arquitectura de datos de trabajadores, solicitudes, servicios, calificaciones y transacciones de pago.</w:t>
      </w:r>
    </w:p>
    <w:p>
      <w:pPr>
        <w:pStyle w:val="ListBullet"/>
      </w:pPr>
      <w:r>
        <w:t>Arquitectura de aplicaciones: aplicación móvil, motor de emparejamiento, módulo de pagos y módulo de reputación.</w:t>
      </w:r>
    </w:p>
    <w:p>
      <w:pPr>
        <w:pStyle w:val="ListBullet"/>
      </w:pPr>
      <w:r>
        <w:t>Arquitectura tecnológica basada en servicios de nube y plataforma móvil.</w:t>
      </w:r>
    </w:p>
    <w:p>
      <w:pPr>
        <w:pStyle w:val="ListBullet"/>
      </w:pPr>
      <w:r>
        <w:t>Diagramas de integración con pasarela de pagos, servicios de mapas, verificación de identidad y mensajería.</w:t>
      </w:r>
    </w:p>
    <w:p>
      <w:pPr>
        <w:pStyle w:val="ListBullet"/>
      </w:pPr>
      <w:r>
        <w:t>Matriz de trazabilidad entre principios de arquitectura, objetivos estratégicos y decisiones adoptadas.</w:t>
      </w:r>
    </w:p>
    <w:p>
      <w:pPr>
        <w:pStyle w:val="Heading1"/>
      </w:pPr>
      <w:r>
        <w:t>Niveles de Detalle y Alcance de la Adaptación</w:t>
      </w:r>
    </w:p>
    <w:p>
      <w:pPr>
        <w:jc w:val="both"/>
      </w:pPr>
      <w:r>
        <w:t>La adaptación se orienta a mantener el rigor del método sin exceder la capacidad de ejecución del equipo. Por ello se conservan las nueve fases del ADM, pero se reducen las iteraciones, se integran entregables afines (fase C) y se simplifican las estructuras de gobierno, conservando siempre la trazabilidad entre la estrategia de negocio y las decisiones tecnológicas.</w:t>
      </w:r>
    </w:p>
    <w:sectPr w:rsidR="004C25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652748">
    <w:abstractNumId w:val="8"/>
  </w:num>
  <w:num w:numId="2" w16cid:durableId="1653103133">
    <w:abstractNumId w:val="6"/>
  </w:num>
  <w:num w:numId="3" w16cid:durableId="821778963">
    <w:abstractNumId w:val="5"/>
  </w:num>
  <w:num w:numId="4" w16cid:durableId="2018800540">
    <w:abstractNumId w:val="4"/>
  </w:num>
  <w:num w:numId="5" w16cid:durableId="677272897">
    <w:abstractNumId w:val="7"/>
  </w:num>
  <w:num w:numId="6" w16cid:durableId="1710757989">
    <w:abstractNumId w:val="3"/>
  </w:num>
  <w:num w:numId="7" w16cid:durableId="1329020081">
    <w:abstractNumId w:val="2"/>
  </w:num>
  <w:num w:numId="8" w16cid:durableId="1471170976">
    <w:abstractNumId w:val="1"/>
  </w:num>
  <w:num w:numId="9" w16cid:durableId="1702314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2589"/>
    <w:rsid w:val="00AA1D8D"/>
    <w:rsid w:val="00B47730"/>
    <w:rsid w:val="00CB0664"/>
    <w:rsid w:val="00D90B29"/>
    <w:rsid w:val="00DD1017"/>
    <w:rsid w:val="00FC693F"/>
    <w:rsid w:val="00FD4A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840125"/>
  <w14:defaultImageDpi w14:val="300"/>
  <w15:docId w15:val="{22BFFE62-D335-4077-BE5F-DFFFFBF76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Words>
  <Characters>121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Paso 5 - Adaptación del Framework TOGAF</dc:title>
  <dc:subject>Arquitectura Empresarial - CamelloYa S.A.S. - Fase Preliminar TOGAF</dc:subject>
  <dc:creator>Nakly Contreras</dc:creator>
  <cp:keywords>TOGAF; Fase Preliminar; CamelloYa; CECAR</cp:keywords>
  <dc:description/>
  <cp:lastModifiedBy>Nakly Contreras</cp:lastModifiedBy>
  <cp:revision>3</cp:revision>
  <dcterms:created xsi:type="dcterms:W3CDTF">2026-09-22T20:15:00Z</dcterms:created>
  <dcterms:modified xsi:type="dcterms:W3CDTF">2026-09-22T20:15:00Z</dcterms:modified>
  <cp:category/>
</cp:coreProperties>
</file>