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1BFC8" w14:textId="77777777" w:rsidR="008A290A" w:rsidRDefault="00000000">
      <w:pPr>
        <w:pStyle w:val="Title"/>
      </w:pPr>
      <w:r>
        <w:t>Paso 4 – Principios de Arquitectura</w:t>
      </w:r>
    </w:p>
    <w:p>
      <w:r>
        <w:rPr>
          <w:i/>
          <w:sz w:val="18"/>
        </w:rPr>
        <w:t>Proyecto: Arquitectura Empresarial para CamelloYa – Plataforma digital de intermediación laboral bajo demanda  |  Organización: CamelloYa S.A.S.  |  Autor(es): Marlon Kerguelen, Nakly Contreras  |  Fecha: 22 de septiembre de 2026</w:t>
      </w:r>
    </w:p>
    <w:p>
      <w:pPr>
        <w:pStyle w:val="Heading1"/>
      </w:pPr>
      <w:r>
        <w:t>Descripción</w:t>
      </w:r>
    </w:p>
    <w:p>
      <w:pPr>
        <w:jc w:val="both"/>
      </w:pPr>
      <w:r>
        <w:t>En este paso se establecen los principios que orientarán todas las decisiones arquitectónicas de CamelloYa S.A.S. Cada principio se deriva de la estrategia, las capacidades empresariales y las condiciones del entorno identificadas en el Taller #1, y se expresa mediante su declaración, la justificación que lo sustenta y las implicaciones que impone sobre el diseño de la solución.</w:t>
      </w:r>
    </w:p>
    <w:p>
      <w:pPr>
        <w:pStyle w:val="Heading1"/>
      </w:pPr>
      <w:r>
        <w:t>Catálogo de Principios de Arquitectura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autofit"/>
        <w:tblLook w:val="04A0" w:firstRow="1" w:lastRow="0" w:firstColumn="1" w:lastColumn="0" w:noHBand="0" w:noVBand="1"/>
      </w:tblPr>
      <w:tblGrid/>
      <w:tr w:rsidR="008A290A" w14:paraId="0F54C40A" w14:textId="77777777" w:rsidTr="002127CB">
        <w:tc>
          <w:tcPr/>
          <w:p w14:paraId="64C75B8F" w14:textId="77777777" w:rsidR="008A290A" w:rsidRDefault="00000000">
            <w:r>
              <w:t>Nombre del Principio</w:t>
            </w:r>
          </w:p>
        </w:tc>
        <w:tc>
          <w:tcPr/>
          <w:p w14:paraId="4F10592F" w14:textId="77777777" w:rsidR="008A290A" w:rsidRDefault="00000000">
            <w:r>
              <w:t>Declaración</w:t>
            </w:r>
          </w:p>
        </w:tc>
        <w:tc>
          <w:tcPr/>
          <w:p w14:paraId="413A50EB" w14:textId="77777777" w:rsidR="008A290A" w:rsidRDefault="00000000">
            <w:r>
              <w:t>Justificación</w:t>
            </w:r>
          </w:p>
        </w:tc>
        <w:tc>
          <w:tcPr/>
          <w:p w14:paraId="753F0FF9" w14:textId="77777777" w:rsidR="008A290A" w:rsidRDefault="00000000">
            <w:r>
              <w:t>Implicaciones</w:t>
            </w:r>
          </w:p>
        </w:tc>
      </w:tr>
      <w:tr w:rsidR="008A290A" w14:paraId="1E6282FF" w14:textId="77777777" w:rsidTr="002127CB">
        <w:tc>
          <w:tcPr/>
          <w:p w14:paraId="41F15B6C" w14:textId="77777777" w:rsidR="008A290A" w:rsidRDefault="008A290A">
            <w:r>
              <w:t>P1 – Confianza Verificable</w:t>
            </w:r>
          </w:p>
        </w:tc>
        <w:tc>
          <w:tcPr/>
          <w:p w14:paraId="634D0304" w14:textId="77777777" w:rsidR="008A290A" w:rsidRDefault="008A290A">
            <w:r>
              <w:t>Todo trabajador habilitado y todo servicio prestado a través de la plataforma deben contar con identidad verificada y trazabilidad completa.</w:t>
            </w:r>
          </w:p>
        </w:tc>
        <w:tc>
          <w:tcPr/>
          <w:p w14:paraId="1C79A6EB" w14:textId="77777777" w:rsidR="008A290A" w:rsidRDefault="008A290A">
            <w:r>
              <w:t>La ventaja competitiva de CamelloYa se sostiene en la confianza; sin verificación, la plataforma no se diferencia de los grupos informales de WhatsApp y Facebook que ya conectan oferta y demanda.</w:t>
            </w:r>
          </w:p>
        </w:tc>
        <w:tc>
          <w:tcPr/>
          <w:p w14:paraId="02053F85" w14:textId="77777777" w:rsidR="008A290A" w:rsidRDefault="008A290A">
            <w:r>
              <w:t>Integrar servicios de validación de identidad en el registro, conservar evidencia de cada servicio y tratar el sistema de calificaciones bidireccionales como componente central y no opcional.</w:t>
            </w:r>
          </w:p>
        </w:tc>
      </w:tr>
      <w:tr w:rsidR="008A290A" w14:paraId="4FFDE16F" w14:textId="77777777" w:rsidTr="002127CB">
        <w:tc>
          <w:tcPr/>
          <w:p w14:paraId="44483486" w14:textId="77777777" w:rsidR="008A290A" w:rsidRDefault="008A290A">
            <w:r>
              <w:t>P2 – Protección de Datos Personales por Diseño</w:t>
            </w:r>
          </w:p>
        </w:tc>
        <w:tc>
          <w:tcPr/>
          <w:p w14:paraId="2113D8E4" w14:textId="77777777" w:rsidR="008A290A" w:rsidRDefault="008A290A">
            <w:r>
              <w:t>La arquitectura debe incorporar desde el diseño los controles exigidos por la Ley 1581 de 2012 sobre los datos de identidad, ubicación y pago.</w:t>
            </w:r>
          </w:p>
        </w:tc>
        <w:tc>
          <w:tcPr/>
          <w:p w14:paraId="11745F00" w14:textId="77777777" w:rsidR="008A290A" w:rsidRDefault="008A290A">
            <w:r>
              <w:t>La plataforma trata datos sensibles de población vulnerable (documento, ubicación en tiempo real, información financiera) y su incumplimiento acarrea sanciones de la SIC y pérdida de confianza.</w:t>
            </w:r>
          </w:p>
        </w:tc>
        <w:tc>
          <w:tcPr/>
          <w:p w14:paraId="386D3102" w14:textId="77777777" w:rsidR="008A290A" w:rsidRDefault="008A290A">
            <w:r>
              <w:t>Cifrado en tránsito y en reposo, consentimiento informado y explícito, minimización de datos recolectados, políticas de retención definidas y registro de accesos a información personal.</w:t>
            </w:r>
          </w:p>
        </w:tc>
      </w:tr>
      <w:tr w:rsidR="008A290A" w14:paraId="573D6EA0" w14:textId="77777777" w:rsidTr="002127CB">
        <w:tc>
          <w:tcPr/>
          <w:p w14:paraId="59BE32A5" w14:textId="77777777" w:rsidR="008A290A" w:rsidRDefault="008A290A">
            <w:r>
              <w:t>P3 – Aplicación Liviana y Tolerante a Baja Conectividad</w:t>
            </w:r>
          </w:p>
        </w:tc>
        <w:tc>
          <w:tcPr/>
          <w:p w14:paraId="70A9BD2E" w14:textId="77777777" w:rsidR="008A290A" w:rsidRDefault="008A290A">
            <w:r>
              <w:t>La solución debe operar con bajo consumo de datos y degradarse de forma controlada en zonas de conectividad limitada.</w:t>
            </w:r>
          </w:p>
        </w:tc>
        <w:tc>
          <w:tcPr/>
          <w:p w14:paraId="3ACB745D" w14:textId="77777777" w:rsidR="008A290A" w:rsidRDefault="008A290A">
            <w:r>
              <w:t>La cobertura de internet es variable entre el centro y las zonas periféricas de Sincelejo y los usuarios objetivo disponen de planes de datos reducidos; una app pesada excluiría a buena parte del mercado.</w:t>
            </w:r>
          </w:p>
        </w:tc>
        <w:tc>
          <w:tcPr/>
          <w:p w14:paraId="2A3BE7EE" w14:textId="77777777" w:rsidR="008A290A" w:rsidRDefault="008A290A">
            <w:r>
              <w:t>Optimizar el tamaño de la aplicación, usar sincronización diferida y caché local, evitar dependencias pesadas en el cliente y diseñar flujos que toleren pérdidas temporales de conexión.</w:t>
            </w:r>
          </w:p>
        </w:tc>
      </w:tr>
      <w:tr w:rsidR="008A290A" w14:paraId="1E6282FF" w14:textId="77777777" w:rsidTr="002127CB">
        <w:tc>
          <w:tcPr/>
          <w:p w14:paraId="41F15B6C" w14:textId="77777777" w:rsidR="008A290A" w:rsidRDefault="008A290A">
            <w:r>
              <w:t>P4 – Integración mediante APIs Estándar</w:t>
            </w:r>
          </w:p>
        </w:tc>
        <w:tc>
          <w:tcPr/>
          <w:p w14:paraId="634D0304" w14:textId="77777777" w:rsidR="008A290A" w:rsidRDefault="008A290A">
            <w:r>
              <w:t>Toda comunicación con terceros (pagos, mapas, verificación de identidad y mensajería) se realizará mediante APIs documentadas y desacopladas del núcleo de la plataforma.</w:t>
            </w:r>
          </w:p>
        </w:tc>
        <w:tc>
          <w:tcPr/>
          <w:p w14:paraId="1C79A6EB" w14:textId="77777777" w:rsidR="008A290A" w:rsidRDefault="008A290A">
            <w:r>
              <w:t>CamelloYa depende de proveedores externos que pueden cambiar de condiciones, tarifas o disponibilidad; un acoplamiento directo elevaría el costo y el riesgo de sustituirlos.</w:t>
            </w:r>
          </w:p>
        </w:tc>
        <w:tc>
          <w:tcPr/>
          <w:p w14:paraId="02053F85" w14:textId="77777777" w:rsidR="008A290A" w:rsidRDefault="008A290A">
            <w:r>
              <w:t>Definir contratos de API explícitos, construir una capa de abstracción por tipo de proveedor y manejar de forma expresa los fallos, tiempos de espera y reintentos.</w:t>
            </w:r>
          </w:p>
        </w:tc>
      </w:tr>
      <w:tr w:rsidR="008A290A" w14:paraId="1E6282FF" w14:textId="77777777" w:rsidTr="002127CB">
        <w:tc>
          <w:tcPr/>
          <w:p w14:paraId="41F15B6C" w14:textId="77777777" w:rsidR="008A290A" w:rsidRDefault="008A290A">
            <w:r>
              <w:t>P5 – Escalabilidad Progresiva</w:t>
            </w:r>
          </w:p>
        </w:tc>
        <w:tc>
          <w:tcPr/>
          <w:p w14:paraId="634D0304" w14:textId="77777777" w:rsidR="008A290A" w:rsidRDefault="008A290A">
            <w:r>
              <w:t>La arquitectura debe soportar el crecimiento hasta la meta de 5.000 usuarios del primer año y los picos de demanda sin requerir un rediseño estructural.</w:t>
            </w:r>
          </w:p>
        </w:tc>
        <w:tc>
          <w:tcPr/>
          <w:p w14:paraId="1C79A6EB" w14:textId="77777777" w:rsidR="008A290A" w:rsidRDefault="008A290A">
            <w:r>
              <w:t>El primer objetivo estratégico fija una meta explícita de crecimiento, y las jornadas de alta actividad del Nuevo Mercado concentran la demanda en franjas horarias específicas.</w:t>
            </w:r>
          </w:p>
        </w:tc>
        <w:tc>
          <w:tcPr/>
          <w:p w14:paraId="02053F85" w14:textId="77777777" w:rsidR="008A290A" w:rsidRDefault="008A290A">
            <w:r>
              <w:t>Usar servicios en la nube con escalado elástico, separar los componentes de mayor carga (emparejamiento y notificaciones) y establecer monitoreo de capacidad desde el inicio.</w:t>
            </w:r>
          </w:p>
        </w:tc>
      </w:tr>
      <w:tr w:rsidR="008A290A" w14:paraId="1E6282FF" w14:textId="77777777" w:rsidTr="002127CB">
        <w:tc>
          <w:tcPr/>
          <w:p w14:paraId="41F15B6C" w14:textId="77777777" w:rsidR="008A290A" w:rsidRDefault="008A290A">
            <w:r>
              <w:t>P6 – Trazabilidad del Dinero</w:t>
            </w:r>
          </w:p>
        </w:tc>
        <w:tc>
          <w:tcPr/>
          <w:p w14:paraId="634D0304" w14:textId="77777777" w:rsidR="008A290A" w:rsidRDefault="008A290A">
            <w:r>
              <w:t>Toda transacción de cobro, comisión y liquidación debe quedar registrada de forma íntegra, auditable y conciliable.</w:t>
            </w:r>
          </w:p>
        </w:tc>
        <w:tc>
          <w:tcPr/>
          <w:p w14:paraId="1C79A6EB" w14:textId="77777777" w:rsidR="008A290A" w:rsidRDefault="008A290A">
            <w:r>
              <w:t>Los ingresos de la empresa provienen de la comisión por transacción y la permanencia del trabajador depende de recibir su pago correcto y oportuno; un error en este flujo destruye la confianza.</w:t>
            </w:r>
          </w:p>
        </w:tc>
        <w:tc>
          <w:tcPr/>
          <w:p w14:paraId="02053F85" w14:textId="77777777" w:rsidR="008A290A" w:rsidRDefault="008A290A">
            <w:r>
              <w:t>Registro no modificable de transacciones, conciliación automática con la pasarela de pagos, reportes de liquidación por trabajador y separación clara entre dinero de terceros e ingresos propios.</w:t>
            </w:r>
          </w:p>
        </w:tc>
      </w:tr>
      <w:tr w:rsidR="008A290A" w14:paraId="1E6282FF" w14:textId="77777777" w:rsidTr="002127CB">
        <w:tc>
          <w:tcPr/>
          <w:p w14:paraId="41F15B6C" w14:textId="77777777" w:rsidR="008A290A" w:rsidRDefault="008A290A">
            <w:r>
              <w:t>P7 – Decisiones Basadas en Datos</w:t>
            </w:r>
          </w:p>
        </w:tc>
        <w:tc>
          <w:tcPr/>
          <w:p w14:paraId="634D0304" w14:textId="77777777" w:rsidR="008A290A" w:rsidRDefault="008A290A">
            <w:r>
              <w:t>Los datos de oferta, demanda, emparejamiento, pagos y calificaciones deben consolidarse en un modelo común que soporte el análisis del negocio.</w:t>
            </w:r>
          </w:p>
        </w:tc>
        <w:tc>
          <w:tcPr/>
          <w:p w14:paraId="1C79A6EB" w14:textId="77777777" w:rsidR="008A290A" w:rsidRDefault="008A290A">
            <w:r>
              <w:t>La analítica de datos e inteligencia de mercado es una de las capacidades empresariales definidas en el Taller #1 y sustenta la mejora continua del emparejamiento.</w:t>
            </w:r>
          </w:p>
        </w:tc>
        <w:tc>
          <w:tcPr/>
          <w:p w14:paraId="02053F85" w14:textId="77777777" w:rsidR="008A290A" w:rsidRDefault="008A290A">
            <w:r>
              <w:t>Definir un modelo de datos común entre áreas, instrumentar indicadores desde la primera versión de la plataforma y evitar la creación de silos de información.</w:t>
            </w:r>
          </w:p>
        </w:tc>
      </w:tr>
      <w:tr w:rsidR="008A290A" w14:paraId="1E6282FF" w14:textId="77777777" w:rsidTr="002127CB">
        <w:tc>
          <w:tcPr/>
          <w:p w14:paraId="41F15B6C" w14:textId="77777777" w:rsidR="008A290A" w:rsidRDefault="008A290A">
            <w:r>
              <w:t>P8 – Reutilización antes que Construcción</w:t>
            </w:r>
          </w:p>
        </w:tc>
        <w:tc>
          <w:tcPr/>
          <w:p w14:paraId="634D0304" w14:textId="77777777" w:rsidR="008A290A" w:rsidRDefault="008A290A">
            <w:r>
              <w:t>Se preferirá el uso de servicios y componentes existentes (pagos, mapas, identidad, notificaciones) frente a desarrollos propios equivalentes.</w:t>
            </w:r>
          </w:p>
        </w:tc>
        <w:tc>
          <w:tcPr/>
          <w:p w14:paraId="1C79A6EB" w14:textId="77777777" w:rsidR="008A290A" w:rsidRDefault="008A290A">
            <w:r>
              <w:t>El equipo y el presupuesto de una empresa en formación son limitados; construir desde cero retrasaría la salida al mercado y aumentaría el riesgo técnico y regulatorio.</w:t>
            </w:r>
          </w:p>
        </w:tc>
        <w:tc>
          <w:tcPr/>
          <w:p w14:paraId="02053F85" w14:textId="77777777" w:rsidR="008A290A" w:rsidRDefault="008A290A">
            <w:r>
              <w:t>Evaluar proveedores antes de desarrollar, aceptar y documentar sus restricciones funcionales, y presupuestar de forma explícita sus costos recurrentes en el modelo financiero.</w:t>
            </w:r>
          </w:p>
        </w:tc>
      </w:tr>
    </w:tbl>
    <w:p w14:paraId="6AC9CFCE" w14:textId="77777777" w:rsidR="00771A05" w:rsidRDefault="00771A05"/>
    <w:p>
      <w:pPr>
        <w:pStyle w:val="Heading1"/>
      </w:pPr>
      <w:r>
        <w:t>Relación con los Objetivos Estratégicos</w:t>
      </w:r>
    </w:p>
    <w:p>
      <w:pPr>
        <w:jc w:val="both"/>
      </w:pPr>
      <w:r>
        <w:t>Los principios P1, P2 y P6 sostienen la ventaja competitiva basada en la confianza y habilitan el objetivo estratégico de alcanzar una tasa de finalización exitosa de servicios superior al 90 %.</w:t>
      </w:r>
    </w:p>
    <w:p>
      <w:pPr>
        <w:jc w:val="both"/>
      </w:pPr>
      <w:r>
        <w:t>Los principios P3, P5 y P8 apoyan el objetivo de alcanzar 5.000 usuarios registrados en el primer año, al reducir las barreras de adopción de la aplicación y permitir crecer sin rediseñar la solución.</w:t>
      </w:r>
    </w:p>
    <w:p>
      <w:pPr>
        <w:jc w:val="both"/>
      </w:pPr>
      <w:r>
        <w:t>Los principios P4 y P7 habilitan la vinculación de aliados comerciales y la mejora continua del emparejamiento, apoyando el objetivo de establecer alianzas con gremios del Nuevo Mercado de Sincelejo.</w:t>
      </w:r>
    </w:p>
    <w:p>
      <w:pPr>
        <w:jc w:val="both"/>
      </w:pPr>
      <w:r>
        <w:t>Ante un conflicto entre principios, la prioridad se resuelve en el siguiente orden: protección de datos personales y cumplimiento normativo, confianza y trazabilidad, y finalmente velocidad de entrega.</w:t>
      </w:r>
    </w:p>
    <w:sectPr w:rsidR="00771A05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563646">
    <w:abstractNumId w:val="8"/>
  </w:num>
  <w:num w:numId="2" w16cid:durableId="1638801571">
    <w:abstractNumId w:val="6"/>
  </w:num>
  <w:num w:numId="3" w16cid:durableId="759060628">
    <w:abstractNumId w:val="5"/>
  </w:num>
  <w:num w:numId="4" w16cid:durableId="1909266295">
    <w:abstractNumId w:val="4"/>
  </w:num>
  <w:num w:numId="5" w16cid:durableId="2096587498">
    <w:abstractNumId w:val="7"/>
  </w:num>
  <w:num w:numId="6" w16cid:durableId="617371159">
    <w:abstractNumId w:val="3"/>
  </w:num>
  <w:num w:numId="7" w16cid:durableId="2026982381">
    <w:abstractNumId w:val="2"/>
  </w:num>
  <w:num w:numId="8" w16cid:durableId="384138275">
    <w:abstractNumId w:val="1"/>
  </w:num>
  <w:num w:numId="9" w16cid:durableId="13862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7CB"/>
    <w:rsid w:val="0029639D"/>
    <w:rsid w:val="00326F90"/>
    <w:rsid w:val="00656C96"/>
    <w:rsid w:val="00771A05"/>
    <w:rsid w:val="008A29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63121"/>
  <w14:defaultImageDpi w14:val="300"/>
  <w15:docId w15:val="{A6949C54-E63F-4E6F-8749-156FE493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Paso 4 - Principios de Arquitectura</dc:title>
  <dc:subject>Arquitectura Empresarial - CamelloYa S.A.S. - Fase Preliminar TOGAF</dc:subject>
  <dc:creator>Nakly Contreras</dc:creator>
  <cp:keywords>TOGAF; Fase Preliminar; CamelloYa; CECAR</cp:keywords>
  <dc:description/>
  <cp:lastModifiedBy>Nakly Contreras</cp:lastModifiedBy>
  <cp:revision>3</cp:revision>
  <dcterms:created xsi:type="dcterms:W3CDTF">2026-09-22T20:15:00Z</dcterms:created>
  <dcterms:modified xsi:type="dcterms:W3CDTF">2026-09-22T20:15:00Z</dcterms:modified>
  <cp:category/>
</cp:coreProperties>
</file>