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r>
        <w:t xml:space="preserve"/>
      </w:r>
    </w:p>
    <w:p>
      <w:pPr>
        <w:spacing w:after="80"/>
        <w:jc w:val="center"/>
      </w:pPr>
      <w:r>
        <w:rPr>
          <w:rFonts w:ascii="Calibri" w:cs="Calibri" w:eastAsia="Calibri" w:hAnsi="Calibri"/>
          <w:b/>
          <w:bCs/>
          <w:color w:val="000000"/>
          <w:sz w:val="30"/>
          <w:szCs w:val="30"/>
        </w:rPr>
        <w:t xml:space="preserve">CORPORACIÓN UNIVERSITARIA DEL CARIBE – CECAR</w:t>
      </w:r>
    </w:p>
    <w:p>
      <w:pPr>
        <w:spacing w:after="40"/>
        <w:jc w:val="center"/>
      </w:pPr>
      <w:r>
        <w:rPr>
          <w:rFonts w:ascii="Calibri" w:cs="Calibri" w:eastAsia="Calibri" w:hAnsi="Calibri"/>
          <w:color w:val="404040"/>
          <w:sz w:val="24"/>
          <w:szCs w:val="24"/>
        </w:rPr>
        <w:t xml:space="preserve">FACULTAD DE INGENIERÍA</w:t>
      </w:r>
    </w:p>
    <w:p>
      <w:pPr>
        <w:spacing w:after="700"/>
        <w:jc w:val="center"/>
      </w:pPr>
      <w:r>
        <w:rPr>
          <w:rFonts w:ascii="Calibri" w:cs="Calibri" w:eastAsia="Calibri" w:hAnsi="Calibri"/>
          <w:color w:val="404040"/>
          <w:sz w:val="24"/>
          <w:szCs w:val="24"/>
        </w:rPr>
        <w:t xml:space="preserve">PROGRAMA DE INGENIERÍA DE SISTEMAS</w:t>
      </w:r>
    </w:p>
    <w:p>
      <w:pPr>
        <w:pBdr>
          <w:top w:val="single" w:color="000000" w:sz="8"/>
          <w:bottom w:val="single" w:color="000000" w:sz="8"/>
        </w:pBdr>
        <w:spacing w:after="200"/>
        <w:jc w:val="center"/>
      </w:pPr>
      <w:r>
        <w:rPr>
          <w:rFonts w:ascii="Calibri" w:cs="Calibri" w:eastAsia="Calibri" w:hAnsi="Calibri"/>
          <w:sz w:val="4"/>
          <w:szCs w:val="4"/>
        </w:rPr>
        <w:t xml:space="preserve"/>
      </w:r>
    </w:p>
    <w:p>
      <w:pPr>
        <w:spacing w:after="100" w:before="100"/>
        <w:jc w:val="center"/>
      </w:pPr>
      <w:r>
        <w:rPr>
          <w:rFonts w:ascii="Calibri" w:cs="Calibri" w:eastAsia="Calibri" w:hAnsi="Calibri"/>
          <w:b/>
          <w:bCs/>
          <w:color w:val="000000"/>
          <w:sz w:val="26"/>
          <w:szCs w:val="26"/>
        </w:rPr>
        <w:t xml:space="preserve">TALLER N.º 1</w:t>
      </w:r>
    </w:p>
    <w:p>
      <w:pPr>
        <w:spacing w:after="100"/>
        <w:jc w:val="center"/>
      </w:pPr>
      <w:r>
        <w:rPr>
          <w:rFonts w:ascii="Calibri" w:cs="Calibri" w:eastAsia="Calibri" w:hAnsi="Calibri"/>
          <w:b/>
          <w:bCs/>
          <w:color w:val="000000"/>
          <w:sz w:val="32"/>
          <w:szCs w:val="32"/>
        </w:rPr>
        <w:t xml:space="preserve">TRANSFORMACIÓN DIGITAL DEL COMERCIO LOCAL DE SINCELEJO</w:t>
      </w:r>
    </w:p>
    <w:p>
      <w:pPr>
        <w:spacing w:after="200"/>
        <w:jc w:val="center"/>
      </w:pPr>
      <w:r>
        <w:rPr>
          <w:rFonts w:ascii="Calibri" w:cs="Calibri" w:eastAsia="Calibri" w:hAnsi="Calibri"/>
          <w:i/>
          <w:iCs/>
          <w:color w:val="404040"/>
          <w:sz w:val="22"/>
          <w:szCs w:val="22"/>
        </w:rPr>
        <w:t xml:space="preserve">Caso de estudio: CamelloYa – Plataforma digital de intermediación laboral bajo demanda</w:t>
      </w:r>
    </w:p>
    <w:p>
      <w:pPr>
        <w:pBdr>
          <w:top w:val="single" w:color="000000" w:sz="8"/>
          <w:bottom w:val="single" w:color="000000" w:sz="8"/>
        </w:pBdr>
        <w:spacing w:after="700"/>
        <w:jc w:val="center"/>
      </w:pPr>
      <w:r>
        <w:rPr>
          <w:rFonts w:ascii="Calibri" w:cs="Calibri" w:eastAsia="Calibri" w:hAnsi="Calibri"/>
          <w:sz w:val="4"/>
          <w:szCs w:val="4"/>
        </w:rPr>
        <w:t xml:space="preserve"/>
      </w:r>
    </w:p>
    <w:p>
      <w:pPr>
        <w:spacing w:after="60"/>
        <w:jc w:val="center"/>
      </w:pPr>
      <w:r>
        <w:rPr>
          <w:rFonts w:ascii="Calibri" w:cs="Calibri" w:eastAsia="Calibri" w:hAnsi="Calibri"/>
          <w:b/>
          <w:bCs/>
          <w:sz w:val="22"/>
          <w:szCs w:val="22"/>
        </w:rPr>
        <w:t xml:space="preserve">Asignatura:</w:t>
      </w:r>
    </w:p>
    <w:p>
      <w:pPr>
        <w:spacing w:after="220"/>
        <w:jc w:val="center"/>
      </w:pPr>
      <w:r>
        <w:rPr>
          <w:rFonts w:ascii="Calibri" w:cs="Calibri" w:eastAsia="Calibri" w:hAnsi="Calibri"/>
          <w:sz w:val="22"/>
          <w:szCs w:val="22"/>
        </w:rPr>
        <w:t xml:space="preserve">Arquitectura Empresarial de TI</w:t>
      </w:r>
    </w:p>
    <w:p>
      <w:pPr>
        <w:spacing w:after="60"/>
        <w:jc w:val="center"/>
      </w:pPr>
      <w:r>
        <w:rPr>
          <w:rFonts w:ascii="Calibri" w:cs="Calibri" w:eastAsia="Calibri" w:hAnsi="Calibri"/>
          <w:b/>
          <w:bCs/>
          <w:sz w:val="22"/>
          <w:szCs w:val="22"/>
        </w:rPr>
        <w:t xml:space="preserve">Docente:</w:t>
      </w:r>
    </w:p>
    <w:p>
      <w:pPr>
        <w:spacing w:after="220"/>
        <w:jc w:val="center"/>
      </w:pPr>
      <w:r>
        <w:rPr>
          <w:rFonts w:ascii="Calibri" w:cs="Calibri" w:eastAsia="Calibri" w:hAnsi="Calibri"/>
          <w:sz w:val="22"/>
          <w:szCs w:val="22"/>
        </w:rPr>
        <w:t xml:space="preserve">Jhon Méndez</w:t>
      </w:r>
    </w:p>
    <w:p>
      <w:pPr>
        <w:spacing w:after="60"/>
        <w:jc w:val="center"/>
      </w:pPr>
      <w:r>
        <w:rPr>
          <w:rFonts w:ascii="Calibri" w:cs="Calibri" w:eastAsia="Calibri" w:hAnsi="Calibri"/>
          <w:b/>
          <w:bCs/>
          <w:sz w:val="22"/>
          <w:szCs w:val="22"/>
        </w:rPr>
        <w:t xml:space="preserve">Integrantes:</w:t>
      </w:r>
    </w:p>
    <w:p>
      <w:pPr>
        <w:spacing w:after="60"/>
        <w:jc w:val="center"/>
      </w:pPr>
      <w:r>
        <w:rPr>
          <w:rFonts w:ascii="Calibri" w:cs="Calibri" w:eastAsia="Calibri" w:hAnsi="Calibri"/>
          <w:sz w:val="22"/>
          <w:szCs w:val="22"/>
        </w:rPr>
        <w:t xml:space="preserve">Marlon Kerguelen</w:t>
      </w:r>
    </w:p>
    <w:p>
      <w:pPr>
        <w:spacing w:after="700"/>
        <w:jc w:val="center"/>
      </w:pPr>
      <w:r>
        <w:rPr>
          <w:rFonts w:ascii="Calibri" w:cs="Calibri" w:eastAsia="Calibri" w:hAnsi="Calibri"/>
          <w:sz w:val="22"/>
          <w:szCs w:val="22"/>
        </w:rPr>
        <w:t xml:space="preserve">Nakly Contreras</w:t>
      </w:r>
    </w:p>
    <w:p>
      <w:pPr>
        <w:spacing w:after="40" w:before="900"/>
        <w:jc w:val="center"/>
      </w:pPr>
      <w:r>
        <w:rPr>
          <w:rFonts w:ascii="Calibri" w:cs="Calibri" w:eastAsia="Calibri" w:hAnsi="Calibri"/>
          <w:color w:val="404040"/>
          <w:sz w:val="22"/>
          <w:szCs w:val="22"/>
        </w:rPr>
        <w:t xml:space="preserve">Sincelejo, Sucre – Colombia</w:t>
      </w:r>
    </w:p>
    <w:p>
      <w:pPr>
        <w:jc w:val="center"/>
      </w:pPr>
      <w:r>
        <w:rPr>
          <w:rFonts w:ascii="Calibri" w:cs="Calibri" w:eastAsia="Calibri" w:hAnsi="Calibri"/>
          <w:b/>
          <w:bCs/>
          <w:color w:val="000000"/>
          <w:sz w:val="22"/>
          <w:szCs w:val="22"/>
        </w:rPr>
        <w:t xml:space="preserve">2026</w:t>
      </w:r>
    </w:p>
    <w:p>
      <w:r>
        <w:br w:type="page"/>
      </w:r>
    </w:p>
    <w:p>
      <w:pPr>
        <w:sectPr>
          <w:pgSz w:w="12240" w:h="15840" w:orient="portrait"/>
          <w:pgMar w:top="1080" w:right="1080" w:bottom="1080" w:left="1080" w:header="708" w:footer="708" w:gutter="0"/>
          <w:pgNumType/>
          <w:docGrid w:linePitch="360"/>
        </w:sectPr>
      </w:pPr>
    </w:p>
    <w:p>
      <w:pPr>
        <w:pStyle w:val="Heading1"/>
        <w:pBdr>
          <w:bottom w:val="single" w:color="000000" w:sz="6" w:space="4"/>
        </w:pBdr>
        <w:spacing w:after="160" w:before="320"/>
      </w:pPr>
      <w:r>
        <w:rPr>
          <w:rFonts w:ascii="Calibri" w:cs="Calibri" w:eastAsia="Calibri" w:hAnsi="Calibri"/>
          <w:b/>
          <w:bCs/>
          <w:color w:val="000000"/>
          <w:sz w:val="30"/>
          <w:szCs w:val="30"/>
        </w:rPr>
        <w:t xml:space="preserve">Contexto del caso</w:t>
      </w:r>
    </w:p>
    <w:p>
      <w:pPr>
        <w:spacing w:after="160" w:line="300"/>
        <w:jc w:val="both"/>
      </w:pPr>
      <w:r>
        <w:rPr>
          <w:rFonts w:ascii="Calibri" w:cs="Calibri" w:eastAsia="Calibri" w:hAnsi="Calibri"/>
          <w:b w:val="false"/>
          <w:bCs w:val="false"/>
          <w:i w:val="false"/>
          <w:iCs w:val="false"/>
          <w:color w:val="000000"/>
          <w:sz w:val="22"/>
          <w:szCs w:val="22"/>
        </w:rPr>
        <w:t xml:space="preserve">Sincelejo presenta una fuerte dinámica de comercio local, sostenida en su mayoría por pequeños negocios, comerciantes independientes y micronegocios. Según el DANE, entre octubre y diciembre de 2025 el 67,9 % de la población ocupada de la ciudad se encontraba en la informalidad, una cifra muy superior al promedio nacional (55,7 %), y la Encuesta de Micronegocios 2024 identificó que el 96,4 % de los micronegocios locales corresponden a trabajadores por cuenta propia.</w:t>
      </w:r>
    </w:p>
    <w:p>
      <w:pPr>
        <w:spacing w:after="160" w:line="300"/>
        <w:jc w:val="both"/>
      </w:pPr>
      <w:r>
        <w:rPr>
          <w:rFonts w:ascii="Calibri" w:cs="Calibri" w:eastAsia="Calibri" w:hAnsi="Calibri"/>
          <w:b w:val="false"/>
          <w:bCs w:val="false"/>
          <w:i w:val="false"/>
          <w:iCs w:val="false"/>
          <w:color w:val="000000"/>
          <w:sz w:val="22"/>
          <w:szCs w:val="22"/>
        </w:rPr>
        <w:t xml:space="preserve">A pesar de esta informalidad, el comercio local muestra un crecimiento importante: entre 2023 y 2024 los micronegocios de Sincelejo registraron incrementos cercanos al 47,8 % en ingresos nominales y al 45,9 % en valor agregado, y el Nuevo Mercado de la ciudad —con más de 1.000 locales— abasteció 145.338 toneladas de alimentos durante 2025. Sin embargo, herramientas como redes sociales, WhatsApp, transferencias y coordinación manual de domicilios operan de forma aislada, lo que dificulta gestionar pedidos, pagos, entregas e información de clientes de manera integrada.</w:t>
      </w:r>
    </w:p>
    <w:p>
      <w:pPr>
        <w:spacing w:after="160" w:line="300"/>
        <w:jc w:val="both"/>
      </w:pPr>
      <w:r>
        <w:rPr>
          <w:rFonts w:ascii="Calibri" w:cs="Calibri" w:eastAsia="Calibri" w:hAnsi="Calibri"/>
          <w:b w:val="false"/>
          <w:bCs w:val="false"/>
          <w:i w:val="false"/>
          <w:iCs w:val="false"/>
          <w:color w:val="000000"/>
          <w:sz w:val="22"/>
          <w:szCs w:val="22"/>
        </w:rPr>
        <w:t xml:space="preserve">Este panorama abre la oportunidad de impulsar la transformación digital del comercio local, no solo desde la venta de productos, sino también desde la conexión de la fuerza laboral informal —que representa a la mayoría de la población ocupada— con las personas y negocios que requieren su trabajo. A partir de este contexto se desarrolla el presente taller, tomando como idea de negocio una plataforma de intermediación laboral bajo demanda, inspirada en el modelo Uber pero aplicada al empleo y los oficios informales.</w:t>
      </w:r>
    </w:p>
    <w:p>
      <w:pPr>
        <w:pStyle w:val="Heading1"/>
        <w:pBdr>
          <w:bottom w:val="single" w:color="000000" w:sz="6" w:space="4"/>
        </w:pBdr>
        <w:spacing w:after="160" w:before="320"/>
      </w:pPr>
      <w:r>
        <w:rPr>
          <w:rFonts w:ascii="Calibri" w:cs="Calibri" w:eastAsia="Calibri" w:hAnsi="Calibri"/>
          <w:b/>
          <w:bCs/>
          <w:color w:val="000000"/>
          <w:sz w:val="30"/>
          <w:szCs w:val="30"/>
        </w:rPr>
        <w:t xml:space="preserve">Entorno</w:t>
      </w:r>
    </w:p>
    <w:p>
      <w:pPr>
        <w:pBdr>
          <w:top w:val="single" w:color="000000" w:sz="4"/>
          <w:bottom w:val="single" w:color="000000" w:sz="4"/>
          <w:left w:val="single" w:color="000000" w:sz="4"/>
          <w:right w:val="single" w:color="000000" w:sz="4"/>
        </w:pBdr>
        <w:shd w:fill="D9D9D9" w:color="auto" w:val="clear"/>
        <w:spacing w:after="200" w:before="80"/>
        <w:ind w:left="100" w:right="100"/>
      </w:pPr>
      <w:r>
        <w:rPr>
          <w:rFonts w:ascii="Calibri" w:cs="Calibri" w:eastAsia="Calibri" w:hAnsi="Calibri"/>
          <w:i/>
          <w:iCs/>
          <w:color w:val="404040"/>
          <w:sz w:val="20"/>
          <w:szCs w:val="20"/>
        </w:rPr>
        <w:t xml:space="preserve">Se identifican los elementos del entorno externo que influyen, generan oportunidades o representan amenazas para el comercio local de Sincelejo y, en particular, para la idea de negocio planteada.</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000"/>
        <w:gridCol w:w="4600"/>
        <w:gridCol w:w="3600"/>
      </w:tblGrid>
      <w:tr>
        <w:trPr>
          <w:tblHeader/>
        </w:trPr>
        <w:tc>
          <w:tcPr>
            <w:tcW w:type="dxa" w:w="2000"/>
            <w:tcBorders>
              <w:top w:val="single" w:color="000000" w:sz="4"/>
              <w:left w:val="single" w:color="000000" w:sz="4"/>
              <w:bottom w:val="single" w:color="000000" w:sz="4"/>
              <w:right w:val="single" w:color="000000" w:sz="4"/>
            </w:tcBorders>
            <w:shd w:fill="404040"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Tipo de entorno</w:t>
            </w:r>
          </w:p>
        </w:tc>
        <w:tc>
          <w:tcPr>
            <w:tcW w:type="dxa" w:w="4600"/>
            <w:tcBorders>
              <w:top w:val="single" w:color="000000" w:sz="4"/>
              <w:left w:val="single" w:color="000000" w:sz="4"/>
              <w:bottom w:val="single" w:color="000000" w:sz="4"/>
              <w:right w:val="single" w:color="000000" w:sz="4"/>
            </w:tcBorders>
            <w:shd w:fill="404040"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Descripción</w:t>
            </w:r>
          </w:p>
        </w:tc>
        <w:tc>
          <w:tcPr>
            <w:tcW w:type="dxa" w:w="3600"/>
            <w:tcBorders>
              <w:top w:val="single" w:color="000000" w:sz="4"/>
              <w:left w:val="single" w:color="000000" w:sz="4"/>
              <w:bottom w:val="single" w:color="000000" w:sz="4"/>
              <w:right w:val="single" w:color="000000" w:sz="4"/>
            </w:tcBorders>
            <w:shd w:fill="404040"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Impacto sobre el caso</w:t>
            </w:r>
          </w:p>
        </w:tc>
      </w:tr>
      <w:tr>
        <w:tc>
          <w:tcPr>
            <w:tcW w:type="dxa" w:w="20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60"/>
              <w:jc w:val="left"/>
            </w:pPr>
            <w:r>
              <w:rPr>
                <w:rFonts w:ascii="Calibri" w:cs="Calibri" w:eastAsia="Calibri" w:hAnsi="Calibri"/>
                <w:b w:val="false"/>
                <w:bCs w:val="false"/>
                <w:sz w:val="20"/>
                <w:szCs w:val="20"/>
              </w:rPr>
              <w:t xml:space="preserve">Económico</w:t>
            </w:r>
          </w:p>
        </w:tc>
        <w:tc>
          <w:tcPr>
            <w:tcW w:type="dxa" w:w="46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60"/>
              <w:jc w:val="left"/>
            </w:pPr>
            <w:r>
              <w:rPr>
                <w:rFonts w:ascii="Calibri" w:cs="Calibri" w:eastAsia="Calibri" w:hAnsi="Calibri"/>
                <w:b w:val="false"/>
                <w:bCs w:val="false"/>
                <w:sz w:val="20"/>
                <w:szCs w:val="20"/>
              </w:rPr>
              <w:t xml:space="preserve">Alta tasa de informalidad laboral (67,9 %) y predominio de trabajadores por cuenta propia (96,4 %) en los micronegocios de Sincelejo.</w:t>
            </w:r>
          </w:p>
        </w:tc>
        <w:tc>
          <w:tcPr>
            <w:tcW w:type="dxa" w:w="36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60"/>
              <w:jc w:val="left"/>
            </w:pPr>
            <w:r>
              <w:rPr>
                <w:rFonts w:ascii="Calibri" w:cs="Calibri" w:eastAsia="Calibri" w:hAnsi="Calibri"/>
                <w:b w:val="false"/>
                <w:bCs w:val="false"/>
                <w:sz w:val="20"/>
                <w:szCs w:val="20"/>
              </w:rPr>
              <w:t xml:space="preserve">Genera una gran masa de trabajadores sin canales formales de conexión con oportunidades de ingreso, lo que representa la base de usuarios potenciales de la plataforma.</w:t>
            </w:r>
          </w:p>
        </w:tc>
      </w:tr>
      <w:tr>
        <w:tc>
          <w:tcPr>
            <w:tcW w:type="dxa" w:w="2000"/>
            <w:tcBorders>
              <w:top w:val="single" w:color="000000" w:sz="4"/>
              <w:left w:val="single" w:color="000000" w:sz="4"/>
              <w:bottom w:val="single" w:color="000000" w:sz="4"/>
              <w:right w:val="single" w:color="000000" w:sz="4"/>
            </w:tcBorders>
            <w:shd w:fill="D9D9D9" w:color="auto" w:val="clear"/>
            <w:tcMar>
              <w:top w:type="dxa" w:w="100"/>
              <w:left w:type="dxa" w:w="120"/>
              <w:bottom w:type="dxa" w:w="100"/>
              <w:right w:type="dxa" w:w="120"/>
            </w:tcMar>
            <w:vAlign w:val="center"/>
          </w:tcPr>
          <w:p>
            <w:pPr>
              <w:spacing w:after="60"/>
              <w:jc w:val="left"/>
            </w:pPr>
            <w:r>
              <w:rPr>
                <w:rFonts w:ascii="Calibri" w:cs="Calibri" w:eastAsia="Calibri" w:hAnsi="Calibri"/>
                <w:b w:val="false"/>
                <w:bCs w:val="false"/>
                <w:sz w:val="20"/>
                <w:szCs w:val="20"/>
              </w:rPr>
              <w:t xml:space="preserve">Tecnológico</w:t>
            </w:r>
          </w:p>
        </w:tc>
        <w:tc>
          <w:tcPr>
            <w:tcW w:type="dxa" w:w="4600"/>
            <w:tcBorders>
              <w:top w:val="single" w:color="000000" w:sz="4"/>
              <w:left w:val="single" w:color="000000" w:sz="4"/>
              <w:bottom w:val="single" w:color="000000" w:sz="4"/>
              <w:right w:val="single" w:color="000000" w:sz="4"/>
            </w:tcBorders>
            <w:shd w:fill="D9D9D9" w:color="auto" w:val="clear"/>
            <w:tcMar>
              <w:top w:type="dxa" w:w="100"/>
              <w:left w:type="dxa" w:w="120"/>
              <w:bottom w:type="dxa" w:w="100"/>
              <w:right w:type="dxa" w:w="120"/>
            </w:tcMar>
            <w:vAlign w:val="center"/>
          </w:tcPr>
          <w:p>
            <w:pPr>
              <w:spacing w:after="60"/>
              <w:jc w:val="left"/>
            </w:pPr>
            <w:r>
              <w:rPr>
                <w:rFonts w:ascii="Calibri" w:cs="Calibri" w:eastAsia="Calibri" w:hAnsi="Calibri"/>
                <w:b w:val="false"/>
                <w:bCs w:val="false"/>
                <w:sz w:val="20"/>
                <w:szCs w:val="20"/>
              </w:rPr>
              <w:t xml:space="preserve">Uso extendido de smartphones, redes sociales, WhatsApp y pagos digitales, aunque de forma fragmentada e independiente.</w:t>
            </w:r>
          </w:p>
        </w:tc>
        <w:tc>
          <w:tcPr>
            <w:tcW w:type="dxa" w:w="3600"/>
            <w:tcBorders>
              <w:top w:val="single" w:color="000000" w:sz="4"/>
              <w:left w:val="single" w:color="000000" w:sz="4"/>
              <w:bottom w:val="single" w:color="000000" w:sz="4"/>
              <w:right w:val="single" w:color="000000" w:sz="4"/>
            </w:tcBorders>
            <w:shd w:fill="D9D9D9" w:color="auto" w:val="clear"/>
            <w:tcMar>
              <w:top w:type="dxa" w:w="100"/>
              <w:left w:type="dxa" w:w="120"/>
              <w:bottom w:type="dxa" w:w="100"/>
              <w:right w:type="dxa" w:w="120"/>
            </w:tcMar>
            <w:vAlign w:val="center"/>
          </w:tcPr>
          <w:p>
            <w:pPr>
              <w:spacing w:after="60"/>
              <w:jc w:val="left"/>
            </w:pPr>
            <w:r>
              <w:rPr>
                <w:rFonts w:ascii="Calibri" w:cs="Calibri" w:eastAsia="Calibri" w:hAnsi="Calibri"/>
                <w:b w:val="false"/>
                <w:bCs w:val="false"/>
                <w:sz w:val="20"/>
                <w:szCs w:val="20"/>
              </w:rPr>
              <w:t xml:space="preserve">Facilita la adopción de una app móvil, ya que la población está familiarizada con herramientas digitales; a la vez evidencia la necesidad de integrarlas en una sola solución.</w:t>
            </w:r>
          </w:p>
        </w:tc>
      </w:tr>
      <w:tr>
        <w:tc>
          <w:tcPr>
            <w:tcW w:type="dxa" w:w="20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60"/>
              <w:jc w:val="left"/>
            </w:pPr>
            <w:r>
              <w:rPr>
                <w:rFonts w:ascii="Calibri" w:cs="Calibri" w:eastAsia="Calibri" w:hAnsi="Calibri"/>
                <w:b w:val="false"/>
                <w:bCs w:val="false"/>
                <w:sz w:val="20"/>
                <w:szCs w:val="20"/>
              </w:rPr>
              <w:t xml:space="preserve">Social</w:t>
            </w:r>
          </w:p>
        </w:tc>
        <w:tc>
          <w:tcPr>
            <w:tcW w:type="dxa" w:w="46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60"/>
              <w:jc w:val="left"/>
            </w:pPr>
            <w:r>
              <w:rPr>
                <w:rFonts w:ascii="Calibri" w:cs="Calibri" w:eastAsia="Calibri" w:hAnsi="Calibri"/>
                <w:b w:val="false"/>
                <w:bCs w:val="false"/>
                <w:sz w:val="20"/>
                <w:szCs w:val="20"/>
              </w:rPr>
              <w:t xml:space="preserve">Crecimiento de la economía del "rebusque" y de la búsqueda de ingresos flexibles, especialmente entre jóvenes y población subempleada.</w:t>
            </w:r>
          </w:p>
        </w:tc>
        <w:tc>
          <w:tcPr>
            <w:tcW w:type="dxa" w:w="36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60"/>
              <w:jc w:val="left"/>
            </w:pPr>
            <w:r>
              <w:rPr>
                <w:rFonts w:ascii="Calibri" w:cs="Calibri" w:eastAsia="Calibri" w:hAnsi="Calibri"/>
                <w:b w:val="false"/>
                <w:bCs w:val="false"/>
                <w:sz w:val="20"/>
                <w:szCs w:val="20"/>
              </w:rPr>
              <w:t xml:space="preserve">Define el perfil del trabajador objetivo de la plataforma: personas que buscan oficios cortos, domicilios y trabajos ocasionales como fuente de ingreso.</w:t>
            </w:r>
          </w:p>
        </w:tc>
      </w:tr>
      <w:tr>
        <w:tc>
          <w:tcPr>
            <w:tcW w:type="dxa" w:w="2000"/>
            <w:tcBorders>
              <w:top w:val="single" w:color="000000" w:sz="4"/>
              <w:left w:val="single" w:color="000000" w:sz="4"/>
              <w:bottom w:val="single" w:color="000000" w:sz="4"/>
              <w:right w:val="single" w:color="000000" w:sz="4"/>
            </w:tcBorders>
            <w:shd w:fill="D9D9D9" w:color="auto" w:val="clear"/>
            <w:tcMar>
              <w:top w:type="dxa" w:w="100"/>
              <w:left w:type="dxa" w:w="120"/>
              <w:bottom w:type="dxa" w:w="100"/>
              <w:right w:type="dxa" w:w="120"/>
            </w:tcMar>
            <w:vAlign w:val="center"/>
          </w:tcPr>
          <w:p>
            <w:pPr>
              <w:spacing w:after="60"/>
              <w:jc w:val="left"/>
            </w:pPr>
            <w:r>
              <w:rPr>
                <w:rFonts w:ascii="Calibri" w:cs="Calibri" w:eastAsia="Calibri" w:hAnsi="Calibri"/>
                <w:b w:val="false"/>
                <w:bCs w:val="false"/>
                <w:sz w:val="20"/>
                <w:szCs w:val="20"/>
              </w:rPr>
              <w:t xml:space="preserve">Regulatorio</w:t>
            </w:r>
          </w:p>
        </w:tc>
        <w:tc>
          <w:tcPr>
            <w:tcW w:type="dxa" w:w="4600"/>
            <w:tcBorders>
              <w:top w:val="single" w:color="000000" w:sz="4"/>
              <w:left w:val="single" w:color="000000" w:sz="4"/>
              <w:bottom w:val="single" w:color="000000" w:sz="4"/>
              <w:right w:val="single" w:color="000000" w:sz="4"/>
            </w:tcBorders>
            <w:shd w:fill="D9D9D9" w:color="auto" w:val="clear"/>
            <w:tcMar>
              <w:top w:type="dxa" w:w="100"/>
              <w:left w:type="dxa" w:w="120"/>
              <w:bottom w:type="dxa" w:w="100"/>
              <w:right w:type="dxa" w:w="120"/>
            </w:tcMar>
            <w:vAlign w:val="center"/>
          </w:tcPr>
          <w:p>
            <w:pPr>
              <w:spacing w:after="60"/>
              <w:jc w:val="left"/>
            </w:pPr>
            <w:r>
              <w:rPr>
                <w:rFonts w:ascii="Calibri" w:cs="Calibri" w:eastAsia="Calibri" w:hAnsi="Calibri"/>
                <w:b w:val="false"/>
                <w:bCs w:val="false"/>
                <w:sz w:val="20"/>
                <w:szCs w:val="20"/>
              </w:rPr>
              <w:t xml:space="preserve">Normativa laboral colombiana, regulación de plataformas digitales de intermediación y la Ley de protección de datos personales (Ley 1581 de 2012).</w:t>
            </w:r>
          </w:p>
        </w:tc>
        <w:tc>
          <w:tcPr>
            <w:tcW w:type="dxa" w:w="3600"/>
            <w:tcBorders>
              <w:top w:val="single" w:color="000000" w:sz="4"/>
              <w:left w:val="single" w:color="000000" w:sz="4"/>
              <w:bottom w:val="single" w:color="000000" w:sz="4"/>
              <w:right w:val="single" w:color="000000" w:sz="4"/>
            </w:tcBorders>
            <w:shd w:fill="D9D9D9" w:color="auto" w:val="clear"/>
            <w:tcMar>
              <w:top w:type="dxa" w:w="100"/>
              <w:left w:type="dxa" w:w="120"/>
              <w:bottom w:type="dxa" w:w="100"/>
              <w:right w:type="dxa" w:w="120"/>
            </w:tcMar>
            <w:vAlign w:val="center"/>
          </w:tcPr>
          <w:p>
            <w:pPr>
              <w:spacing w:after="60"/>
              <w:jc w:val="left"/>
            </w:pPr>
            <w:r>
              <w:rPr>
                <w:rFonts w:ascii="Calibri" w:cs="Calibri" w:eastAsia="Calibri" w:hAnsi="Calibri"/>
                <w:b w:val="false"/>
                <w:bCs w:val="false"/>
                <w:sz w:val="20"/>
                <w:szCs w:val="20"/>
              </w:rPr>
              <w:t xml:space="preserve">Determina el modelo contractual entre trabajadores, usuarios y la plataforma, así como las obligaciones en el tratamiento de datos personales y de pago.</w:t>
            </w:r>
          </w:p>
        </w:tc>
      </w:tr>
      <w:tr>
        <w:tc>
          <w:tcPr>
            <w:tcW w:type="dxa" w:w="20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60"/>
              <w:jc w:val="left"/>
            </w:pPr>
            <w:r>
              <w:rPr>
                <w:rFonts w:ascii="Calibri" w:cs="Calibri" w:eastAsia="Calibri" w:hAnsi="Calibri"/>
                <w:b w:val="false"/>
                <w:bCs w:val="false"/>
                <w:sz w:val="20"/>
                <w:szCs w:val="20"/>
              </w:rPr>
              <w:t xml:space="preserve">Competitivo</w:t>
            </w:r>
          </w:p>
        </w:tc>
        <w:tc>
          <w:tcPr>
            <w:tcW w:type="dxa" w:w="46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60"/>
              <w:jc w:val="left"/>
            </w:pPr>
            <w:r>
              <w:rPr>
                <w:rFonts w:ascii="Calibri" w:cs="Calibri" w:eastAsia="Calibri" w:hAnsi="Calibri"/>
                <w:b w:val="false"/>
                <w:bCs w:val="false"/>
                <w:sz w:val="20"/>
                <w:szCs w:val="20"/>
              </w:rPr>
              <w:t xml:space="preserve">Existencia de plataformas generales de empleo (Computrabajo, LinkedIn) y de canales informales (grupos de WhatsApp, Facebook Marketplace) que ya conectan oferta y demanda de trabajo.</w:t>
            </w:r>
          </w:p>
        </w:tc>
        <w:tc>
          <w:tcPr>
            <w:tcW w:type="dxa" w:w="36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60"/>
              <w:jc w:val="left"/>
            </w:pPr>
            <w:r>
              <w:rPr>
                <w:rFonts w:ascii="Calibri" w:cs="Calibri" w:eastAsia="Calibri" w:hAnsi="Calibri"/>
                <w:b w:val="false"/>
                <w:bCs w:val="false"/>
                <w:sz w:val="20"/>
                <w:szCs w:val="20"/>
              </w:rPr>
              <w:t xml:space="preserve">Obliga a diferenciar la propuesta enfocándose en oficios locales de corta duración y en la confianza, en lugar de competir por empleo formal de tiempo completo.</w:t>
            </w:r>
          </w:p>
        </w:tc>
      </w:tr>
      <w:tr>
        <w:tc>
          <w:tcPr>
            <w:tcW w:type="dxa" w:w="2000"/>
            <w:tcBorders>
              <w:top w:val="single" w:color="000000" w:sz="4"/>
              <w:left w:val="single" w:color="000000" w:sz="4"/>
              <w:bottom w:val="single" w:color="000000" w:sz="4"/>
              <w:right w:val="single" w:color="000000" w:sz="4"/>
            </w:tcBorders>
            <w:shd w:fill="D9D9D9" w:color="auto" w:val="clear"/>
            <w:tcMar>
              <w:top w:type="dxa" w:w="100"/>
              <w:left w:type="dxa" w:w="120"/>
              <w:bottom w:type="dxa" w:w="100"/>
              <w:right w:type="dxa" w:w="120"/>
            </w:tcMar>
            <w:vAlign w:val="center"/>
          </w:tcPr>
          <w:p>
            <w:pPr>
              <w:spacing w:after="60"/>
              <w:jc w:val="left"/>
            </w:pPr>
            <w:r>
              <w:rPr>
                <w:rFonts w:ascii="Calibri" w:cs="Calibri" w:eastAsia="Calibri" w:hAnsi="Calibri"/>
                <w:b w:val="false"/>
                <w:bCs w:val="false"/>
                <w:sz w:val="20"/>
                <w:szCs w:val="20"/>
              </w:rPr>
              <w:t xml:space="preserve">Infraestructura</w:t>
            </w:r>
          </w:p>
        </w:tc>
        <w:tc>
          <w:tcPr>
            <w:tcW w:type="dxa" w:w="4600"/>
            <w:tcBorders>
              <w:top w:val="single" w:color="000000" w:sz="4"/>
              <w:left w:val="single" w:color="000000" w:sz="4"/>
              <w:bottom w:val="single" w:color="000000" w:sz="4"/>
              <w:right w:val="single" w:color="000000" w:sz="4"/>
            </w:tcBorders>
            <w:shd w:fill="D9D9D9" w:color="auto" w:val="clear"/>
            <w:tcMar>
              <w:top w:type="dxa" w:w="100"/>
              <w:left w:type="dxa" w:w="120"/>
              <w:bottom w:type="dxa" w:w="100"/>
              <w:right w:type="dxa" w:w="120"/>
            </w:tcMar>
            <w:vAlign w:val="center"/>
          </w:tcPr>
          <w:p>
            <w:pPr>
              <w:spacing w:after="60"/>
              <w:jc w:val="left"/>
            </w:pPr>
            <w:r>
              <w:rPr>
                <w:rFonts w:ascii="Calibri" w:cs="Calibri" w:eastAsia="Calibri" w:hAnsi="Calibri"/>
                <w:b w:val="false"/>
                <w:bCs w:val="false"/>
                <w:sz w:val="20"/>
                <w:szCs w:val="20"/>
              </w:rPr>
              <w:t xml:space="preserve">Cobertura de conectividad móvil e internet variable entre el centro y las zonas periféricas de Sincelejo.</w:t>
            </w:r>
          </w:p>
        </w:tc>
        <w:tc>
          <w:tcPr>
            <w:tcW w:type="dxa" w:w="3600"/>
            <w:tcBorders>
              <w:top w:val="single" w:color="000000" w:sz="4"/>
              <w:left w:val="single" w:color="000000" w:sz="4"/>
              <w:bottom w:val="single" w:color="000000" w:sz="4"/>
              <w:right w:val="single" w:color="000000" w:sz="4"/>
            </w:tcBorders>
            <w:shd w:fill="D9D9D9" w:color="auto" w:val="clear"/>
            <w:tcMar>
              <w:top w:type="dxa" w:w="100"/>
              <w:left w:type="dxa" w:w="120"/>
              <w:bottom w:type="dxa" w:w="100"/>
              <w:right w:type="dxa" w:w="120"/>
            </w:tcMar>
            <w:vAlign w:val="center"/>
          </w:tcPr>
          <w:p>
            <w:pPr>
              <w:spacing w:after="60"/>
              <w:jc w:val="left"/>
            </w:pPr>
            <w:r>
              <w:rPr>
                <w:rFonts w:ascii="Calibri" w:cs="Calibri" w:eastAsia="Calibri" w:hAnsi="Calibri"/>
                <w:b w:val="false"/>
                <w:bCs w:val="false"/>
                <w:sz w:val="20"/>
                <w:szCs w:val="20"/>
              </w:rPr>
              <w:t xml:space="preserve">Condiciona el alcance real de adopción de la plataforma y obliga a diseñar una aplicación liviana, de bajo consumo de datos.</w:t>
            </w:r>
          </w:p>
        </w:tc>
      </w:tr>
    </w:tbl>
    <w:p>
      <w:pPr>
        <w:pStyle w:val="Heading1"/>
        <w:pBdr>
          <w:bottom w:val="single" w:color="000000" w:sz="6" w:space="4"/>
        </w:pBdr>
        <w:spacing w:after="160" w:before="320"/>
      </w:pPr>
      <w:r>
        <w:rPr>
          <w:rFonts w:ascii="Calibri" w:cs="Calibri" w:eastAsia="Calibri" w:hAnsi="Calibri"/>
          <w:b/>
          <w:bCs/>
          <w:color w:val="000000"/>
          <w:sz w:val="30"/>
          <w:szCs w:val="30"/>
        </w:rPr>
        <w:t xml:space="preserve">Drivers</w:t>
      </w:r>
    </w:p>
    <w:p>
      <w:pPr>
        <w:pBdr>
          <w:top w:val="single" w:color="000000" w:sz="4"/>
          <w:bottom w:val="single" w:color="000000" w:sz="4"/>
          <w:left w:val="single" w:color="000000" w:sz="4"/>
          <w:right w:val="single" w:color="000000" w:sz="4"/>
        </w:pBdr>
        <w:shd w:fill="D9D9D9" w:color="auto" w:val="clear"/>
        <w:spacing w:after="200" w:before="80"/>
        <w:ind w:left="100" w:right="100"/>
      </w:pPr>
      <w:r>
        <w:rPr>
          <w:rFonts w:ascii="Calibri" w:cs="Calibri" w:eastAsia="Calibri" w:hAnsi="Calibri"/>
          <w:i/>
          <w:iCs/>
          <w:color w:val="404040"/>
          <w:sz w:val="20"/>
          <w:szCs w:val="20"/>
        </w:rPr>
        <w:t xml:space="preserve">Fuerzas del entorno que están generando presión y motivando la actuación de los pequeños comercios y emprendimientos de Sincelejo.</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600"/>
        <w:gridCol w:w="4700"/>
        <w:gridCol w:w="2900"/>
      </w:tblGrid>
      <w:tr>
        <w:trPr>
          <w:tblHeader/>
        </w:trPr>
        <w:tc>
          <w:tcPr>
            <w:tcW w:type="dxa" w:w="2600"/>
            <w:tcBorders>
              <w:top w:val="single" w:color="000000" w:sz="4"/>
              <w:left w:val="single" w:color="000000" w:sz="4"/>
              <w:bottom w:val="single" w:color="000000" w:sz="4"/>
              <w:right w:val="single" w:color="000000" w:sz="4"/>
            </w:tcBorders>
            <w:shd w:fill="404040"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Driver</w:t>
            </w:r>
          </w:p>
        </w:tc>
        <w:tc>
          <w:tcPr>
            <w:tcW w:type="dxa" w:w="4700"/>
            <w:tcBorders>
              <w:top w:val="single" w:color="000000" w:sz="4"/>
              <w:left w:val="single" w:color="000000" w:sz="4"/>
              <w:bottom w:val="single" w:color="000000" w:sz="4"/>
              <w:right w:val="single" w:color="000000" w:sz="4"/>
            </w:tcBorders>
            <w:shd w:fill="404040"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Explicación</w:t>
            </w:r>
          </w:p>
        </w:tc>
        <w:tc>
          <w:tcPr>
            <w:tcW w:type="dxa" w:w="2900"/>
            <w:tcBorders>
              <w:top w:val="single" w:color="000000" w:sz="4"/>
              <w:left w:val="single" w:color="000000" w:sz="4"/>
              <w:bottom w:val="single" w:color="000000" w:sz="4"/>
              <w:right w:val="single" w:color="000000" w:sz="4"/>
            </w:tcBorders>
            <w:shd w:fill="404040"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Impacto</w:t>
            </w:r>
          </w:p>
        </w:tc>
      </w:tr>
      <w:tr>
        <w:tc>
          <w:tcPr>
            <w:tcW w:type="dxa" w:w="26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60"/>
              <w:jc w:val="left"/>
            </w:pPr>
            <w:r>
              <w:rPr>
                <w:rFonts w:ascii="Calibri" w:cs="Calibri" w:eastAsia="Calibri" w:hAnsi="Calibri"/>
                <w:b w:val="false"/>
                <w:bCs w:val="false"/>
                <w:sz w:val="20"/>
                <w:szCs w:val="20"/>
              </w:rPr>
              <w:t xml:space="preserve">Alta informalidad laboral</w:t>
            </w:r>
          </w:p>
        </w:tc>
        <w:tc>
          <w:tcPr>
            <w:tcW w:type="dxa" w:w="47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60"/>
              <w:jc w:val="left"/>
            </w:pPr>
            <w:r>
              <w:rPr>
                <w:rFonts w:ascii="Calibri" w:cs="Calibri" w:eastAsia="Calibri" w:hAnsi="Calibri"/>
                <w:b w:val="false"/>
                <w:bCs w:val="false"/>
                <w:sz w:val="20"/>
                <w:szCs w:val="20"/>
              </w:rPr>
              <w:t xml:space="preserve">Con el 67,9 % de la población ocupada en la informalidad, gran parte de los habitantes no cuenta con canales estables ni confiables para conseguir trabajo remunerado de forma rápida.</w:t>
            </w:r>
          </w:p>
        </w:tc>
        <w:tc>
          <w:tcPr>
            <w:tcW w:type="dxa" w:w="29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60"/>
              <w:jc w:val="left"/>
            </w:pPr>
            <w:r>
              <w:rPr>
                <w:rFonts w:ascii="Calibri" w:cs="Calibri" w:eastAsia="Calibri" w:hAnsi="Calibri"/>
                <w:b w:val="false"/>
                <w:bCs w:val="false"/>
                <w:sz w:val="20"/>
                <w:szCs w:val="20"/>
              </w:rPr>
              <w:t xml:space="preserve">Obliga a crear mecanismos accesibles y de bajo costo que conecten a estas personas con oportunidades de ingreso inmediato.</w:t>
            </w:r>
          </w:p>
        </w:tc>
      </w:tr>
      <w:tr>
        <w:tc>
          <w:tcPr>
            <w:tcW w:type="dxa" w:w="2600"/>
            <w:tcBorders>
              <w:top w:val="single" w:color="000000" w:sz="4"/>
              <w:left w:val="single" w:color="000000" w:sz="4"/>
              <w:bottom w:val="single" w:color="000000" w:sz="4"/>
              <w:right w:val="single" w:color="000000" w:sz="4"/>
            </w:tcBorders>
            <w:shd w:fill="D9D9D9" w:color="auto" w:val="clear"/>
            <w:tcMar>
              <w:top w:type="dxa" w:w="100"/>
              <w:left w:type="dxa" w:w="120"/>
              <w:bottom w:type="dxa" w:w="100"/>
              <w:right w:type="dxa" w:w="120"/>
            </w:tcMar>
            <w:vAlign w:val="center"/>
          </w:tcPr>
          <w:p>
            <w:pPr>
              <w:spacing w:after="60"/>
              <w:jc w:val="left"/>
            </w:pPr>
            <w:r>
              <w:rPr>
                <w:rFonts w:ascii="Calibri" w:cs="Calibri" w:eastAsia="Calibri" w:hAnsi="Calibri"/>
                <w:b w:val="false"/>
                <w:bCs w:val="false"/>
                <w:sz w:val="20"/>
                <w:szCs w:val="20"/>
              </w:rPr>
              <w:t xml:space="preserve">Fragmentación de canales digitales existentes</w:t>
            </w:r>
          </w:p>
        </w:tc>
        <w:tc>
          <w:tcPr>
            <w:tcW w:type="dxa" w:w="4700"/>
            <w:tcBorders>
              <w:top w:val="single" w:color="000000" w:sz="4"/>
              <w:left w:val="single" w:color="000000" w:sz="4"/>
              <w:bottom w:val="single" w:color="000000" w:sz="4"/>
              <w:right w:val="single" w:color="000000" w:sz="4"/>
            </w:tcBorders>
            <w:shd w:fill="D9D9D9" w:color="auto" w:val="clear"/>
            <w:tcMar>
              <w:top w:type="dxa" w:w="100"/>
              <w:left w:type="dxa" w:w="120"/>
              <w:bottom w:type="dxa" w:w="100"/>
              <w:right w:type="dxa" w:w="120"/>
            </w:tcMar>
            <w:vAlign w:val="center"/>
          </w:tcPr>
          <w:p>
            <w:pPr>
              <w:spacing w:after="60"/>
              <w:jc w:val="left"/>
            </w:pPr>
            <w:r>
              <w:rPr>
                <w:rFonts w:ascii="Calibri" w:cs="Calibri" w:eastAsia="Calibri" w:hAnsi="Calibri"/>
                <w:b w:val="false"/>
                <w:bCs w:val="false"/>
                <w:sz w:val="20"/>
                <w:szCs w:val="20"/>
              </w:rPr>
              <w:t xml:space="preserve">La promoción de servicios, la recepción de pedidos, los pagos y la coordinación de domicilios ocurren hoy en herramientas distintas y no integradas (redes sociales, WhatsApp, transferencias).</w:t>
            </w:r>
          </w:p>
        </w:tc>
        <w:tc>
          <w:tcPr>
            <w:tcW w:type="dxa" w:w="2900"/>
            <w:tcBorders>
              <w:top w:val="single" w:color="000000" w:sz="4"/>
              <w:left w:val="single" w:color="000000" w:sz="4"/>
              <w:bottom w:val="single" w:color="000000" w:sz="4"/>
              <w:right w:val="single" w:color="000000" w:sz="4"/>
            </w:tcBorders>
            <w:shd w:fill="D9D9D9" w:color="auto" w:val="clear"/>
            <w:tcMar>
              <w:top w:type="dxa" w:w="100"/>
              <w:left w:type="dxa" w:w="120"/>
              <w:bottom w:type="dxa" w:w="100"/>
              <w:right w:type="dxa" w:w="120"/>
            </w:tcMar>
            <w:vAlign w:val="center"/>
          </w:tcPr>
          <w:p>
            <w:pPr>
              <w:spacing w:after="60"/>
              <w:jc w:val="left"/>
            </w:pPr>
            <w:r>
              <w:rPr>
                <w:rFonts w:ascii="Calibri" w:cs="Calibri" w:eastAsia="Calibri" w:hAnsi="Calibri"/>
                <w:b w:val="false"/>
                <w:bCs w:val="false"/>
                <w:sz w:val="20"/>
                <w:szCs w:val="20"/>
              </w:rPr>
              <w:t xml:space="preserve">Motiva la consolidación de estos procesos en una única plataforma que reduzca la fricción y el tiempo de gestión tanto para trabajadores como para quienes los contratan.</w:t>
            </w:r>
          </w:p>
        </w:tc>
      </w:tr>
      <w:tr>
        <w:tc>
          <w:tcPr>
            <w:tcW w:type="dxa" w:w="26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60"/>
              <w:jc w:val="left"/>
            </w:pPr>
            <w:r>
              <w:rPr>
                <w:rFonts w:ascii="Calibri" w:cs="Calibri" w:eastAsia="Calibri" w:hAnsi="Calibri"/>
                <w:b w:val="false"/>
                <w:bCs w:val="false"/>
                <w:sz w:val="20"/>
                <w:szCs w:val="20"/>
              </w:rPr>
              <w:t xml:space="preserve">Crecimiento del comercio y demanda de mano de obra flexible</w:t>
            </w:r>
          </w:p>
        </w:tc>
        <w:tc>
          <w:tcPr>
            <w:tcW w:type="dxa" w:w="47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60"/>
              <w:jc w:val="left"/>
            </w:pPr>
            <w:r>
              <w:rPr>
                <w:rFonts w:ascii="Calibri" w:cs="Calibri" w:eastAsia="Calibri" w:hAnsi="Calibri"/>
                <w:b w:val="false"/>
                <w:bCs w:val="false"/>
                <w:sz w:val="20"/>
                <w:szCs w:val="20"/>
              </w:rPr>
              <w:t xml:space="preserve">El aumento de ingresos de los micronegocios y la operación del Nuevo Mercado generan una demanda constante de apoyo en labores de cargue, aseo, domicilios y oficios varios.</w:t>
            </w:r>
          </w:p>
        </w:tc>
        <w:tc>
          <w:tcPr>
            <w:tcW w:type="dxa" w:w="29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60"/>
              <w:jc w:val="left"/>
            </w:pPr>
            <w:r>
              <w:rPr>
                <w:rFonts w:ascii="Calibri" w:cs="Calibri" w:eastAsia="Calibri" w:hAnsi="Calibri"/>
                <w:b w:val="false"/>
                <w:bCs w:val="false"/>
                <w:sz w:val="20"/>
                <w:szCs w:val="20"/>
              </w:rPr>
              <w:t xml:space="preserve">Impulsa modelos de intermediación bajo demanda (tipo "gig economy") que permitan a los negocios contratar mano de obra puntual sin procesos de contratación formal extensos.</w:t>
            </w:r>
          </w:p>
        </w:tc>
      </w:tr>
      <w:tr>
        <w:tc>
          <w:tcPr>
            <w:tcW w:type="dxa" w:w="2600"/>
            <w:tcBorders>
              <w:top w:val="single" w:color="000000" w:sz="4"/>
              <w:left w:val="single" w:color="000000" w:sz="4"/>
              <w:bottom w:val="single" w:color="000000" w:sz="4"/>
              <w:right w:val="single" w:color="000000" w:sz="4"/>
            </w:tcBorders>
            <w:shd w:fill="D9D9D9" w:color="auto" w:val="clear"/>
            <w:tcMar>
              <w:top w:type="dxa" w:w="100"/>
              <w:left w:type="dxa" w:w="120"/>
              <w:bottom w:type="dxa" w:w="100"/>
              <w:right w:type="dxa" w:w="120"/>
            </w:tcMar>
            <w:vAlign w:val="center"/>
          </w:tcPr>
          <w:p>
            <w:pPr>
              <w:spacing w:after="60"/>
              <w:jc w:val="left"/>
            </w:pPr>
            <w:r>
              <w:rPr>
                <w:rFonts w:ascii="Calibri" w:cs="Calibri" w:eastAsia="Calibri" w:hAnsi="Calibri"/>
                <w:b w:val="false"/>
                <w:bCs w:val="false"/>
                <w:sz w:val="20"/>
                <w:szCs w:val="20"/>
              </w:rPr>
              <w:t xml:space="preserve">Digitalización de medios de pago</w:t>
            </w:r>
          </w:p>
        </w:tc>
        <w:tc>
          <w:tcPr>
            <w:tcW w:type="dxa" w:w="4700"/>
            <w:tcBorders>
              <w:top w:val="single" w:color="000000" w:sz="4"/>
              <w:left w:val="single" w:color="000000" w:sz="4"/>
              <w:bottom w:val="single" w:color="000000" w:sz="4"/>
              <w:right w:val="single" w:color="000000" w:sz="4"/>
            </w:tcBorders>
            <w:shd w:fill="D9D9D9" w:color="auto" w:val="clear"/>
            <w:tcMar>
              <w:top w:type="dxa" w:w="100"/>
              <w:left w:type="dxa" w:w="120"/>
              <w:bottom w:type="dxa" w:w="100"/>
              <w:right w:type="dxa" w:w="120"/>
            </w:tcMar>
            <w:vAlign w:val="center"/>
          </w:tcPr>
          <w:p>
            <w:pPr>
              <w:spacing w:after="60"/>
              <w:jc w:val="left"/>
            </w:pPr>
            <w:r>
              <w:rPr>
                <w:rFonts w:ascii="Calibri" w:cs="Calibri" w:eastAsia="Calibri" w:hAnsi="Calibri"/>
                <w:b w:val="false"/>
                <w:bCs w:val="false"/>
                <w:sz w:val="20"/>
                <w:szCs w:val="20"/>
              </w:rPr>
              <w:t xml:space="preserve">El uso creciente de transferencias y pagos electrónicos entre comerciantes y clientes evidencia una disposición a pagar servicios de forma digital.</w:t>
            </w:r>
          </w:p>
        </w:tc>
        <w:tc>
          <w:tcPr>
            <w:tcW w:type="dxa" w:w="2900"/>
            <w:tcBorders>
              <w:top w:val="single" w:color="000000" w:sz="4"/>
              <w:left w:val="single" w:color="000000" w:sz="4"/>
              <w:bottom w:val="single" w:color="000000" w:sz="4"/>
              <w:right w:val="single" w:color="000000" w:sz="4"/>
            </w:tcBorders>
            <w:shd w:fill="D9D9D9" w:color="auto" w:val="clear"/>
            <w:tcMar>
              <w:top w:type="dxa" w:w="100"/>
              <w:left w:type="dxa" w:w="120"/>
              <w:bottom w:type="dxa" w:w="100"/>
              <w:right w:type="dxa" w:w="120"/>
            </w:tcMar>
            <w:vAlign w:val="center"/>
          </w:tcPr>
          <w:p>
            <w:pPr>
              <w:spacing w:after="60"/>
              <w:jc w:val="left"/>
            </w:pPr>
            <w:r>
              <w:rPr>
                <w:rFonts w:ascii="Calibri" w:cs="Calibri" w:eastAsia="Calibri" w:hAnsi="Calibri"/>
                <w:b w:val="false"/>
                <w:bCs w:val="false"/>
                <w:sz w:val="20"/>
                <w:szCs w:val="20"/>
              </w:rPr>
              <w:t xml:space="preserve">Habilita la viabilidad de una plataforma que integre pagos digitales seguros como parte central de su propuesta de valor.</w:t>
            </w:r>
          </w:p>
        </w:tc>
      </w:tr>
    </w:tbl>
    <w:p>
      <w:pPr>
        <w:pStyle w:val="Heading1"/>
        <w:pBdr>
          <w:bottom w:val="single" w:color="000000" w:sz="6" w:space="4"/>
        </w:pBdr>
        <w:spacing w:after="160" w:before="320"/>
      </w:pPr>
      <w:r>
        <w:rPr>
          <w:rFonts w:ascii="Calibri" w:cs="Calibri" w:eastAsia="Calibri" w:hAnsi="Calibri"/>
          <w:b/>
          <w:bCs/>
          <w:color w:val="000000"/>
          <w:sz w:val="30"/>
          <w:szCs w:val="30"/>
        </w:rPr>
        <w:t xml:space="preserve">Oportunidad</w:t>
      </w:r>
    </w:p>
    <w:p>
      <w:pPr>
        <w:pBdr>
          <w:top w:val="single" w:color="000000" w:sz="4"/>
          <w:bottom w:val="single" w:color="000000" w:sz="4"/>
          <w:left w:val="single" w:color="000000" w:sz="4"/>
          <w:right w:val="single" w:color="000000" w:sz="4"/>
        </w:pBdr>
        <w:shd w:fill="D9D9D9" w:color="auto" w:val="clear"/>
        <w:spacing w:after="200" w:before="80"/>
        <w:ind w:left="100" w:right="100"/>
      </w:pPr>
      <w:r>
        <w:rPr>
          <w:rFonts w:ascii="Calibri" w:cs="Calibri" w:eastAsia="Calibri" w:hAnsi="Calibri"/>
          <w:i/>
          <w:iCs/>
          <w:color w:val="404040"/>
          <w:sz w:val="20"/>
          <w:szCs w:val="20"/>
        </w:rPr>
        <w:t xml:space="preserve">Oportunidad de negocio identificada como respuesta a los drivers anteriores.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200"/>
        <w:gridCol w:w="8000"/>
      </w:tblGrid>
      <w:tr>
        <w:trPr>
          <w:tblHeader/>
        </w:trPr>
        <w:tc>
          <w:tcPr>
            <w:tcW w:type="dxa" w:w="2200"/>
            <w:tcBorders>
              <w:top w:val="single" w:color="000000" w:sz="4"/>
              <w:left w:val="single" w:color="000000" w:sz="4"/>
              <w:bottom w:val="single" w:color="000000" w:sz="4"/>
              <w:right w:val="single" w:color="000000" w:sz="4"/>
            </w:tcBorders>
            <w:shd w:fill="404040"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Elemento</w:t>
            </w:r>
          </w:p>
        </w:tc>
        <w:tc>
          <w:tcPr>
            <w:tcW w:type="dxa" w:w="8000"/>
            <w:tcBorders>
              <w:top w:val="single" w:color="000000" w:sz="4"/>
              <w:left w:val="single" w:color="000000" w:sz="4"/>
              <w:bottom w:val="single" w:color="000000" w:sz="4"/>
              <w:right w:val="single" w:color="000000" w:sz="4"/>
            </w:tcBorders>
            <w:shd w:fill="404040"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Descripción</w:t>
            </w:r>
          </w:p>
        </w:tc>
      </w:tr>
      <w:tr>
        <w:tc>
          <w:tcPr>
            <w:tcW w:type="dxa" w:w="2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60"/>
              <w:jc w:val="left"/>
            </w:pPr>
            <w:r>
              <w:rPr>
                <w:rFonts w:ascii="Calibri" w:cs="Calibri" w:eastAsia="Calibri" w:hAnsi="Calibri"/>
                <w:b w:val="false"/>
                <w:bCs w:val="false"/>
                <w:sz w:val="20"/>
                <w:szCs w:val="20"/>
              </w:rPr>
              <w:t xml:space="preserve">Oportunidad</w:t>
            </w:r>
          </w:p>
        </w:tc>
        <w:tc>
          <w:tcPr>
            <w:tcW w:type="dxa" w:w="80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60"/>
              <w:jc w:val="left"/>
            </w:pPr>
            <w:r>
              <w:rPr>
                <w:rFonts w:ascii="Calibri" w:cs="Calibri" w:eastAsia="Calibri" w:hAnsi="Calibri"/>
                <w:b w:val="false"/>
                <w:bCs w:val="false"/>
                <w:sz w:val="20"/>
                <w:szCs w:val="20"/>
              </w:rPr>
              <w:t xml:space="preserve">Crear una plataforma digital, tipo Uber, que conecte de forma inmediata a personas que ofrecen mano de obra u oficios (domicilios, aseo, reparaciones, cargue y descargue, apoyo en comercios y eventos, entre otros) con personas y negocios de Sincelejo que necesitan contratar servicios puntuales. La plataforma aprovecha la alta informalidad laboral y la fragmentación de los canales actuales para generar valor mediante la reducción de tiempos de búsqueda, la trazabilidad de pagos y una progresiva formalización del trabajo informal local.</w:t>
            </w:r>
          </w:p>
        </w:tc>
      </w:tr>
    </w:tbl>
    <w:p>
      <w:pPr>
        <w:pStyle w:val="Heading1"/>
        <w:pBdr>
          <w:bottom w:val="single" w:color="000000" w:sz="6" w:space="4"/>
        </w:pBdr>
        <w:spacing w:after="160" w:before="320"/>
      </w:pPr>
      <w:r>
        <w:rPr>
          <w:rFonts w:ascii="Calibri" w:cs="Calibri" w:eastAsia="Calibri" w:hAnsi="Calibri"/>
          <w:b/>
          <w:bCs/>
          <w:color w:val="000000"/>
          <w:sz w:val="30"/>
          <w:szCs w:val="30"/>
        </w:rPr>
        <w:t xml:space="preserve">Idea de negocio</w:t>
      </w:r>
    </w:p>
    <w:p>
      <w:pPr>
        <w:spacing w:after="160" w:line="300"/>
        <w:jc w:val="left"/>
      </w:pPr>
      <w:r>
        <w:rPr>
          <w:rFonts w:ascii="Calibri" w:cs="Calibri" w:eastAsia="Calibri" w:hAnsi="Calibri"/>
          <w:b w:val="false"/>
          <w:bCs w:val="false"/>
          <w:i w:val="false"/>
          <w:iCs w:val="false"/>
          <w:color w:val="000000"/>
          <w:sz w:val="22"/>
          <w:szCs w:val="22"/>
        </w:rPr>
        <w:t xml:space="preserve">A partir de la oportunidad identificada se define la siguiente idea de negocio, denominada CamelloYa (en referencia al término coloquial colombiano "camello", usado para referirse al trabajo).</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200"/>
        <w:gridCol w:w="7000"/>
      </w:tblGrid>
      <w:tr>
        <w:trPr>
          <w:tblHeader/>
        </w:trPr>
        <w:tc>
          <w:tcPr>
            <w:tcW w:type="dxa" w:w="3200"/>
            <w:tcBorders>
              <w:top w:val="single" w:color="000000" w:sz="4"/>
              <w:left w:val="single" w:color="000000" w:sz="4"/>
              <w:bottom w:val="single" w:color="000000" w:sz="4"/>
              <w:right w:val="single" w:color="000000" w:sz="4"/>
            </w:tcBorders>
            <w:shd w:fill="404040"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Elemento</w:t>
            </w:r>
          </w:p>
        </w:tc>
        <w:tc>
          <w:tcPr>
            <w:tcW w:type="dxa" w:w="7000"/>
            <w:tcBorders>
              <w:top w:val="single" w:color="000000" w:sz="4"/>
              <w:left w:val="single" w:color="000000" w:sz="4"/>
              <w:bottom w:val="single" w:color="000000" w:sz="4"/>
              <w:right w:val="single" w:color="000000" w:sz="4"/>
            </w:tcBorders>
            <w:shd w:fill="404040"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Descripción</w:t>
            </w:r>
          </w:p>
        </w:tc>
      </w:tr>
      <w:tr>
        <w:tc>
          <w:tcPr>
            <w:tcW w:type="dxa" w:w="3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60"/>
              <w:jc w:val="left"/>
            </w:pPr>
            <w:r>
              <w:rPr>
                <w:rFonts w:ascii="Calibri" w:cs="Calibri" w:eastAsia="Calibri" w:hAnsi="Calibri"/>
                <w:b w:val="false"/>
                <w:bCs w:val="false"/>
                <w:sz w:val="20"/>
                <w:szCs w:val="20"/>
              </w:rPr>
              <w:t xml:space="preserve">Cliente objetivo – ¿A quién va dirigido?</w:t>
            </w:r>
          </w:p>
        </w:tc>
        <w:tc>
          <w:tcPr>
            <w:tcW w:type="dxa" w:w="70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60"/>
              <w:jc w:val="left"/>
            </w:pPr>
            <w:r>
              <w:rPr>
                <w:rFonts w:ascii="Calibri" w:cs="Calibri" w:eastAsia="Calibri" w:hAnsi="Calibri"/>
                <w:b w:val="false"/>
                <w:bCs w:val="false"/>
                <w:sz w:val="20"/>
                <w:szCs w:val="20"/>
              </w:rPr>
              <w:t xml:space="preserve">Dos segmentos complementarios: (1) trabajadores informales e independientes de Sincelejo (domiciliarios, personal de aseo, ayudantes, técnicos de oficios varios, entre otros) que buscan generar ingresos de forma flexible; y (2) personas y micronegocios (comerciantes del Nuevo Mercado, hogares, pequeñas empresas) que requieren contratar mano de obra u oficios puntuales de forma rápida y confiable.</w:t>
            </w:r>
          </w:p>
        </w:tc>
      </w:tr>
      <w:tr>
        <w:tc>
          <w:tcPr>
            <w:tcW w:type="dxa" w:w="3200"/>
            <w:tcBorders>
              <w:top w:val="single" w:color="000000" w:sz="4"/>
              <w:left w:val="single" w:color="000000" w:sz="4"/>
              <w:bottom w:val="single" w:color="000000" w:sz="4"/>
              <w:right w:val="single" w:color="000000" w:sz="4"/>
            </w:tcBorders>
            <w:shd w:fill="D9D9D9" w:color="auto" w:val="clear"/>
            <w:tcMar>
              <w:top w:type="dxa" w:w="100"/>
              <w:left w:type="dxa" w:w="120"/>
              <w:bottom w:type="dxa" w:w="100"/>
              <w:right w:type="dxa" w:w="120"/>
            </w:tcMar>
            <w:vAlign w:val="center"/>
          </w:tcPr>
          <w:p>
            <w:pPr>
              <w:spacing w:after="60"/>
              <w:jc w:val="left"/>
            </w:pPr>
            <w:r>
              <w:rPr>
                <w:rFonts w:ascii="Calibri" w:cs="Calibri" w:eastAsia="Calibri" w:hAnsi="Calibri"/>
                <w:b w:val="false"/>
                <w:bCs w:val="false"/>
                <w:sz w:val="20"/>
                <w:szCs w:val="20"/>
              </w:rPr>
              <w:t xml:space="preserve">Problema – ¿Qué necesidad o dificultad busca resolver?</w:t>
            </w:r>
          </w:p>
        </w:tc>
        <w:tc>
          <w:tcPr>
            <w:tcW w:type="dxa" w:w="7000"/>
            <w:tcBorders>
              <w:top w:val="single" w:color="000000" w:sz="4"/>
              <w:left w:val="single" w:color="000000" w:sz="4"/>
              <w:bottom w:val="single" w:color="000000" w:sz="4"/>
              <w:right w:val="single" w:color="000000" w:sz="4"/>
            </w:tcBorders>
            <w:shd w:fill="D9D9D9" w:color="auto" w:val="clear"/>
            <w:tcMar>
              <w:top w:type="dxa" w:w="100"/>
              <w:left w:type="dxa" w:w="120"/>
              <w:bottom w:type="dxa" w:w="100"/>
              <w:right w:type="dxa" w:w="120"/>
            </w:tcMar>
            <w:vAlign w:val="center"/>
          </w:tcPr>
          <w:p>
            <w:pPr>
              <w:spacing w:after="60"/>
              <w:jc w:val="left"/>
            </w:pPr>
            <w:r>
              <w:rPr>
                <w:rFonts w:ascii="Calibri" w:cs="Calibri" w:eastAsia="Calibri" w:hAnsi="Calibri"/>
                <w:b w:val="false"/>
                <w:bCs w:val="false"/>
                <w:sz w:val="20"/>
                <w:szCs w:val="20"/>
              </w:rPr>
              <w:t xml:space="preserve">Los trabajadores informales no cuentan con un canal confiable y de fácil acceso para encontrar trabajo remunerado de forma inmediata, y quienes requieren contratar mano de obra tienen dificultades para encontrar personal disponible, verificado y con buena reputación, dependiendo de referencias informales o de publicaciones dispersas en redes sociales.</w:t>
            </w:r>
          </w:p>
        </w:tc>
      </w:tr>
      <w:tr>
        <w:tc>
          <w:tcPr>
            <w:tcW w:type="dxa" w:w="3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60"/>
              <w:jc w:val="left"/>
            </w:pPr>
            <w:r>
              <w:rPr>
                <w:rFonts w:ascii="Calibri" w:cs="Calibri" w:eastAsia="Calibri" w:hAnsi="Calibri"/>
                <w:b w:val="false"/>
                <w:bCs w:val="false"/>
                <w:sz w:val="20"/>
                <w:szCs w:val="20"/>
              </w:rPr>
              <w:t xml:space="preserve">Propuesta de valor – ¿Qué valor ofrece al cliente?</w:t>
            </w:r>
          </w:p>
        </w:tc>
        <w:tc>
          <w:tcPr>
            <w:tcW w:type="dxa" w:w="70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60"/>
              <w:jc w:val="left"/>
            </w:pPr>
            <w:r>
              <w:rPr>
                <w:rFonts w:ascii="Calibri" w:cs="Calibri" w:eastAsia="Calibri" w:hAnsi="Calibri"/>
                <w:b w:val="false"/>
                <w:bCs w:val="false"/>
                <w:sz w:val="20"/>
                <w:szCs w:val="20"/>
              </w:rPr>
              <w:t xml:space="preserve">Una aplicación móvil que conecta en tiempo real la oferta y la demanda de trabajos cortos u oficios ("chambas"), con perfiles verificados, sistema de calificación bidireccional, cotización clara del servicio, pago digital seguro y seguimiento en vivo, replicando la lógica de Uber pero aplicada al empleo temporal e informal, en lugar del transporte.</w:t>
            </w:r>
          </w:p>
        </w:tc>
      </w:tr>
      <w:tr>
        <w:tc>
          <w:tcPr>
            <w:tcW w:type="dxa" w:w="3200"/>
            <w:tcBorders>
              <w:top w:val="single" w:color="000000" w:sz="4"/>
              <w:left w:val="single" w:color="000000" w:sz="4"/>
              <w:bottom w:val="single" w:color="000000" w:sz="4"/>
              <w:right w:val="single" w:color="000000" w:sz="4"/>
            </w:tcBorders>
            <w:shd w:fill="D9D9D9" w:color="auto" w:val="clear"/>
            <w:tcMar>
              <w:top w:type="dxa" w:w="100"/>
              <w:left w:type="dxa" w:w="120"/>
              <w:bottom w:type="dxa" w:w="100"/>
              <w:right w:type="dxa" w:w="120"/>
            </w:tcMar>
            <w:vAlign w:val="center"/>
          </w:tcPr>
          <w:p>
            <w:pPr>
              <w:spacing w:after="60"/>
              <w:jc w:val="left"/>
            </w:pPr>
            <w:r>
              <w:rPr>
                <w:rFonts w:ascii="Calibri" w:cs="Calibri" w:eastAsia="Calibri" w:hAnsi="Calibri"/>
                <w:b w:val="false"/>
                <w:bCs w:val="false"/>
                <w:sz w:val="20"/>
                <w:szCs w:val="20"/>
              </w:rPr>
              <w:t xml:space="preserve">Forma de ingresos – ¿Cómo generará ingresos?</w:t>
            </w:r>
          </w:p>
        </w:tc>
        <w:tc>
          <w:tcPr>
            <w:tcW w:type="dxa" w:w="7000"/>
            <w:tcBorders>
              <w:top w:val="single" w:color="000000" w:sz="4"/>
              <w:left w:val="single" w:color="000000" w:sz="4"/>
              <w:bottom w:val="single" w:color="000000" w:sz="4"/>
              <w:right w:val="single" w:color="000000" w:sz="4"/>
            </w:tcBorders>
            <w:shd w:fill="D9D9D9" w:color="auto" w:val="clear"/>
            <w:tcMar>
              <w:top w:type="dxa" w:w="100"/>
              <w:left w:type="dxa" w:w="120"/>
              <w:bottom w:type="dxa" w:w="100"/>
              <w:right w:type="dxa" w:w="120"/>
            </w:tcMar>
            <w:vAlign w:val="center"/>
          </w:tcPr>
          <w:p>
            <w:pPr>
              <w:spacing w:after="60"/>
              <w:jc w:val="left"/>
            </w:pPr>
            <w:r>
              <w:rPr>
                <w:rFonts w:ascii="Calibri" w:cs="Calibri" w:eastAsia="Calibri" w:hAnsi="Calibri"/>
                <w:b w:val="false"/>
                <w:bCs w:val="false"/>
                <w:sz w:val="20"/>
                <w:szCs w:val="20"/>
              </w:rPr>
              <w:t xml:space="preserve">Comisión por transacción sobre el valor de cada servicio contratado a través de la plataforma; planes de suscripción premium para trabajadores que deseen mayor visibilidad en las búsquedas; y espacios de publicidad para negocios locales del Nuevo Mercado y otros sectores del comercio de Sincelejo.</w:t>
            </w:r>
          </w:p>
        </w:tc>
      </w:tr>
      <w:tr>
        <w:tc>
          <w:tcPr>
            <w:tcW w:type="dxa" w:w="3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60"/>
              <w:jc w:val="left"/>
            </w:pPr>
            <w:r>
              <w:rPr>
                <w:rFonts w:ascii="Calibri" w:cs="Calibri" w:eastAsia="Calibri" w:hAnsi="Calibri"/>
                <w:b w:val="false"/>
                <w:bCs w:val="false"/>
                <w:sz w:val="20"/>
                <w:szCs w:val="20"/>
              </w:rPr>
              <w:t xml:space="preserve">Factor diferenciador – ¿Qué lo hace distinto?</w:t>
            </w:r>
          </w:p>
        </w:tc>
        <w:tc>
          <w:tcPr>
            <w:tcW w:type="dxa" w:w="70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60"/>
              <w:jc w:val="left"/>
            </w:pPr>
            <w:r>
              <w:rPr>
                <w:rFonts w:ascii="Calibri" w:cs="Calibri" w:eastAsia="Calibri" w:hAnsi="Calibri"/>
                <w:b w:val="false"/>
                <w:bCs w:val="false"/>
                <w:sz w:val="20"/>
                <w:szCs w:val="20"/>
              </w:rPr>
              <w:t xml:space="preserve">Enfoque hiperlocal en oficios informales y trabajos de corta duración (no solo freelance profesional o empleo formal), verificación de identidad de los trabajadores, calificación bidireccional entre las partes, e integración de pago digital y trazabilidad completa del servicio, adaptada a la realidad económica y cultural de Sincelejo.</w:t>
            </w:r>
          </w:p>
        </w:tc>
      </w:tr>
    </w:tbl>
    <w:p>
      <w:pPr>
        <w:pStyle w:val="Heading1"/>
        <w:pBdr>
          <w:bottom w:val="single" w:color="000000" w:sz="6" w:space="4"/>
        </w:pBdr>
        <w:spacing w:after="160" w:before="320"/>
      </w:pPr>
      <w:r>
        <w:rPr>
          <w:rFonts w:ascii="Calibri" w:cs="Calibri" w:eastAsia="Calibri" w:hAnsi="Calibri"/>
          <w:b/>
          <w:bCs/>
          <w:color w:val="000000"/>
          <w:sz w:val="30"/>
          <w:szCs w:val="30"/>
        </w:rPr>
        <w:t xml:space="preserve">Creación de la empresa</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600"/>
        <w:gridCol w:w="7600"/>
      </w:tblGrid>
      <w:tr>
        <w:trPr>
          <w:tblHeader/>
        </w:trPr>
        <w:tc>
          <w:tcPr>
            <w:tcW w:type="dxa" w:w="2600"/>
            <w:tcBorders>
              <w:top w:val="single" w:color="000000" w:sz="4"/>
              <w:left w:val="single" w:color="000000" w:sz="4"/>
              <w:bottom w:val="single" w:color="000000" w:sz="4"/>
              <w:right w:val="single" w:color="000000" w:sz="4"/>
            </w:tcBorders>
            <w:shd w:fill="404040"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Ítem</w:t>
            </w:r>
          </w:p>
        </w:tc>
        <w:tc>
          <w:tcPr>
            <w:tcW w:type="dxa" w:w="7600"/>
            <w:tcBorders>
              <w:top w:val="single" w:color="000000" w:sz="4"/>
              <w:left w:val="single" w:color="000000" w:sz="4"/>
              <w:bottom w:val="single" w:color="000000" w:sz="4"/>
              <w:right w:val="single" w:color="000000" w:sz="4"/>
            </w:tcBorders>
            <w:shd w:fill="404040"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Descripción</w:t>
            </w:r>
          </w:p>
        </w:tc>
      </w:tr>
      <w:tr>
        <w:tc>
          <w:tcPr>
            <w:tcW w:type="dxa" w:w="26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60"/>
              <w:jc w:val="left"/>
            </w:pPr>
            <w:r>
              <w:rPr>
                <w:rFonts w:ascii="Calibri" w:cs="Calibri" w:eastAsia="Calibri" w:hAnsi="Calibri"/>
                <w:b w:val="false"/>
                <w:bCs w:val="false"/>
                <w:sz w:val="20"/>
                <w:szCs w:val="20"/>
              </w:rPr>
              <w:t xml:space="preserve">Razón social</w:t>
            </w:r>
          </w:p>
        </w:tc>
        <w:tc>
          <w:tcPr>
            <w:tcW w:type="dxa" w:w="76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60"/>
              <w:jc w:val="left"/>
            </w:pPr>
            <w:r>
              <w:rPr>
                <w:rFonts w:ascii="Calibri" w:cs="Calibri" w:eastAsia="Calibri" w:hAnsi="Calibri"/>
                <w:b w:val="false"/>
                <w:bCs w:val="false"/>
                <w:sz w:val="20"/>
                <w:szCs w:val="20"/>
              </w:rPr>
              <w:t xml:space="preserve">CamelloYa S.A.S.</w:t>
            </w:r>
          </w:p>
        </w:tc>
      </w:tr>
      <w:tr>
        <w:tc>
          <w:tcPr>
            <w:tcW w:type="dxa" w:w="2600"/>
            <w:tcBorders>
              <w:top w:val="single" w:color="000000" w:sz="4"/>
              <w:left w:val="single" w:color="000000" w:sz="4"/>
              <w:bottom w:val="single" w:color="000000" w:sz="4"/>
              <w:right w:val="single" w:color="000000" w:sz="4"/>
            </w:tcBorders>
            <w:shd w:fill="D9D9D9" w:color="auto" w:val="clear"/>
            <w:tcMar>
              <w:top w:type="dxa" w:w="100"/>
              <w:left w:type="dxa" w:w="120"/>
              <w:bottom w:type="dxa" w:w="100"/>
              <w:right w:type="dxa" w:w="120"/>
            </w:tcMar>
            <w:vAlign w:val="center"/>
          </w:tcPr>
          <w:p>
            <w:pPr>
              <w:spacing w:after="60"/>
              <w:jc w:val="left"/>
            </w:pPr>
            <w:r>
              <w:rPr>
                <w:rFonts w:ascii="Calibri" w:cs="Calibri" w:eastAsia="Calibri" w:hAnsi="Calibri"/>
                <w:b w:val="false"/>
                <w:bCs w:val="false"/>
                <w:sz w:val="20"/>
                <w:szCs w:val="20"/>
              </w:rPr>
              <w:t xml:space="preserve">Misión</w:t>
            </w:r>
          </w:p>
        </w:tc>
        <w:tc>
          <w:tcPr>
            <w:tcW w:type="dxa" w:w="7600"/>
            <w:tcBorders>
              <w:top w:val="single" w:color="000000" w:sz="4"/>
              <w:left w:val="single" w:color="000000" w:sz="4"/>
              <w:bottom w:val="single" w:color="000000" w:sz="4"/>
              <w:right w:val="single" w:color="000000" w:sz="4"/>
            </w:tcBorders>
            <w:shd w:fill="D9D9D9" w:color="auto" w:val="clear"/>
            <w:tcMar>
              <w:top w:type="dxa" w:w="100"/>
              <w:left w:type="dxa" w:w="120"/>
              <w:bottom w:type="dxa" w:w="100"/>
              <w:right w:type="dxa" w:w="120"/>
            </w:tcMar>
            <w:vAlign w:val="center"/>
          </w:tcPr>
          <w:p>
            <w:pPr>
              <w:spacing w:after="60"/>
              <w:jc w:val="left"/>
            </w:pPr>
            <w:r>
              <w:rPr>
                <w:rFonts w:ascii="Calibri" w:cs="Calibri" w:eastAsia="Calibri" w:hAnsi="Calibri"/>
                <w:b w:val="false"/>
                <w:bCs w:val="false"/>
                <w:sz w:val="20"/>
                <w:szCs w:val="20"/>
              </w:rPr>
              <w:t xml:space="preserve">Conectar de manera rápida, segura y confiable a trabajadores informales con personas y negocios de Sincelejo que requieren servicios y oficios puntuales, contribuyendo a la generación de ingresos y a la formalización progresiva del trabajo local.</w:t>
            </w:r>
          </w:p>
        </w:tc>
      </w:tr>
      <w:tr>
        <w:tc>
          <w:tcPr>
            <w:tcW w:type="dxa" w:w="26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60"/>
              <w:jc w:val="left"/>
            </w:pPr>
            <w:r>
              <w:rPr>
                <w:rFonts w:ascii="Calibri" w:cs="Calibri" w:eastAsia="Calibri" w:hAnsi="Calibri"/>
                <w:b w:val="false"/>
                <w:bCs w:val="false"/>
                <w:sz w:val="20"/>
                <w:szCs w:val="20"/>
              </w:rPr>
              <w:t xml:space="preserve">Visión</w:t>
            </w:r>
          </w:p>
        </w:tc>
        <w:tc>
          <w:tcPr>
            <w:tcW w:type="dxa" w:w="76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60"/>
              <w:jc w:val="left"/>
            </w:pPr>
            <w:r>
              <w:rPr>
                <w:rFonts w:ascii="Calibri" w:cs="Calibri" w:eastAsia="Calibri" w:hAnsi="Calibri"/>
                <w:b w:val="false"/>
                <w:bCs w:val="false"/>
                <w:sz w:val="20"/>
                <w:szCs w:val="20"/>
              </w:rPr>
              <w:t xml:space="preserve">Para el año 2030, ser la plataforma líder de intermediación laboral bajo demanda en la región Caribe colombiana, reconocida como referente en la formalización digital del empleo informal y en la generación de oportunidades de ingreso flexible.</w:t>
            </w:r>
          </w:p>
        </w:tc>
      </w:tr>
      <w:tr>
        <w:tc>
          <w:tcPr>
            <w:tcW w:type="dxa" w:w="2600"/>
            <w:tcBorders>
              <w:top w:val="single" w:color="000000" w:sz="4"/>
              <w:left w:val="single" w:color="000000" w:sz="4"/>
              <w:bottom w:val="single" w:color="000000" w:sz="4"/>
              <w:right w:val="single" w:color="000000" w:sz="4"/>
            </w:tcBorders>
            <w:shd w:fill="D9D9D9" w:color="auto" w:val="clear"/>
            <w:tcMar>
              <w:top w:type="dxa" w:w="100"/>
              <w:left w:type="dxa" w:w="120"/>
              <w:bottom w:type="dxa" w:w="100"/>
              <w:right w:type="dxa" w:w="120"/>
            </w:tcMar>
            <w:vAlign w:val="center"/>
          </w:tcPr>
          <w:p>
            <w:pPr>
              <w:spacing w:after="60"/>
              <w:jc w:val="left"/>
            </w:pPr>
            <w:r>
              <w:rPr>
                <w:rFonts w:ascii="Calibri" w:cs="Calibri" w:eastAsia="Calibri" w:hAnsi="Calibri"/>
                <w:b w:val="false"/>
                <w:bCs w:val="false"/>
                <w:sz w:val="20"/>
                <w:szCs w:val="20"/>
              </w:rPr>
              <w:t xml:space="preserve">Propósito</w:t>
            </w:r>
          </w:p>
        </w:tc>
        <w:tc>
          <w:tcPr>
            <w:tcW w:type="dxa" w:w="7600"/>
            <w:tcBorders>
              <w:top w:val="single" w:color="000000" w:sz="4"/>
              <w:left w:val="single" w:color="000000" w:sz="4"/>
              <w:bottom w:val="single" w:color="000000" w:sz="4"/>
              <w:right w:val="single" w:color="000000" w:sz="4"/>
            </w:tcBorders>
            <w:shd w:fill="D9D9D9" w:color="auto" w:val="clear"/>
            <w:tcMar>
              <w:top w:type="dxa" w:w="100"/>
              <w:left w:type="dxa" w:w="120"/>
              <w:bottom w:type="dxa" w:w="100"/>
              <w:right w:type="dxa" w:w="120"/>
            </w:tcMar>
            <w:vAlign w:val="center"/>
          </w:tcPr>
          <w:p>
            <w:pPr>
              <w:spacing w:after="60"/>
              <w:jc w:val="left"/>
            </w:pPr>
            <w:r>
              <w:rPr>
                <w:rFonts w:ascii="Calibri" w:cs="Calibri" w:eastAsia="Calibri" w:hAnsi="Calibri"/>
                <w:b w:val="false"/>
                <w:bCs w:val="false"/>
                <w:sz w:val="20"/>
                <w:szCs w:val="20"/>
              </w:rPr>
              <w:t xml:space="preserve">Facilitar el acceso a oportunidades de ingreso digno y flexible, promoviendo la inclusión digital y económica de los trabajadores informales de Sincelejo y su región.</w:t>
            </w:r>
          </w:p>
        </w:tc>
      </w:tr>
    </w:tbl>
    <w:p>
      <w:pPr>
        <w:pStyle w:val="Heading1"/>
        <w:pBdr>
          <w:bottom w:val="single" w:color="000000" w:sz="6" w:space="4"/>
        </w:pBdr>
        <w:spacing w:after="160" w:before="320"/>
      </w:pPr>
      <w:r>
        <w:rPr>
          <w:rFonts w:ascii="Calibri" w:cs="Calibri" w:eastAsia="Calibri" w:hAnsi="Calibri"/>
          <w:b/>
          <w:bCs/>
          <w:color w:val="000000"/>
          <w:sz w:val="30"/>
          <w:szCs w:val="30"/>
        </w:rPr>
        <w:t xml:space="preserve">Estrategia</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900"/>
        <w:gridCol w:w="7300"/>
      </w:tblGrid>
      <w:tr>
        <w:trPr>
          <w:tblHeader/>
        </w:trPr>
        <w:tc>
          <w:tcPr>
            <w:tcW w:type="dxa" w:w="2900"/>
            <w:tcBorders>
              <w:top w:val="single" w:color="000000" w:sz="4"/>
              <w:left w:val="single" w:color="000000" w:sz="4"/>
              <w:bottom w:val="single" w:color="000000" w:sz="4"/>
              <w:right w:val="single" w:color="000000" w:sz="4"/>
            </w:tcBorders>
            <w:shd w:fill="404040"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Ítem</w:t>
            </w:r>
          </w:p>
        </w:tc>
        <w:tc>
          <w:tcPr>
            <w:tcW w:type="dxa" w:w="7300"/>
            <w:tcBorders>
              <w:top w:val="single" w:color="000000" w:sz="4"/>
              <w:left w:val="single" w:color="000000" w:sz="4"/>
              <w:bottom w:val="single" w:color="000000" w:sz="4"/>
              <w:right w:val="single" w:color="000000" w:sz="4"/>
            </w:tcBorders>
            <w:shd w:fill="404040"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Descripción</w:t>
            </w:r>
          </w:p>
        </w:tc>
      </w:tr>
      <w:tr>
        <w:tc>
          <w:tcPr>
            <w:tcW w:type="dxa" w:w="29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60"/>
              <w:jc w:val="left"/>
            </w:pPr>
            <w:r>
              <w:rPr>
                <w:rFonts w:ascii="Calibri" w:cs="Calibri" w:eastAsia="Calibri" w:hAnsi="Calibri"/>
                <w:b w:val="false"/>
                <w:bCs w:val="false"/>
                <w:sz w:val="20"/>
                <w:szCs w:val="20"/>
              </w:rPr>
              <w:t xml:space="preserve">Estrategia</w:t>
            </w:r>
          </w:p>
        </w:tc>
        <w:tc>
          <w:tcPr>
            <w:tcW w:type="dxa" w:w="73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60"/>
              <w:jc w:val="left"/>
            </w:pPr>
            <w:r>
              <w:rPr>
                <w:rFonts w:ascii="Calibri" w:cs="Calibri" w:eastAsia="Calibri" w:hAnsi="Calibri"/>
                <w:b w:val="false"/>
                <w:bCs w:val="false"/>
                <w:sz w:val="20"/>
                <w:szCs w:val="20"/>
              </w:rPr>
              <w:t xml:space="preserve">Estrategia de diferenciación enfocada en un nicho hiperlocal, apalancada en tecnología móvil y en la confianza generada por la verificación de identidad y las calificaciones bidireccionales, con el fin de consolidar a CamelloYa como la primera plataforma de intermediación laboral bajo demanda de Sincelejo.</w:t>
            </w:r>
          </w:p>
        </w:tc>
      </w:tr>
      <w:tr>
        <w:tc>
          <w:tcPr>
            <w:tcW w:type="dxa" w:w="2900"/>
            <w:tcBorders>
              <w:top w:val="single" w:color="000000" w:sz="4"/>
              <w:left w:val="single" w:color="000000" w:sz="4"/>
              <w:bottom w:val="single" w:color="000000" w:sz="4"/>
              <w:right w:val="single" w:color="000000" w:sz="4"/>
            </w:tcBorders>
            <w:shd w:fill="D9D9D9" w:color="auto" w:val="clear"/>
            <w:tcMar>
              <w:top w:type="dxa" w:w="100"/>
              <w:left w:type="dxa" w:w="120"/>
              <w:bottom w:type="dxa" w:w="100"/>
              <w:right w:type="dxa" w:w="120"/>
            </w:tcMar>
            <w:vAlign w:val="center"/>
          </w:tcPr>
          <w:p>
            <w:pPr>
              <w:spacing w:after="60"/>
              <w:jc w:val="left"/>
            </w:pPr>
            <w:r>
              <w:rPr>
                <w:rFonts w:ascii="Calibri" w:cs="Calibri" w:eastAsia="Calibri" w:hAnsi="Calibri"/>
                <w:b w:val="false"/>
                <w:bCs w:val="false"/>
                <w:sz w:val="20"/>
                <w:szCs w:val="20"/>
              </w:rPr>
              <w:t xml:space="preserve">Objetivo estratégico 1</w:t>
            </w:r>
          </w:p>
        </w:tc>
        <w:tc>
          <w:tcPr>
            <w:tcW w:type="dxa" w:w="7300"/>
            <w:tcBorders>
              <w:top w:val="single" w:color="000000" w:sz="4"/>
              <w:left w:val="single" w:color="000000" w:sz="4"/>
              <w:bottom w:val="single" w:color="000000" w:sz="4"/>
              <w:right w:val="single" w:color="000000" w:sz="4"/>
            </w:tcBorders>
            <w:shd w:fill="D9D9D9" w:color="auto" w:val="clear"/>
            <w:tcMar>
              <w:top w:type="dxa" w:w="100"/>
              <w:left w:type="dxa" w:w="120"/>
              <w:bottom w:type="dxa" w:w="100"/>
              <w:right w:type="dxa" w:w="120"/>
            </w:tcMar>
            <w:vAlign w:val="center"/>
          </w:tcPr>
          <w:p>
            <w:pPr>
              <w:spacing w:after="60"/>
              <w:jc w:val="left"/>
            </w:pPr>
            <w:r>
              <w:rPr>
                <w:rFonts w:ascii="Calibri" w:cs="Calibri" w:eastAsia="Calibri" w:hAnsi="Calibri"/>
                <w:b w:val="false"/>
                <w:bCs w:val="false"/>
                <w:sz w:val="20"/>
                <w:szCs w:val="20"/>
              </w:rPr>
              <w:t xml:space="preserve">Alcanzar 5.000 usuarios registrados (trabajadores y solicitantes de servicio) durante el primer año de operación en Sincelejo.</w:t>
            </w:r>
          </w:p>
        </w:tc>
      </w:tr>
      <w:tr>
        <w:tc>
          <w:tcPr>
            <w:tcW w:type="dxa" w:w="29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60"/>
              <w:jc w:val="left"/>
            </w:pPr>
            <w:r>
              <w:rPr>
                <w:rFonts w:ascii="Calibri" w:cs="Calibri" w:eastAsia="Calibri" w:hAnsi="Calibri"/>
                <w:b w:val="false"/>
                <w:bCs w:val="false"/>
                <w:sz w:val="20"/>
                <w:szCs w:val="20"/>
              </w:rPr>
              <w:t xml:space="preserve">Objetivo estratégico 2</w:t>
            </w:r>
          </w:p>
        </w:tc>
        <w:tc>
          <w:tcPr>
            <w:tcW w:type="dxa" w:w="73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60"/>
              <w:jc w:val="left"/>
            </w:pPr>
            <w:r>
              <w:rPr>
                <w:rFonts w:ascii="Calibri" w:cs="Calibri" w:eastAsia="Calibri" w:hAnsi="Calibri"/>
                <w:b w:val="false"/>
                <w:bCs w:val="false"/>
                <w:sz w:val="20"/>
                <w:szCs w:val="20"/>
              </w:rPr>
              <w:t xml:space="preserve">Lograr una tasa de finalización exitosa de servicios superior al 90 %, mediante mecanismos de verificación de identidad y seguimiento de cada trabajo contratado.</w:t>
            </w:r>
          </w:p>
        </w:tc>
      </w:tr>
      <w:tr>
        <w:tc>
          <w:tcPr>
            <w:tcW w:type="dxa" w:w="2900"/>
            <w:tcBorders>
              <w:top w:val="single" w:color="000000" w:sz="4"/>
              <w:left w:val="single" w:color="000000" w:sz="4"/>
              <w:bottom w:val="single" w:color="000000" w:sz="4"/>
              <w:right w:val="single" w:color="000000" w:sz="4"/>
            </w:tcBorders>
            <w:shd w:fill="D9D9D9" w:color="auto" w:val="clear"/>
            <w:tcMar>
              <w:top w:type="dxa" w:w="100"/>
              <w:left w:type="dxa" w:w="120"/>
              <w:bottom w:type="dxa" w:w="100"/>
              <w:right w:type="dxa" w:w="120"/>
            </w:tcMar>
            <w:vAlign w:val="center"/>
          </w:tcPr>
          <w:p>
            <w:pPr>
              <w:spacing w:after="60"/>
              <w:jc w:val="left"/>
            </w:pPr>
            <w:r>
              <w:rPr>
                <w:rFonts w:ascii="Calibri" w:cs="Calibri" w:eastAsia="Calibri" w:hAnsi="Calibri"/>
                <w:b w:val="false"/>
                <w:bCs w:val="false"/>
                <w:sz w:val="20"/>
                <w:szCs w:val="20"/>
              </w:rPr>
              <w:t xml:space="preserve">Objetivo estratégico 3</w:t>
            </w:r>
          </w:p>
        </w:tc>
        <w:tc>
          <w:tcPr>
            <w:tcW w:type="dxa" w:w="7300"/>
            <w:tcBorders>
              <w:top w:val="single" w:color="000000" w:sz="4"/>
              <w:left w:val="single" w:color="000000" w:sz="4"/>
              <w:bottom w:val="single" w:color="000000" w:sz="4"/>
              <w:right w:val="single" w:color="000000" w:sz="4"/>
            </w:tcBorders>
            <w:shd w:fill="D9D9D9" w:color="auto" w:val="clear"/>
            <w:tcMar>
              <w:top w:type="dxa" w:w="100"/>
              <w:left w:type="dxa" w:w="120"/>
              <w:bottom w:type="dxa" w:w="100"/>
              <w:right w:type="dxa" w:w="120"/>
            </w:tcMar>
            <w:vAlign w:val="center"/>
          </w:tcPr>
          <w:p>
            <w:pPr>
              <w:spacing w:after="60"/>
              <w:jc w:val="left"/>
            </w:pPr>
            <w:r>
              <w:rPr>
                <w:rFonts w:ascii="Calibri" w:cs="Calibri" w:eastAsia="Calibri" w:hAnsi="Calibri"/>
                <w:b w:val="false"/>
                <w:bCs w:val="false"/>
                <w:sz w:val="20"/>
                <w:szCs w:val="20"/>
              </w:rPr>
              <w:t xml:space="preserve">Establecer alianzas con al menos tres gremios o asociaciones de comerciantes del Nuevo Mercado de Sincelejo durante el primer año, para vincular trabajadores y negocios a la plataforma.</w:t>
            </w:r>
          </w:p>
        </w:tc>
      </w:tr>
      <w:tr>
        <w:tc>
          <w:tcPr>
            <w:tcW w:type="dxa" w:w="29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60"/>
              <w:jc w:val="left"/>
            </w:pPr>
            <w:r>
              <w:rPr>
                <w:rFonts w:ascii="Calibri" w:cs="Calibri" w:eastAsia="Calibri" w:hAnsi="Calibri"/>
                <w:b w:val="false"/>
                <w:bCs w:val="false"/>
                <w:sz w:val="20"/>
                <w:szCs w:val="20"/>
              </w:rPr>
              <w:t xml:space="preserve">Ventaja competitiva</w:t>
            </w:r>
          </w:p>
        </w:tc>
        <w:tc>
          <w:tcPr>
            <w:tcW w:type="dxa" w:w="73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60"/>
              <w:jc w:val="left"/>
            </w:pPr>
            <w:r>
              <w:rPr>
                <w:rFonts w:ascii="Calibri" w:cs="Calibri" w:eastAsia="Calibri" w:hAnsi="Calibri"/>
                <w:b w:val="false"/>
                <w:bCs w:val="false"/>
                <w:sz w:val="20"/>
                <w:szCs w:val="20"/>
              </w:rPr>
              <w:t xml:space="preserve">Conocimiento profundo del contexto local (oficios más demandados, dinámicas del comercio y del Nuevo Mercado), comisiones más bajas frente a plataformas genéricas de empleo, y confianza generada por la verificación de identidad y el sistema de calificaciones bidireccionales.</w:t>
            </w:r>
          </w:p>
        </w:tc>
      </w:tr>
    </w:tbl>
    <w:p>
      <w:pPr>
        <w:pStyle w:val="Heading1"/>
        <w:pBdr>
          <w:bottom w:val="single" w:color="000000" w:sz="6" w:space="4"/>
        </w:pBdr>
        <w:spacing w:after="160" w:before="320"/>
      </w:pPr>
      <w:r>
        <w:rPr>
          <w:rFonts w:ascii="Calibri" w:cs="Calibri" w:eastAsia="Calibri" w:hAnsi="Calibri"/>
          <w:b/>
          <w:bCs/>
          <w:color w:val="000000"/>
          <w:sz w:val="30"/>
          <w:szCs w:val="30"/>
        </w:rPr>
        <w:t xml:space="preserve">Capacidades empresariales iniciales</w:t>
      </w:r>
    </w:p>
    <w:p>
      <w:pPr>
        <w:pBdr>
          <w:top w:val="single" w:color="000000" w:sz="4"/>
          <w:bottom w:val="single" w:color="000000" w:sz="4"/>
          <w:left w:val="single" w:color="000000" w:sz="4"/>
          <w:right w:val="single" w:color="000000" w:sz="4"/>
        </w:pBdr>
        <w:shd w:fill="D9D9D9" w:color="auto" w:val="clear"/>
        <w:spacing w:after="200" w:before="80"/>
        <w:ind w:left="100" w:right="100"/>
      </w:pPr>
      <w:r>
        <w:rPr>
          <w:rFonts w:ascii="Calibri" w:cs="Calibri" w:eastAsia="Calibri" w:hAnsi="Calibri"/>
          <w:i/>
          <w:iCs/>
          <w:color w:val="404040"/>
          <w:sz w:val="20"/>
          <w:szCs w:val="20"/>
        </w:rPr>
        <w:t xml:space="preserve">Capacidades que la empresa debe ser capaz de ejecutar para desarrollar su estrategia, sin referirse todavía a tecnologías o aplicaciones específicas.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600"/>
        <w:gridCol w:w="4500"/>
        <w:gridCol w:w="3100"/>
      </w:tblGrid>
      <w:tr>
        <w:trPr>
          <w:tblHeader/>
        </w:trPr>
        <w:tc>
          <w:tcPr>
            <w:tcW w:type="dxa" w:w="2600"/>
            <w:tcBorders>
              <w:top w:val="single" w:color="000000" w:sz="4"/>
              <w:left w:val="single" w:color="000000" w:sz="4"/>
              <w:bottom w:val="single" w:color="000000" w:sz="4"/>
              <w:right w:val="single" w:color="000000" w:sz="4"/>
            </w:tcBorders>
            <w:shd w:fill="404040"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Capacidad empresarial</w:t>
            </w:r>
          </w:p>
        </w:tc>
        <w:tc>
          <w:tcPr>
            <w:tcW w:type="dxa" w:w="4500"/>
            <w:tcBorders>
              <w:top w:val="single" w:color="000000" w:sz="4"/>
              <w:left w:val="single" w:color="000000" w:sz="4"/>
              <w:bottom w:val="single" w:color="000000" w:sz="4"/>
              <w:right w:val="single" w:color="000000" w:sz="4"/>
            </w:tcBorders>
            <w:shd w:fill="404040"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Descripción</w:t>
            </w:r>
          </w:p>
        </w:tc>
        <w:tc>
          <w:tcPr>
            <w:tcW w:type="dxa" w:w="3100"/>
            <w:tcBorders>
              <w:top w:val="single" w:color="000000" w:sz="4"/>
              <w:left w:val="single" w:color="000000" w:sz="4"/>
              <w:bottom w:val="single" w:color="000000" w:sz="4"/>
              <w:right w:val="single" w:color="000000" w:sz="4"/>
            </w:tcBorders>
            <w:shd w:fill="404040"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Relación con la estrategia</w:t>
            </w:r>
          </w:p>
        </w:tc>
      </w:tr>
      <w:tr>
        <w:tc>
          <w:tcPr>
            <w:tcW w:type="dxa" w:w="26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60"/>
              <w:jc w:val="left"/>
            </w:pPr>
            <w:r>
              <w:rPr>
                <w:rFonts w:ascii="Calibri" w:cs="Calibri" w:eastAsia="Calibri" w:hAnsi="Calibri"/>
                <w:b w:val="false"/>
                <w:bCs w:val="false"/>
                <w:sz w:val="20"/>
                <w:szCs w:val="20"/>
              </w:rPr>
              <w:t xml:space="preserve">Gestión de emparejamiento oferta–demanda (matching)</w:t>
            </w:r>
          </w:p>
        </w:tc>
        <w:tc>
          <w:tcPr>
            <w:tcW w:type="dxa" w:w="45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60"/>
              <w:jc w:val="left"/>
            </w:pPr>
            <w:r>
              <w:rPr>
                <w:rFonts w:ascii="Calibri" w:cs="Calibri" w:eastAsia="Calibri" w:hAnsi="Calibri"/>
                <w:b w:val="false"/>
                <w:bCs w:val="false"/>
                <w:sz w:val="20"/>
                <w:szCs w:val="20"/>
              </w:rPr>
              <w:t xml:space="preserve">Capacidad de conectar de manera eficiente y en tiempo real las solicitudes de servicio con los trabajadores disponibles, según ubicación, oficio y disponibilidad.</w:t>
            </w:r>
          </w:p>
        </w:tc>
        <w:tc>
          <w:tcPr>
            <w:tcW w:type="dxa" w:w="31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60"/>
              <w:jc w:val="left"/>
            </w:pPr>
            <w:r>
              <w:rPr>
                <w:rFonts w:ascii="Calibri" w:cs="Calibri" w:eastAsia="Calibri" w:hAnsi="Calibri"/>
                <w:b w:val="false"/>
                <w:bCs w:val="false"/>
                <w:sz w:val="20"/>
                <w:szCs w:val="20"/>
              </w:rPr>
              <w:t xml:space="preserve">Es la capacidad central que sostiene la propuesta de valor y permite alcanzar la meta de usuarios y la tasa de finalización exitosa de servicios.</w:t>
            </w:r>
          </w:p>
        </w:tc>
      </w:tr>
      <w:tr>
        <w:tc>
          <w:tcPr>
            <w:tcW w:type="dxa" w:w="2600"/>
            <w:tcBorders>
              <w:top w:val="single" w:color="000000" w:sz="4"/>
              <w:left w:val="single" w:color="000000" w:sz="4"/>
              <w:bottom w:val="single" w:color="000000" w:sz="4"/>
              <w:right w:val="single" w:color="000000" w:sz="4"/>
            </w:tcBorders>
            <w:shd w:fill="D9D9D9" w:color="auto" w:val="clear"/>
            <w:tcMar>
              <w:top w:type="dxa" w:w="100"/>
              <w:left w:type="dxa" w:w="120"/>
              <w:bottom w:type="dxa" w:w="100"/>
              <w:right w:type="dxa" w:w="120"/>
            </w:tcMar>
            <w:vAlign w:val="center"/>
          </w:tcPr>
          <w:p>
            <w:pPr>
              <w:spacing w:after="60"/>
              <w:jc w:val="left"/>
            </w:pPr>
            <w:r>
              <w:rPr>
                <w:rFonts w:ascii="Calibri" w:cs="Calibri" w:eastAsia="Calibri" w:hAnsi="Calibri"/>
                <w:b w:val="false"/>
                <w:bCs w:val="false"/>
                <w:sz w:val="20"/>
                <w:szCs w:val="20"/>
              </w:rPr>
              <w:t xml:space="preserve">Verificación y gestión de identidad y reputación</w:t>
            </w:r>
          </w:p>
        </w:tc>
        <w:tc>
          <w:tcPr>
            <w:tcW w:type="dxa" w:w="4500"/>
            <w:tcBorders>
              <w:top w:val="single" w:color="000000" w:sz="4"/>
              <w:left w:val="single" w:color="000000" w:sz="4"/>
              <w:bottom w:val="single" w:color="000000" w:sz="4"/>
              <w:right w:val="single" w:color="000000" w:sz="4"/>
            </w:tcBorders>
            <w:shd w:fill="D9D9D9" w:color="auto" w:val="clear"/>
            <w:tcMar>
              <w:top w:type="dxa" w:w="100"/>
              <w:left w:type="dxa" w:w="120"/>
              <w:bottom w:type="dxa" w:w="100"/>
              <w:right w:type="dxa" w:w="120"/>
            </w:tcMar>
            <w:vAlign w:val="center"/>
          </w:tcPr>
          <w:p>
            <w:pPr>
              <w:spacing w:after="60"/>
              <w:jc w:val="left"/>
            </w:pPr>
            <w:r>
              <w:rPr>
                <w:rFonts w:ascii="Calibri" w:cs="Calibri" w:eastAsia="Calibri" w:hAnsi="Calibri"/>
                <w:b w:val="false"/>
                <w:bCs w:val="false"/>
                <w:sz w:val="20"/>
                <w:szCs w:val="20"/>
              </w:rPr>
              <w:t xml:space="preserve">Capacidad de validar la identidad de los trabajadores registrados y de administrar el sistema de calificaciones bidireccionales entre usuarios y trabajadores.</w:t>
            </w:r>
          </w:p>
        </w:tc>
        <w:tc>
          <w:tcPr>
            <w:tcW w:type="dxa" w:w="3100"/>
            <w:tcBorders>
              <w:top w:val="single" w:color="000000" w:sz="4"/>
              <w:left w:val="single" w:color="000000" w:sz="4"/>
              <w:bottom w:val="single" w:color="000000" w:sz="4"/>
              <w:right w:val="single" w:color="000000" w:sz="4"/>
            </w:tcBorders>
            <w:shd w:fill="D9D9D9" w:color="auto" w:val="clear"/>
            <w:tcMar>
              <w:top w:type="dxa" w:w="100"/>
              <w:left w:type="dxa" w:w="120"/>
              <w:bottom w:type="dxa" w:w="100"/>
              <w:right w:type="dxa" w:w="120"/>
            </w:tcMar>
            <w:vAlign w:val="center"/>
          </w:tcPr>
          <w:p>
            <w:pPr>
              <w:spacing w:after="60"/>
              <w:jc w:val="left"/>
            </w:pPr>
            <w:r>
              <w:rPr>
                <w:rFonts w:ascii="Calibri" w:cs="Calibri" w:eastAsia="Calibri" w:hAnsi="Calibri"/>
                <w:b w:val="false"/>
                <w:bCs w:val="false"/>
                <w:sz w:val="20"/>
                <w:szCs w:val="20"/>
              </w:rPr>
              <w:t xml:space="preserve">Sostiene directamente la ventaja competitiva basada en la confianza y en la seguridad del servicio.</w:t>
            </w:r>
          </w:p>
        </w:tc>
      </w:tr>
      <w:tr>
        <w:tc>
          <w:tcPr>
            <w:tcW w:type="dxa" w:w="26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60"/>
              <w:jc w:val="left"/>
            </w:pPr>
            <w:r>
              <w:rPr>
                <w:rFonts w:ascii="Calibri" w:cs="Calibri" w:eastAsia="Calibri" w:hAnsi="Calibri"/>
                <w:b w:val="false"/>
                <w:bCs w:val="false"/>
                <w:sz w:val="20"/>
                <w:szCs w:val="20"/>
              </w:rPr>
              <w:t xml:space="preserve">Gestión de pagos digitales</w:t>
            </w:r>
          </w:p>
        </w:tc>
        <w:tc>
          <w:tcPr>
            <w:tcW w:type="dxa" w:w="45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60"/>
              <w:jc w:val="left"/>
            </w:pPr>
            <w:r>
              <w:rPr>
                <w:rFonts w:ascii="Calibri" w:cs="Calibri" w:eastAsia="Calibri" w:hAnsi="Calibri"/>
                <w:b w:val="false"/>
                <w:bCs w:val="false"/>
                <w:sz w:val="20"/>
                <w:szCs w:val="20"/>
              </w:rPr>
              <w:t xml:space="preserve">Capacidad de procesar cobros, comisiones y liquidaciones a trabajadores de forma segura y trazable.</w:t>
            </w:r>
          </w:p>
        </w:tc>
        <w:tc>
          <w:tcPr>
            <w:tcW w:type="dxa" w:w="31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60"/>
              <w:jc w:val="left"/>
            </w:pPr>
            <w:r>
              <w:rPr>
                <w:rFonts w:ascii="Calibri" w:cs="Calibri" w:eastAsia="Calibri" w:hAnsi="Calibri"/>
                <w:b w:val="false"/>
                <w:bCs w:val="false"/>
                <w:sz w:val="20"/>
                <w:szCs w:val="20"/>
              </w:rPr>
              <w:t xml:space="preserve">Habilita la forma de ingresos de la empresa y la trazabilidad ofrecida como parte de la propuesta de valor.</w:t>
            </w:r>
          </w:p>
        </w:tc>
      </w:tr>
      <w:tr>
        <w:tc>
          <w:tcPr>
            <w:tcW w:type="dxa" w:w="2600"/>
            <w:tcBorders>
              <w:top w:val="single" w:color="000000" w:sz="4"/>
              <w:left w:val="single" w:color="000000" w:sz="4"/>
              <w:bottom w:val="single" w:color="000000" w:sz="4"/>
              <w:right w:val="single" w:color="000000" w:sz="4"/>
            </w:tcBorders>
            <w:shd w:fill="D9D9D9" w:color="auto" w:val="clear"/>
            <w:tcMar>
              <w:top w:type="dxa" w:w="100"/>
              <w:left w:type="dxa" w:w="120"/>
              <w:bottom w:type="dxa" w:w="100"/>
              <w:right w:type="dxa" w:w="120"/>
            </w:tcMar>
            <w:vAlign w:val="center"/>
          </w:tcPr>
          <w:p>
            <w:pPr>
              <w:spacing w:after="60"/>
              <w:jc w:val="left"/>
            </w:pPr>
            <w:r>
              <w:rPr>
                <w:rFonts w:ascii="Calibri" w:cs="Calibri" w:eastAsia="Calibri" w:hAnsi="Calibri"/>
                <w:b w:val="false"/>
                <w:bCs w:val="false"/>
                <w:sz w:val="20"/>
                <w:szCs w:val="20"/>
              </w:rPr>
              <w:t xml:space="preserve">Gestión de alianzas y relaciones locales</w:t>
            </w:r>
          </w:p>
        </w:tc>
        <w:tc>
          <w:tcPr>
            <w:tcW w:type="dxa" w:w="4500"/>
            <w:tcBorders>
              <w:top w:val="single" w:color="000000" w:sz="4"/>
              <w:left w:val="single" w:color="000000" w:sz="4"/>
              <w:bottom w:val="single" w:color="000000" w:sz="4"/>
              <w:right w:val="single" w:color="000000" w:sz="4"/>
            </w:tcBorders>
            <w:shd w:fill="D9D9D9" w:color="auto" w:val="clear"/>
            <w:tcMar>
              <w:top w:type="dxa" w:w="100"/>
              <w:left w:type="dxa" w:w="120"/>
              <w:bottom w:type="dxa" w:w="100"/>
              <w:right w:type="dxa" w:w="120"/>
            </w:tcMar>
            <w:vAlign w:val="center"/>
          </w:tcPr>
          <w:p>
            <w:pPr>
              <w:spacing w:after="60"/>
              <w:jc w:val="left"/>
            </w:pPr>
            <w:r>
              <w:rPr>
                <w:rFonts w:ascii="Calibri" w:cs="Calibri" w:eastAsia="Calibri" w:hAnsi="Calibri"/>
                <w:b w:val="false"/>
                <w:bCs w:val="false"/>
                <w:sz w:val="20"/>
                <w:szCs w:val="20"/>
              </w:rPr>
              <w:t xml:space="preserve">Capacidad de establecer y mantener relaciones con comercios, gremios y asociaciones del comercio de Sincelejo.</w:t>
            </w:r>
          </w:p>
        </w:tc>
        <w:tc>
          <w:tcPr>
            <w:tcW w:type="dxa" w:w="3100"/>
            <w:tcBorders>
              <w:top w:val="single" w:color="000000" w:sz="4"/>
              <w:left w:val="single" w:color="000000" w:sz="4"/>
              <w:bottom w:val="single" w:color="000000" w:sz="4"/>
              <w:right w:val="single" w:color="000000" w:sz="4"/>
            </w:tcBorders>
            <w:shd w:fill="D9D9D9" w:color="auto" w:val="clear"/>
            <w:tcMar>
              <w:top w:type="dxa" w:w="100"/>
              <w:left w:type="dxa" w:w="120"/>
              <w:bottom w:type="dxa" w:w="100"/>
              <w:right w:type="dxa" w:w="120"/>
            </w:tcMar>
            <w:vAlign w:val="center"/>
          </w:tcPr>
          <w:p>
            <w:pPr>
              <w:spacing w:after="60"/>
              <w:jc w:val="left"/>
            </w:pPr>
            <w:r>
              <w:rPr>
                <w:rFonts w:ascii="Calibri" w:cs="Calibri" w:eastAsia="Calibri" w:hAnsi="Calibri"/>
                <w:b w:val="false"/>
                <w:bCs w:val="false"/>
                <w:sz w:val="20"/>
                <w:szCs w:val="20"/>
              </w:rPr>
              <w:t xml:space="preserve">Apoya directamente el objetivo estratégico de alianzas con el Nuevo Mercado y la vinculación de nuevos usuarios.</w:t>
            </w:r>
          </w:p>
        </w:tc>
      </w:tr>
      <w:tr>
        <w:tc>
          <w:tcPr>
            <w:tcW w:type="dxa" w:w="26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60"/>
              <w:jc w:val="left"/>
            </w:pPr>
            <w:r>
              <w:rPr>
                <w:rFonts w:ascii="Calibri" w:cs="Calibri" w:eastAsia="Calibri" w:hAnsi="Calibri"/>
                <w:b w:val="false"/>
                <w:bCs w:val="false"/>
                <w:sz w:val="20"/>
                <w:szCs w:val="20"/>
              </w:rPr>
              <w:t xml:space="preserve">Analítica de datos e inteligencia de mercado</w:t>
            </w:r>
          </w:p>
        </w:tc>
        <w:tc>
          <w:tcPr>
            <w:tcW w:type="dxa" w:w="45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60"/>
              <w:jc w:val="left"/>
            </w:pPr>
            <w:r>
              <w:rPr>
                <w:rFonts w:ascii="Calibri" w:cs="Calibri" w:eastAsia="Calibri" w:hAnsi="Calibri"/>
                <w:b w:val="false"/>
                <w:bCs w:val="false"/>
                <w:sz w:val="20"/>
                <w:szCs w:val="20"/>
              </w:rPr>
              <w:t xml:space="preserve">Capacidad de analizar patrones de oferta y demanda de oficios para optimizar el emparejamiento y detectar nuevas oportunidades de servicio.</w:t>
            </w:r>
          </w:p>
        </w:tc>
        <w:tc>
          <w:tcPr>
            <w:tcW w:type="dxa" w:w="31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60"/>
              <w:jc w:val="left"/>
            </w:pPr>
            <w:r>
              <w:rPr>
                <w:rFonts w:ascii="Calibri" w:cs="Calibri" w:eastAsia="Calibri" w:hAnsi="Calibri"/>
                <w:b w:val="false"/>
                <w:bCs w:val="false"/>
                <w:sz w:val="20"/>
                <w:szCs w:val="20"/>
              </w:rPr>
              <w:t xml:space="preserve">Soporta la mejora continua de la propuesta de valor y la toma de decisiones estratégicas basada en evidencia.</w:t>
            </w:r>
          </w:p>
        </w:tc>
      </w:tr>
    </w:tbl>
    <w:p>
      <w:pPr>
        <w:pStyle w:val="Heading1"/>
        <w:pBdr>
          <w:bottom w:val="single" w:color="000000" w:sz="6" w:space="4"/>
        </w:pBdr>
        <w:spacing w:after="160" w:before="320"/>
      </w:pPr>
      <w:r>
        <w:rPr>
          <w:rFonts w:ascii="Calibri" w:cs="Calibri" w:eastAsia="Calibri" w:hAnsi="Calibri"/>
          <w:b/>
          <w:bCs/>
          <w:color w:val="000000"/>
          <w:sz w:val="30"/>
          <w:szCs w:val="30"/>
        </w:rPr>
        <w:t xml:space="preserve">Organización</w:t>
      </w:r>
    </w:p>
    <w:p>
      <w:pPr>
        <w:pBdr>
          <w:top w:val="single" w:color="000000" w:sz="4"/>
          <w:bottom w:val="single" w:color="000000" w:sz="4"/>
          <w:left w:val="single" w:color="000000" w:sz="4"/>
          <w:right w:val="single" w:color="000000" w:sz="4"/>
        </w:pBdr>
        <w:shd w:fill="D9D9D9" w:color="auto" w:val="clear"/>
        <w:spacing w:after="200" w:before="80"/>
        <w:ind w:left="100" w:right="100"/>
      </w:pPr>
      <w:r>
        <w:rPr>
          <w:rFonts w:ascii="Calibri" w:cs="Calibri" w:eastAsia="Calibri" w:hAnsi="Calibri"/>
          <w:i/>
          <w:iCs/>
          <w:color w:val="404040"/>
          <w:sz w:val="20"/>
          <w:szCs w:val="20"/>
        </w:rPr>
        <w:t xml:space="preserve">Roles definidos dentro de la organización, su responsabilidad principal y su contribución al funcionamiento de la empresa.</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3400"/>
      </w:tblGrid>
      <w:tr>
        <w:trPr>
          <w:tblHeader/>
        </w:trPr>
        <w:tc>
          <w:tcPr>
            <w:tcW w:type="dxa" w:w="2600"/>
            <w:tcBorders>
              <w:top w:val="single" w:color="000000" w:sz="4"/>
              <w:left w:val="single" w:color="000000" w:sz="4"/>
              <w:bottom w:val="single" w:color="000000" w:sz="4"/>
              <w:right w:val="single" w:color="000000" w:sz="4"/>
            </w:tcBorders>
            <w:shd w:fill="404040"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Rol</w:t>
            </w:r>
          </w:p>
        </w:tc>
        <w:tc>
          <w:tcPr>
            <w:tcW w:type="dxa" w:w="4200"/>
            <w:tcBorders>
              <w:top w:val="single" w:color="000000" w:sz="4"/>
              <w:left w:val="single" w:color="000000" w:sz="4"/>
              <w:bottom w:val="single" w:color="000000" w:sz="4"/>
              <w:right w:val="single" w:color="000000" w:sz="4"/>
            </w:tcBorders>
            <w:shd w:fill="404040"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Responsabilidad</w:t>
            </w:r>
          </w:p>
        </w:tc>
        <w:tc>
          <w:tcPr>
            <w:tcW w:type="dxa" w:w="3400"/>
            <w:tcBorders>
              <w:top w:val="single" w:color="000000" w:sz="4"/>
              <w:left w:val="single" w:color="000000" w:sz="4"/>
              <w:bottom w:val="single" w:color="000000" w:sz="4"/>
              <w:right w:val="single" w:color="000000" w:sz="4"/>
            </w:tcBorders>
            <w:shd w:fill="404040"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Contribución a la organización</w:t>
            </w:r>
          </w:p>
        </w:tc>
      </w:tr>
      <w:tr>
        <w:tc>
          <w:tcPr>
            <w:tcW w:type="dxa" w:w="26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60"/>
              <w:jc w:val="left"/>
            </w:pPr>
            <w:r>
              <w:rPr>
                <w:rFonts w:ascii="Calibri" w:cs="Calibri" w:eastAsia="Calibri" w:hAnsi="Calibri"/>
                <w:b w:val="false"/>
                <w:bCs w:val="false"/>
                <w:sz w:val="20"/>
                <w:szCs w:val="20"/>
              </w:rPr>
              <w:t xml:space="preserve">Gerente General</w:t>
            </w:r>
          </w:p>
        </w:tc>
        <w:tc>
          <w:tcPr>
            <w:tcW w:type="dxa" w:w="4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60"/>
              <w:jc w:val="left"/>
            </w:pPr>
            <w:r>
              <w:rPr>
                <w:rFonts w:ascii="Calibri" w:cs="Calibri" w:eastAsia="Calibri" w:hAnsi="Calibri"/>
                <w:b w:val="false"/>
                <w:bCs w:val="false"/>
                <w:sz w:val="20"/>
                <w:szCs w:val="20"/>
              </w:rPr>
              <w:t xml:space="preserve">Definir la dirección estratégica de la empresa, aprobar decisiones clave y garantizar el cumplimiento de los objetivos estratégicos.</w:t>
            </w:r>
          </w:p>
        </w:tc>
        <w:tc>
          <w:tcPr>
            <w:tcW w:type="dxa" w:w="34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60"/>
              <w:jc w:val="left"/>
            </w:pPr>
            <w:r>
              <w:rPr>
                <w:rFonts w:ascii="Calibri" w:cs="Calibri" w:eastAsia="Calibri" w:hAnsi="Calibri"/>
                <w:b w:val="false"/>
                <w:bCs w:val="false"/>
                <w:sz w:val="20"/>
                <w:szCs w:val="20"/>
              </w:rPr>
              <w:t xml:space="preserve">Asegura que todas las áreas trabajen alineadas hacia la visión de la empresa y la sostenibilidad del negocio.</w:t>
            </w:r>
          </w:p>
        </w:tc>
      </w:tr>
      <w:tr>
        <w:tc>
          <w:tcPr>
            <w:tcW w:type="dxa" w:w="2600"/>
            <w:tcBorders>
              <w:top w:val="single" w:color="000000" w:sz="4"/>
              <w:left w:val="single" w:color="000000" w:sz="4"/>
              <w:bottom w:val="single" w:color="000000" w:sz="4"/>
              <w:right w:val="single" w:color="000000" w:sz="4"/>
            </w:tcBorders>
            <w:shd w:fill="D9D9D9" w:color="auto" w:val="clear"/>
            <w:tcMar>
              <w:top w:type="dxa" w:w="100"/>
              <w:left w:type="dxa" w:w="120"/>
              <w:bottom w:type="dxa" w:w="100"/>
              <w:right w:type="dxa" w:w="120"/>
            </w:tcMar>
            <w:vAlign w:val="center"/>
          </w:tcPr>
          <w:p>
            <w:pPr>
              <w:spacing w:after="60"/>
              <w:jc w:val="left"/>
            </w:pPr>
            <w:r>
              <w:rPr>
                <w:rFonts w:ascii="Calibri" w:cs="Calibri" w:eastAsia="Calibri" w:hAnsi="Calibri"/>
                <w:b w:val="false"/>
                <w:bCs w:val="false"/>
                <w:sz w:val="20"/>
                <w:szCs w:val="20"/>
              </w:rPr>
              <w:t xml:space="preserve">Líder de Tecnología (CTO)</w:t>
            </w:r>
          </w:p>
        </w:tc>
        <w:tc>
          <w:tcPr>
            <w:tcW w:type="dxa" w:w="4200"/>
            <w:tcBorders>
              <w:top w:val="single" w:color="000000" w:sz="4"/>
              <w:left w:val="single" w:color="000000" w:sz="4"/>
              <w:bottom w:val="single" w:color="000000" w:sz="4"/>
              <w:right w:val="single" w:color="000000" w:sz="4"/>
            </w:tcBorders>
            <w:shd w:fill="D9D9D9" w:color="auto" w:val="clear"/>
            <w:tcMar>
              <w:top w:type="dxa" w:w="100"/>
              <w:left w:type="dxa" w:w="120"/>
              <w:bottom w:type="dxa" w:w="100"/>
              <w:right w:type="dxa" w:w="120"/>
            </w:tcMar>
            <w:vAlign w:val="center"/>
          </w:tcPr>
          <w:p>
            <w:pPr>
              <w:spacing w:after="60"/>
              <w:jc w:val="left"/>
            </w:pPr>
            <w:r>
              <w:rPr>
                <w:rFonts w:ascii="Calibri" w:cs="Calibri" w:eastAsia="Calibri" w:hAnsi="Calibri"/>
                <w:b w:val="false"/>
                <w:bCs w:val="false"/>
                <w:sz w:val="20"/>
                <w:szCs w:val="20"/>
              </w:rPr>
              <w:t xml:space="preserve">Dirigir el desarrollo, mantenimiento y seguridad de la aplicación móvil y de los sistemas de matching y pagos.</w:t>
            </w:r>
          </w:p>
        </w:tc>
        <w:tc>
          <w:tcPr>
            <w:tcW w:type="dxa" w:w="3400"/>
            <w:tcBorders>
              <w:top w:val="single" w:color="000000" w:sz="4"/>
              <w:left w:val="single" w:color="000000" w:sz="4"/>
              <w:bottom w:val="single" w:color="000000" w:sz="4"/>
              <w:right w:val="single" w:color="000000" w:sz="4"/>
            </w:tcBorders>
            <w:shd w:fill="D9D9D9" w:color="auto" w:val="clear"/>
            <w:tcMar>
              <w:top w:type="dxa" w:w="100"/>
              <w:left w:type="dxa" w:w="120"/>
              <w:bottom w:type="dxa" w:w="100"/>
              <w:right w:type="dxa" w:w="120"/>
            </w:tcMar>
            <w:vAlign w:val="center"/>
          </w:tcPr>
          <w:p>
            <w:pPr>
              <w:spacing w:after="60"/>
              <w:jc w:val="left"/>
            </w:pPr>
            <w:r>
              <w:rPr>
                <w:rFonts w:ascii="Calibri" w:cs="Calibri" w:eastAsia="Calibri" w:hAnsi="Calibri"/>
                <w:b w:val="false"/>
                <w:bCs w:val="false"/>
                <w:sz w:val="20"/>
                <w:szCs w:val="20"/>
              </w:rPr>
              <w:t xml:space="preserve">Garantiza la disponibilidad, escalabilidad y confiabilidad de la plataforma, pilar tecnológico de la propuesta de valor.</w:t>
            </w:r>
          </w:p>
        </w:tc>
      </w:tr>
      <w:tr>
        <w:tc>
          <w:tcPr>
            <w:tcW w:type="dxa" w:w="26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60"/>
              <w:jc w:val="left"/>
            </w:pPr>
            <w:r>
              <w:rPr>
                <w:rFonts w:ascii="Calibri" w:cs="Calibri" w:eastAsia="Calibri" w:hAnsi="Calibri"/>
                <w:b w:val="false"/>
                <w:bCs w:val="false"/>
                <w:sz w:val="20"/>
                <w:szCs w:val="20"/>
              </w:rPr>
              <w:t xml:space="preserve">Coordinador de Alianzas y Comercios</w:t>
            </w:r>
          </w:p>
        </w:tc>
        <w:tc>
          <w:tcPr>
            <w:tcW w:type="dxa" w:w="4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60"/>
              <w:jc w:val="left"/>
            </w:pPr>
            <w:r>
              <w:rPr>
                <w:rFonts w:ascii="Calibri" w:cs="Calibri" w:eastAsia="Calibri" w:hAnsi="Calibri"/>
                <w:b w:val="false"/>
                <w:bCs w:val="false"/>
                <w:sz w:val="20"/>
                <w:szCs w:val="20"/>
              </w:rPr>
              <w:t xml:space="preserve">Gestionar relaciones con comerciantes, gremios y asociaciones del Nuevo Mercado y otros sectores del comercio local.</w:t>
            </w:r>
          </w:p>
        </w:tc>
        <w:tc>
          <w:tcPr>
            <w:tcW w:type="dxa" w:w="34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60"/>
              <w:jc w:val="left"/>
            </w:pPr>
            <w:r>
              <w:rPr>
                <w:rFonts w:ascii="Calibri" w:cs="Calibri" w:eastAsia="Calibri" w:hAnsi="Calibri"/>
                <w:b w:val="false"/>
                <w:bCs w:val="false"/>
                <w:sz w:val="20"/>
                <w:szCs w:val="20"/>
              </w:rPr>
              <w:t xml:space="preserve">Amplía la base de usuarios solicitantes de servicio y fortalece la presencia de la empresa en el ecosistema comercial de Sincelejo.</w:t>
            </w:r>
          </w:p>
        </w:tc>
      </w:tr>
      <w:tr>
        <w:tc>
          <w:tcPr>
            <w:tcW w:type="dxa" w:w="2600"/>
            <w:tcBorders>
              <w:top w:val="single" w:color="000000" w:sz="4"/>
              <w:left w:val="single" w:color="000000" w:sz="4"/>
              <w:bottom w:val="single" w:color="000000" w:sz="4"/>
              <w:right w:val="single" w:color="000000" w:sz="4"/>
            </w:tcBorders>
            <w:shd w:fill="D9D9D9" w:color="auto" w:val="clear"/>
            <w:tcMar>
              <w:top w:type="dxa" w:w="100"/>
              <w:left w:type="dxa" w:w="120"/>
              <w:bottom w:type="dxa" w:w="100"/>
              <w:right w:type="dxa" w:w="120"/>
            </w:tcMar>
            <w:vAlign w:val="center"/>
          </w:tcPr>
          <w:p>
            <w:pPr>
              <w:spacing w:after="60"/>
              <w:jc w:val="left"/>
            </w:pPr>
            <w:r>
              <w:rPr>
                <w:rFonts w:ascii="Calibri" w:cs="Calibri" w:eastAsia="Calibri" w:hAnsi="Calibri"/>
                <w:b w:val="false"/>
                <w:bCs w:val="false"/>
                <w:sz w:val="20"/>
                <w:szCs w:val="20"/>
              </w:rPr>
              <w:t xml:space="preserve">Coordinador de Trabajadores</w:t>
            </w:r>
          </w:p>
        </w:tc>
        <w:tc>
          <w:tcPr>
            <w:tcW w:type="dxa" w:w="4200"/>
            <w:tcBorders>
              <w:top w:val="single" w:color="000000" w:sz="4"/>
              <w:left w:val="single" w:color="000000" w:sz="4"/>
              <w:bottom w:val="single" w:color="000000" w:sz="4"/>
              <w:right w:val="single" w:color="000000" w:sz="4"/>
            </w:tcBorders>
            <w:shd w:fill="D9D9D9" w:color="auto" w:val="clear"/>
            <w:tcMar>
              <w:top w:type="dxa" w:w="100"/>
              <w:left w:type="dxa" w:w="120"/>
              <w:bottom w:type="dxa" w:w="100"/>
              <w:right w:type="dxa" w:w="120"/>
            </w:tcMar>
            <w:vAlign w:val="center"/>
          </w:tcPr>
          <w:p>
            <w:pPr>
              <w:spacing w:after="60"/>
              <w:jc w:val="left"/>
            </w:pPr>
            <w:r>
              <w:rPr>
                <w:rFonts w:ascii="Calibri" w:cs="Calibri" w:eastAsia="Calibri" w:hAnsi="Calibri"/>
                <w:b w:val="false"/>
                <w:bCs w:val="false"/>
                <w:sz w:val="20"/>
                <w:szCs w:val="20"/>
              </w:rPr>
              <w:t xml:space="preserve">Gestionar el registro, verificación, capacitación y soporte de los trabajadores vinculados a la plataforma.</w:t>
            </w:r>
          </w:p>
        </w:tc>
        <w:tc>
          <w:tcPr>
            <w:tcW w:type="dxa" w:w="3400"/>
            <w:tcBorders>
              <w:top w:val="single" w:color="000000" w:sz="4"/>
              <w:left w:val="single" w:color="000000" w:sz="4"/>
              <w:bottom w:val="single" w:color="000000" w:sz="4"/>
              <w:right w:val="single" w:color="000000" w:sz="4"/>
            </w:tcBorders>
            <w:shd w:fill="D9D9D9" w:color="auto" w:val="clear"/>
            <w:tcMar>
              <w:top w:type="dxa" w:w="100"/>
              <w:left w:type="dxa" w:w="120"/>
              <w:bottom w:type="dxa" w:w="100"/>
              <w:right w:type="dxa" w:w="120"/>
            </w:tcMar>
            <w:vAlign w:val="center"/>
          </w:tcPr>
          <w:p>
            <w:pPr>
              <w:spacing w:after="60"/>
              <w:jc w:val="left"/>
            </w:pPr>
            <w:r>
              <w:rPr>
                <w:rFonts w:ascii="Calibri" w:cs="Calibri" w:eastAsia="Calibri" w:hAnsi="Calibri"/>
                <w:b w:val="false"/>
                <w:bCs w:val="false"/>
                <w:sz w:val="20"/>
                <w:szCs w:val="20"/>
              </w:rPr>
              <w:t xml:space="preserve">Asegura la calidad, seguridad y confiabilidad del servicio ofrecido a los usuarios solicitantes.</w:t>
            </w:r>
          </w:p>
        </w:tc>
      </w:tr>
      <w:tr>
        <w:tc>
          <w:tcPr>
            <w:tcW w:type="dxa" w:w="26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60"/>
              <w:jc w:val="left"/>
            </w:pPr>
            <w:r>
              <w:rPr>
                <w:rFonts w:ascii="Calibri" w:cs="Calibri" w:eastAsia="Calibri" w:hAnsi="Calibri"/>
                <w:b w:val="false"/>
                <w:bCs w:val="false"/>
                <w:sz w:val="20"/>
                <w:szCs w:val="20"/>
              </w:rPr>
              <w:t xml:space="preserve">Analista de Datos y Operaciones</w:t>
            </w:r>
          </w:p>
        </w:tc>
        <w:tc>
          <w:tcPr>
            <w:tcW w:type="dxa" w:w="4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60"/>
              <w:jc w:val="left"/>
            </w:pPr>
            <w:r>
              <w:rPr>
                <w:rFonts w:ascii="Calibri" w:cs="Calibri" w:eastAsia="Calibri" w:hAnsi="Calibri"/>
                <w:b w:val="false"/>
                <w:bCs w:val="false"/>
                <w:sz w:val="20"/>
                <w:szCs w:val="20"/>
              </w:rPr>
              <w:t xml:space="preserve">Monitorear indicadores de uso, matching, pagos y satisfacción de los usuarios de la plataforma.</w:t>
            </w:r>
          </w:p>
        </w:tc>
        <w:tc>
          <w:tcPr>
            <w:tcW w:type="dxa" w:w="34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60"/>
              <w:jc w:val="left"/>
            </w:pPr>
            <w:r>
              <w:rPr>
                <w:rFonts w:ascii="Calibri" w:cs="Calibri" w:eastAsia="Calibri" w:hAnsi="Calibri"/>
                <w:b w:val="false"/>
                <w:bCs w:val="false"/>
                <w:sz w:val="20"/>
                <w:szCs w:val="20"/>
              </w:rPr>
              <w:t xml:space="preserve">Provee información para la mejora continua y la toma de decisiones estratégicas basada en datos.</w:t>
            </w:r>
          </w:p>
        </w:tc>
      </w:tr>
    </w:tbl>
    <w:p>
      <w:pPr>
        <w:pStyle w:val="Heading1"/>
        <w:pBdr>
          <w:bottom w:val="single" w:color="000000" w:sz="6" w:space="4"/>
        </w:pBdr>
        <w:spacing w:after="160" w:before="320"/>
      </w:pPr>
      <w:r>
        <w:rPr>
          <w:rFonts w:ascii="Calibri" w:cs="Calibri" w:eastAsia="Calibri" w:hAnsi="Calibri"/>
          <w:b/>
          <w:bCs/>
          <w:color w:val="000000"/>
          <w:sz w:val="30"/>
          <w:szCs w:val="30"/>
        </w:rPr>
        <w:t xml:space="preserve">Fuentes oficiales de referencia</w:t>
      </w:r>
    </w:p>
    <w:p>
      <w:pPr>
        <w:pStyle w:val="ListParagraph"/>
        <w:numPr>
          <w:ilvl w:val="0"/>
          <w:numId w:val="1"/>
        </w:numPr>
        <w:spacing w:after="80"/>
      </w:pPr>
      <w:r>
        <w:rPr>
          <w:rFonts w:ascii="Calibri" w:cs="Calibri" w:eastAsia="Calibri" w:hAnsi="Calibri"/>
          <w:color w:val="000000"/>
          <w:sz w:val="22"/>
          <w:szCs w:val="22"/>
        </w:rPr>
        <w:t xml:space="preserve">DANE – Gran Encuesta Integrada de Hogares (GEIH), diciembre de 2025.</w:t>
      </w:r>
    </w:p>
    <w:p>
      <w:pPr>
        <w:pStyle w:val="ListParagraph"/>
        <w:numPr>
          <w:ilvl w:val="0"/>
          <w:numId w:val="1"/>
        </w:numPr>
        <w:spacing w:after="80"/>
      </w:pPr>
      <w:r>
        <w:rPr>
          <w:rFonts w:ascii="Calibri" w:cs="Calibri" w:eastAsia="Calibri" w:hAnsi="Calibri"/>
          <w:color w:val="000000"/>
          <w:sz w:val="22"/>
          <w:szCs w:val="22"/>
        </w:rPr>
        <w:t xml:space="preserve">DANE – Encuesta de Micronegocios (EMICRON), resultados 2024.</w:t>
      </w:r>
    </w:p>
    <w:p>
      <w:pPr>
        <w:pStyle w:val="ListParagraph"/>
        <w:numPr>
          <w:ilvl w:val="0"/>
          <w:numId w:val="1"/>
        </w:numPr>
        <w:spacing w:after="80"/>
      </w:pPr>
      <w:r>
        <w:rPr>
          <w:rFonts w:ascii="Calibri" w:cs="Calibri" w:eastAsia="Calibri" w:hAnsi="Calibri"/>
          <w:color w:val="000000"/>
          <w:sz w:val="22"/>
          <w:szCs w:val="22"/>
        </w:rPr>
        <w:t xml:space="preserve">DANE – Sistema de Información de Precios y Abastecimiento del Sector Agropecuario (SIPSA), marzo de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04040"/>
        <w:sz w:val="16"/>
        <w:szCs w:val="16"/>
      </w:rPr>
      <w:t xml:space="preserve">Página </w:t>
    </w:r>
    <w:r>
      <w:rPr>
        <w:rFonts w:ascii="Calibri" w:cs="Calibri" w:eastAsia="Calibri" w:hAnsi="Calibri"/>
        <w:color w:val="404040"/>
        <w:sz w:val="16"/>
        <w:szCs w:val="16"/>
      </w:rPr>
      <w:fldChar w:fldCharType="begin"/>
      <w:instrText xml:space="preserve">PAGE</w:instrText>
      <w:fldChar w:fldCharType="separate"/>
      <w:fldChar w:fldCharType="end"/>
    </w:r>
    <w:r>
      <w:rPr>
        <w:rFonts w:ascii="Calibri" w:cs="Calibri" w:eastAsia="Calibri" w:hAnsi="Calibri"/>
        <w:color w:val="404040"/>
        <w:sz w:val="16"/>
        <w:szCs w:val="16"/>
      </w:rPr>
      <w:t xml:space="preserve"> de </w:t>
    </w:r>
    <w:r>
      <w:rPr>
        <w:rFonts w:ascii="Calibri" w:cs="Calibri" w:eastAsia="Calibri" w:hAnsi="Calibri"/>
        <w:color w:val="40404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pBdr>
      <w:jc w:val="right"/>
    </w:pPr>
    <w:r>
      <w:rPr>
        <w:rFonts w:ascii="Calibri" w:cs="Calibri" w:eastAsia="Calibri" w:hAnsi="Calibri"/>
        <w:i/>
        <w:iCs/>
        <w:color w:val="404040"/>
        <w:sz w:val="16"/>
        <w:szCs w:val="16"/>
      </w:rPr>
      <w:t xml:space="preserve">CamelloYa – Taller de Arquitectura Empresarial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2026-08-24T21:35:48.332Z</dcterms:created>
  <dcterms:modified xsi:type="dcterms:W3CDTF">2026-08-24T21:35:48.353Z</dcterms:modified>
</cp:coreProperties>
</file>

<file path=docProps/custom.xml><?xml version="1.0" encoding="utf-8"?>
<Properties xmlns="http://schemas.openxmlformats.org/officeDocument/2006/custom-properties" xmlns:vt="http://schemas.openxmlformats.org/officeDocument/2006/docPropsVTypes"/>
</file>