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29e6d339a7b2370274e55fe2f1aace4213a2e2"/>
    <w:p>
      <w:pPr>
        <w:pStyle w:val="Heading1"/>
      </w:pPr>
      <w:r>
        <w:t xml:space="preserve">⚖️ Compliance Package – Loi 25 Essentials (FR/EN)</w:t>
      </w:r>
    </w:p>
    <w:p>
      <w:pPr>
        <w:pStyle w:val="FirstParagraph"/>
      </w:pPr>
      <w:r>
        <w:rPr>
          <w:i/>
          <w:iCs/>
        </w:rPr>
        <w:t xml:space="preserve">(Client-facing document – proof of compliance setup)</w:t>
      </w:r>
    </w:p>
    <w:p>
      <w:r>
        <w:pict>
          <v:rect style="width:0;height:1.5pt" o:hralign="center" o:hrstd="t" o:hr="t"/>
        </w:pict>
      </w:r>
    </w:p>
    <w:bookmarkStart w:id="20" w:name="client-information-informations-client"/>
    <w:p>
      <w:pPr>
        <w:pStyle w:val="Heading2"/>
      </w:pPr>
      <w:r>
        <w:t xml:space="preserve">🔹 Client Information / Informations client</w:t>
      </w:r>
    </w:p>
    <w:p>
      <w:pPr>
        <w:pStyle w:val="Compact"/>
        <w:numPr>
          <w:ilvl w:val="0"/>
          <w:numId w:val="1001"/>
        </w:numPr>
      </w:pPr>
      <w:r>
        <w:t xml:space="preserve">Client: __________________________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Website: _________________________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Date: 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summary-résumé"/>
    <w:p>
      <w:pPr>
        <w:pStyle w:val="Heading2"/>
      </w:pPr>
      <w:r>
        <w:t xml:space="preserve">🔹 Summary / Résumé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Ce document confirme la mise en place des mesures de conformité Loi 25 pour votre site et votre présence en ligne.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This document confirms the implementation of Law 25 compliance measures for your website and online presence.</w:t>
      </w:r>
    </w:p>
    <w:p>
      <w:r>
        <w:pict>
          <v:rect style="width:0;height:1.5pt" o:hralign="center" o:hrstd="t" o:hr="t"/>
        </w:pict>
      </w:r>
    </w:p>
    <w:bookmarkEnd w:id="21"/>
    <w:bookmarkStart w:id="22" w:name="X7c1b3a7badb3b0775b5971041de3cb0283b3e77"/>
    <w:p>
      <w:pPr>
        <w:pStyle w:val="Heading2"/>
      </w:pPr>
      <w:r>
        <w:t xml:space="preserve">🔹 Privacy Policy / Politique de confidentialité</w:t>
      </w:r>
    </w:p>
    <w:p>
      <w:pPr>
        <w:pStyle w:val="Compact"/>
        <w:numPr>
          <w:ilvl w:val="0"/>
          <w:numId w:val="1002"/>
        </w:numPr>
      </w:pPr>
      <w:r>
        <w:t xml:space="preserve">✅ Rédigée en FR/EN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✅ Accessible depuis le site (footer)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✅ Inclut finalité des données collectées (formulaires, cookies, chatbot, etc.)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✅ Inclut droits d’accès, rectification et suppression</w:t>
      </w:r>
    </w:p>
    <w:p>
      <w:r>
        <w:pict>
          <v:rect style="width:0;height:1.5pt" o:hralign="center" o:hrstd="t" o:hr="t"/>
        </w:pict>
      </w:r>
    </w:p>
    <w:bookmarkEnd w:id="22"/>
    <w:bookmarkStart w:id="23" w:name="cookie-banner-bannière-cookies"/>
    <w:p>
      <w:pPr>
        <w:pStyle w:val="Heading2"/>
      </w:pPr>
      <w:r>
        <w:t xml:space="preserve">🔹 Cookie Banner / Bannière cookies</w:t>
      </w:r>
    </w:p>
    <w:p>
      <w:pPr>
        <w:pStyle w:val="Compact"/>
        <w:numPr>
          <w:ilvl w:val="0"/>
          <w:numId w:val="1003"/>
        </w:numPr>
      </w:pPr>
      <w:r>
        <w:t xml:space="preserve">✅ Active en FR/EN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✅ Blocage des cookies avant consentement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✅ Journalisation des consentements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✅ Lien vers politique de confidentialité</w:t>
      </w:r>
    </w:p>
    <w:p>
      <w:r>
        <w:pict>
          <v:rect style="width:0;height:1.5pt" o:hralign="center" o:hrstd="t" o:hr="t"/>
        </w:pict>
      </w:r>
    </w:p>
    <w:bookmarkEnd w:id="23"/>
    <w:bookmarkStart w:id="24" w:name="X64ef4e1a3f513328255f594fd6a027524a35207"/>
    <w:p>
      <w:pPr>
        <w:pStyle w:val="Heading2"/>
      </w:pPr>
      <w:r>
        <w:t xml:space="preserve">🔹 Data Access &amp; Deletion / Accès &amp; suppression des données</w:t>
      </w:r>
    </w:p>
    <w:p>
      <w:pPr>
        <w:pStyle w:val="Compact"/>
        <w:numPr>
          <w:ilvl w:val="0"/>
          <w:numId w:val="1004"/>
        </w:numPr>
      </w:pPr>
      <w:r>
        <w:t xml:space="preserve">✅ Formulaire ou email dédié disponible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✅ Endpoint technique (/delete) activé si base de données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✅ Processus défini pour répondre sous 30 jours</w:t>
      </w:r>
    </w:p>
    <w:p>
      <w:r>
        <w:pict>
          <v:rect style="width:0;height:1.5pt" o:hralign="center" o:hrstd="t" o:hr="t"/>
        </w:pict>
      </w:r>
    </w:p>
    <w:bookmarkEnd w:id="24"/>
    <w:bookmarkStart w:id="25" w:name="logs-backups-journaux-sauvegardes"/>
    <w:p>
      <w:pPr>
        <w:pStyle w:val="Heading2"/>
      </w:pPr>
      <w:r>
        <w:t xml:space="preserve">🔹 Logs &amp; Backups / Journaux &amp; sauvegardes</w:t>
      </w:r>
    </w:p>
    <w:p>
      <w:pPr>
        <w:pStyle w:val="Compact"/>
        <w:numPr>
          <w:ilvl w:val="0"/>
          <w:numId w:val="1005"/>
        </w:numPr>
      </w:pPr>
      <w:r>
        <w:t xml:space="preserve">✅ Journaux d’accès conservés ≥ 1 an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✅ Sauvegardes automatiques mensuelles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✅ Stockées sur serveurs canadiens (Supabase/Vercel Canada Central)</w:t>
      </w:r>
    </w:p>
    <w:p>
      <w:r>
        <w:pict>
          <v:rect style="width:0;height:1.5pt" o:hralign="center" o:hrstd="t" o:hr="t"/>
        </w:pict>
      </w:r>
    </w:p>
    <w:bookmarkEnd w:id="25"/>
    <w:bookmarkStart w:id="26" w:name="X506594904a4d31f098d92a87dd7cedfba150e17"/>
    <w:p>
      <w:pPr>
        <w:pStyle w:val="Heading2"/>
      </w:pPr>
      <w:r>
        <w:t xml:space="preserve">🔹 Subcontractors Register / Registre des sous-traitants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Liste des fournisseurs technologiques utilisés pour votre projet.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List of technology providers used for your project.</w:t>
      </w:r>
    </w:p>
    <w:p>
      <w:pPr>
        <w:pStyle w:val="Compact"/>
        <w:numPr>
          <w:ilvl w:val="0"/>
          <w:numId w:val="1006"/>
        </w:numPr>
      </w:pPr>
      <w:r>
        <w:t xml:space="preserve">Vercel (hébergement)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Supabase (base de données, logs)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Stripe (paiements)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Twilio (SMS)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Resend/MailerLite (email)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Cal.com (réservation)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Google (Analytics, Business Profile)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Meta (Facebook/Instagram)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OpenAI/Anthropic (AEO/GEO tests IA)</w:t>
      </w:r>
    </w:p>
    <w:p>
      <w:pPr>
        <w:pStyle w:val="FirstParagraph"/>
      </w:pPr>
      <w:r>
        <w:t xml:space="preserve">✅ Registre fourni en annexe / Register attached.</w:t>
      </w:r>
    </w:p>
    <w:p>
      <w:r>
        <w:pict>
          <v:rect style="width:0;height:1.5pt" o:hralign="center" o:hrstd="t" o:hr="t"/>
        </w:pict>
      </w:r>
    </w:p>
    <w:bookmarkEnd w:id="26"/>
    <w:bookmarkStart w:id="27" w:name="X38b564074c6fdca57fa4a95af80e069e291585c"/>
    <w:p>
      <w:pPr>
        <w:pStyle w:val="Heading2"/>
      </w:pPr>
      <w:r>
        <w:t xml:space="preserve">🔹 Staff &amp; Clients Communication / Communication interne &amp; client</w:t>
      </w:r>
    </w:p>
    <w:p>
      <w:pPr>
        <w:pStyle w:val="Compact"/>
        <w:numPr>
          <w:ilvl w:val="0"/>
          <w:numId w:val="1007"/>
        </w:numPr>
      </w:pPr>
      <w:r>
        <w:t xml:space="preserve">✅ Information Loi 25 fournie au client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✅ Documentation de consentement (formulaires, SMS, email, chatbot)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✅ Formation rapide fournie pour l’usage quotidien du site</w:t>
      </w:r>
    </w:p>
    <w:p>
      <w:r>
        <w:pict>
          <v:rect style="width:0;height:1.5pt" o:hralign="center" o:hrstd="t" o:hr="t"/>
        </w:pict>
      </w:r>
    </w:p>
    <w:bookmarkEnd w:id="27"/>
    <w:bookmarkStart w:id="28" w:name="X80ee0d378424bd9cff5d693e672268dd4d647a4"/>
    <w:p>
      <w:pPr>
        <w:pStyle w:val="Heading2"/>
      </w:pPr>
      <w:r>
        <w:t xml:space="preserve">🔹 Certificate of Compliance / Certificat de conformité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Ce site a été configuré selon les exigences principales de la Loi 25. Des vérifications régulières seront incluses dans le forfait maintenance.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This site has been configured according to the main requirements of Law 25. Ongoing checks will be included in the maintenance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i/>
          <w:iCs/>
        </w:rPr>
        <w:t xml:space="preserve">FR: Ce document constitue une preuve client de conformité, mais ne remplace pas un avis juridique.</w:t>
      </w:r>
      <w:r>
        <w:br/>
      </w:r>
      <w:r>
        <w:t xml:space="preserve">📌</w:t>
      </w:r>
      <w:r>
        <w:t xml:space="preserve"> </w:t>
      </w:r>
      <w:r>
        <w:rPr>
          <w:i/>
          <w:iCs/>
        </w:rPr>
        <w:t xml:space="preserve">EN: This document serves as client proof of compliance, but does not replace legal advice.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2025-08-24T21:37:42Z</dcterms:created>
  <dcterms:modified xsi:type="dcterms:W3CDTF">2025-08-24T21:37:42Z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