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51260b73781d9728d8a2b2e1b52e4541e9d2298"/>
    <w:p>
      <w:pPr>
        <w:pStyle w:val="Heading1"/>
      </w:pPr>
      <w:r>
        <w:t xml:space="preserve">📘 Québec Bill 64 (Loi 25) – Data Residency &amp; Compliance Guide (v0-first workflow)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/>
          <w:bCs/>
        </w:rPr>
        <w:t xml:space="preserve">Objectif</w:t>
      </w:r>
      <w:r>
        <w:br/>
      </w:r>
      <w:r>
        <w:t xml:space="preserve">Fournir un guide technique et pratique de conformité à la Loi 25 (anciennement Bill 64) pour les projets créés avec le workflow</w:t>
      </w:r>
      <w:r>
        <w:t xml:space="preserve"> </w:t>
      </w:r>
      <w:r>
        <w:rPr>
          <w:b/>
          <w:bCs/>
        </w:rPr>
        <w:t xml:space="preserve">v0 → GitHub → Vercel → Supabase → Twilio → Stripe → Resend → Cal.com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quest-ce-que-la-loi-25"/>
    <w:p>
      <w:pPr>
        <w:pStyle w:val="Heading2"/>
      </w:pPr>
      <w:r>
        <w:t xml:space="preserve">1. Qu’est-ce que la Loi 25 ?</w:t>
      </w:r>
    </w:p>
    <w:p>
      <w:pPr>
        <w:pStyle w:val="Compact"/>
        <w:numPr>
          <w:ilvl w:val="0"/>
          <w:numId w:val="1001"/>
        </w:numPr>
      </w:pPr>
      <w:r>
        <w:t xml:space="preserve">Modernise la protection des renseignements personnels au Québec.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 vigueur depuis 22 septembre 2022 (phases complètes en 2024).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Toute entreprise manipulant des données personnelles de résidents québécois doit :</w:t>
      </w:r>
    </w:p>
    <w:p>
      <w:pPr>
        <w:pStyle w:val="Compact"/>
        <w:numPr>
          <w:ilvl w:val="1"/>
          <w:numId w:val="1002"/>
        </w:numPr>
      </w:pPr>
      <w:r>
        <w:t xml:space="preserve">Obtenir un consentement clair et explicite.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Publier une politique de confidentialité bilingue (FR/EN).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Tenir un registre des sous-traitants.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Permettre accès / rectification / suppression des données (droit à l’oubli).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Conserver des journaux d’accès ≥ 1 an.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Aviser la CAI en cas de brèche dans les 72h.</w:t>
      </w:r>
    </w:p>
    <w:p>
      <w:r>
        <w:pict>
          <v:rect style="width:0;height:1.5pt" o:hralign="center" o:hrstd="t" o:hr="t"/>
        </w:pict>
      </w:r>
    </w:p>
    <w:bookmarkEnd w:id="20"/>
    <w:bookmarkStart w:id="29" w:name="outils-du-workflow-et-responsabilités"/>
    <w:p>
      <w:pPr>
        <w:pStyle w:val="Heading2"/>
      </w:pPr>
      <w:r>
        <w:t xml:space="preserve">2. Outils du Workflow et Responsabilités</w:t>
      </w:r>
    </w:p>
    <w:bookmarkStart w:id="21" w:name="a-supabase-db-auth-canada-central"/>
    <w:p>
      <w:pPr>
        <w:pStyle w:val="Heading3"/>
      </w:pPr>
      <w:r>
        <w:t xml:space="preserve">a)</w:t>
      </w:r>
      <w:r>
        <w:t xml:space="preserve"> </w:t>
      </w:r>
      <w:r>
        <w:rPr>
          <w:b/>
          <w:bCs/>
        </w:rPr>
        <w:t xml:space="preserve">Supabase (DB + Auth, Canada Central)</w:t>
      </w:r>
    </w:p>
    <w:p>
      <w:pPr>
        <w:pStyle w:val="Compact"/>
        <w:numPr>
          <w:ilvl w:val="0"/>
          <w:numId w:val="1003"/>
        </w:numPr>
      </w:pPr>
      <w:r>
        <w:t xml:space="preserve">Région d’hébergement =</w:t>
      </w:r>
      <w:r>
        <w:t xml:space="preserve"> </w:t>
      </w:r>
      <w:r>
        <w:rPr>
          <w:b/>
          <w:bCs/>
        </w:rPr>
        <w:t xml:space="preserve">Canada Central</w:t>
      </w:r>
      <w:r>
        <w:t xml:space="preserve"> </w:t>
      </w:r>
      <w:r>
        <w:t xml:space="preserve">obligatoire.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Activer journaux d’accès (logs ≥ 1 an).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Créer endpoint</w:t>
      </w:r>
      <w:r>
        <w:t xml:space="preserve"> </w:t>
      </w:r>
      <w:r>
        <w:rPr>
          <w:rStyle w:val="VerbatimChar"/>
        </w:rPr>
        <w:t xml:space="preserve">/delete</w:t>
      </w:r>
      <w:r>
        <w:t xml:space="preserve"> </w:t>
      </w:r>
      <w:r>
        <w:t xml:space="preserve">pour droit à l’oubli.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Staging vs Production</w:t>
      </w:r>
      <w:r>
        <w:t xml:space="preserve"> </w:t>
      </w:r>
      <w:r>
        <w:t xml:space="preserve">: ne pas mélanger données tests avec vraies données.</w:t>
      </w:r>
    </w:p>
    <w:bookmarkEnd w:id="21"/>
    <w:bookmarkStart w:id="22" w:name="b-vercel-hosting"/>
    <w:p>
      <w:pPr>
        <w:pStyle w:val="Heading3"/>
      </w:pPr>
      <w:r>
        <w:t xml:space="preserve">b)</w:t>
      </w:r>
      <w:r>
        <w:t xml:space="preserve"> </w:t>
      </w:r>
      <w:r>
        <w:rPr>
          <w:b/>
          <w:bCs/>
        </w:rPr>
        <w:t xml:space="preserve">Vercel (Hosting)</w:t>
      </w:r>
    </w:p>
    <w:p>
      <w:pPr>
        <w:pStyle w:val="Compact"/>
        <w:numPr>
          <w:ilvl w:val="0"/>
          <w:numId w:val="1004"/>
        </w:numPr>
      </w:pPr>
      <w:r>
        <w:t xml:space="preserve">HTTPS activé par défaut.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Variables d’environnement pour toutes les clés sensibles (jamais dans GitHub).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Bannière cookie FR/EN obligatoire si Analytics/Hotjar activés.</w:t>
      </w:r>
    </w:p>
    <w:bookmarkEnd w:id="22"/>
    <w:bookmarkStart w:id="23" w:name="c-github-code-repository"/>
    <w:p>
      <w:pPr>
        <w:pStyle w:val="Heading3"/>
      </w:pPr>
      <w:r>
        <w:t xml:space="preserve">c)</w:t>
      </w:r>
      <w:r>
        <w:t xml:space="preserve"> </w:t>
      </w:r>
      <w:r>
        <w:rPr>
          <w:b/>
          <w:bCs/>
        </w:rPr>
        <w:t xml:space="preserve">GitHub (Code repository)</w:t>
      </w:r>
    </w:p>
    <w:p>
      <w:pPr>
        <w:pStyle w:val="Compact"/>
        <w:numPr>
          <w:ilvl w:val="0"/>
          <w:numId w:val="1005"/>
        </w:numPr>
      </w:pPr>
      <w:r>
        <w:t xml:space="preserve">Source de vérité pour le code,</w:t>
      </w:r>
      <w:r>
        <w:t xml:space="preserve"> </w:t>
      </w:r>
      <w:r>
        <w:rPr>
          <w:b/>
          <w:bCs/>
        </w:rPr>
        <w:t xml:space="preserve">pas pour les secrets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Utiliser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+ variables configurées uniquement dans Vercel.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Documentation interne du registre des sous-traitants.</w:t>
      </w:r>
    </w:p>
    <w:bookmarkEnd w:id="23"/>
    <w:bookmarkStart w:id="24" w:name="d-twilio-sms"/>
    <w:p>
      <w:pPr>
        <w:pStyle w:val="Heading3"/>
      </w:pPr>
      <w:r>
        <w:t xml:space="preserve">d)</w:t>
      </w:r>
      <w:r>
        <w:t xml:space="preserve"> </w:t>
      </w:r>
      <w:r>
        <w:rPr>
          <w:b/>
          <w:bCs/>
        </w:rPr>
        <w:t xml:space="preserve">Twilio (SMS)</w:t>
      </w:r>
    </w:p>
    <w:p>
      <w:pPr>
        <w:pStyle w:val="Compact"/>
        <w:numPr>
          <w:ilvl w:val="0"/>
          <w:numId w:val="1006"/>
        </w:numPr>
      </w:pPr>
      <w:r>
        <w:t xml:space="preserve">Consentement explicite (opt-in obligatoire).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Fournir option simple d’opt-out (« STOP »).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Logs de consentement et d’envoi conservés ≥ 1 an.</w:t>
      </w:r>
    </w:p>
    <w:bookmarkEnd w:id="24"/>
    <w:bookmarkStart w:id="25" w:name="e-stripe-paiements"/>
    <w:p>
      <w:pPr>
        <w:pStyle w:val="Heading3"/>
      </w:pPr>
      <w:r>
        <w:t xml:space="preserve">e)</w:t>
      </w:r>
      <w:r>
        <w:t xml:space="preserve"> </w:t>
      </w:r>
      <w:r>
        <w:rPr>
          <w:b/>
          <w:bCs/>
        </w:rPr>
        <w:t xml:space="preserve">Stripe (Paiements)</w:t>
      </w:r>
    </w:p>
    <w:p>
      <w:pPr>
        <w:pStyle w:val="Compact"/>
        <w:numPr>
          <w:ilvl w:val="0"/>
          <w:numId w:val="1007"/>
        </w:numPr>
      </w:pPr>
      <w:r>
        <w:t xml:space="preserve">Données financières hébergées hors Québec.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Obligation de documenter Stripe comme</w:t>
      </w:r>
      <w:r>
        <w:t xml:space="preserve"> </w:t>
      </w:r>
      <w:r>
        <w:rPr>
          <w:b/>
          <w:bCs/>
        </w:rPr>
        <w:t xml:space="preserve">sous-traitant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Politique de confidentialité doit mentionner Stripe.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Conserver logs de transactions (horodatés).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Informer le client final que les données sont traitées par Stripe à l’international.</w:t>
      </w:r>
    </w:p>
    <w:bookmarkEnd w:id="25"/>
    <w:bookmarkStart w:id="26" w:name="f-resend-mailerlite-emails"/>
    <w:p>
      <w:pPr>
        <w:pStyle w:val="Heading3"/>
      </w:pPr>
      <w:r>
        <w:t xml:space="preserve">f)</w:t>
      </w:r>
      <w:r>
        <w:t xml:space="preserve"> </w:t>
      </w:r>
      <w:r>
        <w:rPr>
          <w:b/>
          <w:bCs/>
        </w:rPr>
        <w:t xml:space="preserve">Resend / MailerLite (Emails)</w:t>
      </w:r>
    </w:p>
    <w:p>
      <w:pPr>
        <w:pStyle w:val="Compact"/>
        <w:numPr>
          <w:ilvl w:val="0"/>
          <w:numId w:val="1008"/>
        </w:numPr>
      </w:pPr>
      <w:r>
        <w:t xml:space="preserve">Double opt-in recommandé.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SPF/DKIM/DMARC configurés dans DNS.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Journalisation des consentements.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Mentionner dans la politique que l’outil est un sous-traitant externe.</w:t>
      </w:r>
    </w:p>
    <w:bookmarkEnd w:id="26"/>
    <w:bookmarkStart w:id="27" w:name="g-cal.com-booking"/>
    <w:p>
      <w:pPr>
        <w:pStyle w:val="Heading3"/>
      </w:pPr>
      <w:r>
        <w:t xml:space="preserve">g)</w:t>
      </w:r>
      <w:r>
        <w:t xml:space="preserve"> </w:t>
      </w:r>
      <w:r>
        <w:rPr>
          <w:b/>
          <w:bCs/>
        </w:rPr>
        <w:t xml:space="preserve">Cal.com (Booking)</w:t>
      </w:r>
    </w:p>
    <w:p>
      <w:pPr>
        <w:pStyle w:val="Compact"/>
        <w:numPr>
          <w:ilvl w:val="0"/>
          <w:numId w:val="1009"/>
        </w:numPr>
      </w:pPr>
      <w:r>
        <w:t xml:space="preserve">Données de réservation hébergées aux US/EU.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Obligation de l’indiquer clairement dans la politique de confidentialité.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Consentement utilisateur requis avant soumission.</w:t>
      </w:r>
    </w:p>
    <w:bookmarkEnd w:id="27"/>
    <w:bookmarkStart w:id="28" w:name="h-chatbot-tidio-crisp"/>
    <w:p>
      <w:pPr>
        <w:pStyle w:val="Heading3"/>
      </w:pPr>
      <w:r>
        <w:t xml:space="preserve">h)</w:t>
      </w:r>
      <w:r>
        <w:t xml:space="preserve"> </w:t>
      </w:r>
      <w:r>
        <w:rPr>
          <w:b/>
          <w:bCs/>
        </w:rPr>
        <w:t xml:space="preserve">Chatbot (Tidio / Crisp)</w:t>
      </w:r>
    </w:p>
    <w:p>
      <w:pPr>
        <w:pStyle w:val="Compact"/>
        <w:numPr>
          <w:ilvl w:val="0"/>
          <w:numId w:val="1010"/>
        </w:numPr>
      </w:pPr>
      <w:r>
        <w:t xml:space="preserve">Ajouter bannière/avis :</w:t>
      </w:r>
      <w:r>
        <w:t xml:space="preserve"> </w:t>
      </w:r>
      <w:r>
        <w:t xml:space="preserve">“Vos données sont enregistrées et traitées selon la Loi 25.”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Logs de conversations stockés au Canada si possible.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Fournir un mécanisme de suppression.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ègles-de-transfert-et-sécurité"/>
    <w:p>
      <w:pPr>
        <w:pStyle w:val="Heading2"/>
      </w:pPr>
      <w:r>
        <w:t xml:space="preserve">3. Règles de Transfert et Sécurité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PIA (Privacy Impact Assessment)</w:t>
      </w:r>
      <w:r>
        <w:t xml:space="preserve"> </w:t>
      </w:r>
      <w:r>
        <w:t xml:space="preserve">obligatoire avant transfert hors Québec.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Assurer protection comparable (chiffrement AES-256 au repos, TLS 1.2+ en transit).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Contrats écrits requis avec chaque sous-traitant (Stripe, Twilio, Resend, Cal.com, etc.).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Export / portabilité des données dans les 30 jours sur demande.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Journalisation et surveillance des accès.</w:t>
      </w:r>
    </w:p>
    <w:p>
      <w:r>
        <w:pict>
          <v:rect style="width:0;height:1.5pt" o:hralign="center" o:hrstd="t" o:hr="t"/>
        </w:pict>
      </w:r>
    </w:p>
    <w:bookmarkEnd w:id="30"/>
    <w:bookmarkStart w:id="31" w:name="checklist-loi-25-par-projet"/>
    <w:p>
      <w:pPr>
        <w:pStyle w:val="Heading2"/>
      </w:pPr>
      <w:r>
        <w:t xml:space="preserve">4. Checklist Loi 25 (par projet)</w:t>
      </w:r>
    </w:p>
    <w:p>
      <w:pPr>
        <w:pStyle w:val="Compact"/>
        <w:numPr>
          <w:ilvl w:val="0"/>
          <w:numId w:val="1012"/>
        </w:numPr>
      </w:pPr>
      <w:r>
        <w:t xml:space="preserve">Supabase hébergé au Canada Central.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HTTPS activé sur Vercel.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Repo GitHub sans secrets;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configuré dans Vercel.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Cookie banner FR/EN actif.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Consentement explicite documenté (SMS, email, formulaire, chatbot).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Stripe mentionné dans la politique + logs transactions activés.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Resend/MailerLite configuré avec SPF/DKIM/DMARC + double opt-in.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Cal.com disclosure dans la politique.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Logs d’accès conservés ≥ 1 an.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/delete</w:t>
      </w:r>
      <w:r>
        <w:t xml:space="preserve"> </w:t>
      </w:r>
      <w:r>
        <w:t xml:space="preserve">opérationnel.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Registre des sous-traitants tenu à jour.</w:t>
      </w:r>
    </w:p>
    <w:p>
      <w:r>
        <w:pict>
          <v:rect style="width:0;height:1.5pt" o:hralign="center" o:hrstd="t" o:hr="t"/>
        </w:pict>
      </w:r>
    </w:p>
    <w:bookmarkEnd w:id="31"/>
    <w:bookmarkStart w:id="32" w:name="prompts-ia-utiles"/>
    <w:p>
      <w:pPr>
        <w:pStyle w:val="Heading2"/>
      </w:pPr>
      <w:r>
        <w:t xml:space="preserve">5. Prompts IA Utiles</w:t>
      </w:r>
    </w:p>
    <w:p>
      <w:pPr>
        <w:pStyle w:val="FirstParagraph"/>
      </w:pPr>
      <w:r>
        <w:rPr>
          <w:b/>
          <w:bCs/>
        </w:rPr>
        <w:t xml:space="preserve">Politique de confidentialité (bilingue)</w:t>
      </w:r>
      <w:r>
        <w:br/>
      </w:r>
      <w:r>
        <w:t xml:space="preserve">&gt;</w:t>
      </w:r>
      <w:r>
        <w:t xml:space="preserve"> </w:t>
      </w:r>
      <w:r>
        <w:t xml:space="preserve">“Rédige une politique de confidentialité FR/EN pour une PME québécoise utilisant Vercel, Supabase (Canada Central), Stripe, Resend et Cal.com, conforme à la Loi 25.”</w:t>
      </w:r>
    </w:p>
    <w:p>
      <w:pPr>
        <w:pStyle w:val="BodyText"/>
      </w:pPr>
      <w:r>
        <w:rPr>
          <w:b/>
          <w:bCs/>
        </w:rPr>
        <w:t xml:space="preserve">Audit automatisé</w:t>
      </w:r>
      <w:r>
        <w:br/>
      </w:r>
      <w:r>
        <w:t xml:space="preserve">&gt;</w:t>
      </w:r>
      <w:r>
        <w:t xml:space="preserve"> </w:t>
      </w:r>
      <w:r>
        <w:t xml:space="preserve">“Fais un audit Loi 25 d’un site déployé sur Vercel avec Supabase (Canada Central), Stripe, Twilio et Resend, liste les manquements et propose un plan d’action.”</w:t>
      </w:r>
    </w:p>
    <w:p>
      <w:pPr>
        <w:pStyle w:val="BodyText"/>
      </w:pPr>
      <w:r>
        <w:rPr>
          <w:b/>
          <w:bCs/>
        </w:rPr>
        <w:t xml:space="preserve">Checklist projet</w:t>
      </w:r>
      <w:r>
        <w:br/>
      </w:r>
      <w:r>
        <w:t xml:space="preserve">&gt;</w:t>
      </w:r>
      <w:r>
        <w:t xml:space="preserve"> </w:t>
      </w:r>
      <w:r>
        <w:t xml:space="preserve">“Prépare une checklist Loi 25 pour un projet web PME au Québec intégrant Supabase, Stripe et Cal.com, incluant étapes techniques et exigences légales.”</w:t>
      </w:r>
    </w:p>
    <w:p>
      <w:r>
        <w:pict>
          <v:rect style="width:0;height:1.5pt" o:hralign="center" o:hrstd="t" o:hr="t"/>
        </w:pict>
      </w:r>
    </w:p>
    <w:bookmarkEnd w:id="32"/>
    <w:bookmarkStart w:id="33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Avec ce workflow v0-first, vos projets sont non seulement modernes et rapides à livrer, mais aussi</w:t>
      </w:r>
      <w:r>
        <w:t xml:space="preserve"> </w:t>
      </w:r>
      <w:r>
        <w:rPr>
          <w:b/>
          <w:bCs/>
        </w:rPr>
        <w:t xml:space="preserve">100 % conformes à la Loi 25</w:t>
      </w:r>
      <w:r>
        <w:t xml:space="preserve">.</w:t>
      </w:r>
      <w:r>
        <w:br/>
      </w:r>
      <w:r>
        <w:t xml:space="preserve">Cela protège votre agence et vos clients contre les amendes, tout en créant un avantage concurrentiel unique sur le marché québécois.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2025-08-24T16:48:28Z</dcterms:created>
  <dcterms:modified xsi:type="dcterms:W3CDTF">2025-08-24T16:48:28Z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