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DD4542E8">
      <w:pPr>
        <w:spacing w:before="2400"/>
      </w:pPr>
    </w:p>
    <w:p w14:paraId="7D13B882">
      <w:pPr>
        <w:spacing w:after="40"/>
      </w:pPr>
      <w:r>
        <w:rPr>
          <w:rFonts w:ascii="Arial" w:hAnsi="Arial" w:eastAsia="Arial" w:cs="Arial"/>
          <w:b/>
          <w:bCs/>
          <w:color w:val="7B3FA0"/>
          <w:spacing w:val="120"/>
          <w:sz w:val="20"/>
          <w:szCs w:val="20"/>
        </w:rPr>
        <w:t>EXOASIA INNOVATION HUB</w:t>
      </w:r>
    </w:p>
    <w:p w14:paraId="569BCB95">
      <w:pPr>
        <w:pBdr>
          <w:bottom w:val="single" w:color="7B3FA0" w:sz="8" w:space="1"/>
        </w:pBdr>
        <w:spacing w:after="20"/>
      </w:pPr>
      <w:r>
        <w:rPr>
          <w:color w:val="8A8099"/>
        </w:rPr>
        <w:t>Market Research &amp; Strategic Insight</w:t>
      </w:r>
    </w:p>
    <w:p w14:paraId="AE8F3ED8">
      <w:pPr>
        <w:spacing w:before="600" w:after="80"/>
      </w:pPr>
      <w:r>
        <w:rPr>
          <w:rFonts w:ascii="Arial" w:hAnsi="Arial" w:eastAsia="Arial" w:cs="Arial"/>
          <w:b/>
          <w:bCs/>
          <w:color w:val="2D0A28"/>
          <w:sz w:val="48"/>
          <w:szCs w:val="48"/>
        </w:rPr>
        <w:t>Thought Leadership Content Pack</w:t>
      </w:r>
    </w:p>
    <w:p w14:paraId="C6F58CD7">
      <w:pPr>
        <w:spacing w:before="80" w:after="40"/>
        <w:rPr>
          <w:rFonts w:ascii="Arial" w:hAnsi="Arial" w:eastAsia="Arial" w:cs="Arial"/>
          <w:color w:val="7B3FA0"/>
          <w:sz w:val="28"/>
          <w:szCs w:val="28"/>
        </w:rPr>
      </w:pPr>
      <w:r>
        <w:rPr>
          <w:rFonts w:ascii="Arial" w:hAnsi="Arial" w:eastAsia="Arial" w:cs="Arial"/>
          <w:color w:val="7B3FA0"/>
          <w:sz w:val="28"/>
          <w:szCs w:val="28"/>
        </w:rPr>
        <w:t>Crypto, Fintech &amp; Web3 Briefing</w:t>
      </w:r>
    </w:p>
    <w:p w14:paraId="6CCE2169">
      <w:pPr>
        <w:spacing w:before="80" w:after="40"/>
        <w:rPr>
          <w:rFonts w:ascii="Arial" w:hAnsi="Arial" w:eastAsia="Arial" w:cs="Arial"/>
          <w:color w:val="7B3FA0"/>
          <w:sz w:val="28"/>
          <w:szCs w:val="28"/>
        </w:rPr>
      </w:pPr>
      <w:r>
        <w:rPr>
          <w:color w:val="8A8099"/>
        </w:rPr>
        <w:t>Based on MRSI Daily Insight — June 02, 2026</w:t>
      </w:r>
    </w:p>
    <w:p w14:paraId="66D3A44D">
      <w:r>
        <w:rPr>
          <w:color w:val="B095C5"/>
        </w:rPr>
        <w:t>5 Platforms  ·  5 Content Pieces  ·  Ready to Publish</w:t>
      </w:r>
    </w:p>
    <w:p w14:paraId="8B58D0A5">
      <w:pPr>
        <w:spacing w:before="1200"/>
      </w:pPr>
      <w:r>
        <w:rPr>
          <w:color w:val="8A8099"/>
          <w:sz w:val="20"/>
          <w:szCs w:val="20"/>
        </w:rPr>
        <w:t>Prepared by MRSI Content Team</w:t>
      </w:r>
    </w:p>
    <w:p w14:paraId="C291A876">
      <w:r>
        <w:br w:type="page"/>
      </w:r>
    </w:p>
    <w:p w14:paraId="0ABCF817">
      <w:pPr>
        <w:pStyle w:val="2"/>
      </w:pPr>
      <w:r>
        <w:t>Content Overview</w:t>
      </w:r>
    </w:p>
    <w:p w14:paraId="81A7F1EC">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FBED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85A74AE6">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3C347D45">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3F2509AE">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A3DFD39A">
            <w:r>
              <w:rPr>
                <w:rFonts w:ascii="Arial" w:hAnsi="Arial" w:eastAsia="Arial" w:cs="Arial"/>
                <w:b/>
                <w:bCs/>
                <w:color w:val="FFFFFF"/>
                <w:sz w:val="18"/>
                <w:szCs w:val="18"/>
              </w:rPr>
              <w:t>BASED ON QUESTION</w:t>
            </w:r>
          </w:p>
        </w:tc>
      </w:tr>
      <w:tr w14:paraId="DFFE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581DF606">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485E7328">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F2057A91">
            <w:r>
              <w:rPr>
                <w:sz w:val="20"/>
                <w:szCs w:val="20"/>
              </w:rPr>
              <w:t>Text-only post. No link in body - drop URL in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98A3FCD8">
            <w:r>
              <w:rPr>
                <w:sz w:val="20"/>
                <w:szCs w:val="20"/>
              </w:rPr>
              <w:t>All 5 Questions</w:t>
            </w:r>
          </w:p>
        </w:tc>
      </w:tr>
      <w:tr w14:paraId="D794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1478F433">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78CDD8F9">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A9CCAFDF">
            <w:r>
              <w:rPr>
                <w:sz w:val="20"/>
                <w:szCs w:val="20"/>
              </w:rPr>
              <w:t>16:9 aspect ratio, 60-second duration, direct-to-camera delivery.</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33EEC844">
            <w:r>
              <w:rPr>
                <w:sz w:val="20"/>
                <w:szCs w:val="20"/>
              </w:rPr>
              <w:t>All 5 Questions</w:t>
            </w:r>
          </w:p>
        </w:tc>
      </w:tr>
      <w:tr w14:paraId="0F87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1C1AA027">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61CFBD0E">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9E6D9E00">
            <w:r>
              <w:rPr>
                <w:sz w:val="20"/>
                <w:szCs w:val="20"/>
              </w:rPr>
              <w:t>6-slide carousel, 1080x1080px. Design for shareability to stories and direct messages.</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7B7DC77D">
            <w:r>
              <w:rPr>
                <w:sz w:val="20"/>
                <w:szCs w:val="20"/>
              </w:rPr>
              <w:t>All 5 Questions</w:t>
            </w:r>
          </w:p>
        </w:tc>
      </w:tr>
      <w:tr w14:paraId="C169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5D9224A8">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C88648FC">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5F40F4BD">
            <w:r>
              <w:rPr>
                <w:sz w:val="20"/>
                <w:szCs w:val="20"/>
              </w:rPr>
              <w:t>One idea, short narrative, closing question.</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92912759">
            <w:r>
              <w:rPr>
                <w:sz w:val="20"/>
                <w:szCs w:val="20"/>
              </w:rPr>
              <w:t>All 5 Questions</w:t>
            </w:r>
          </w:p>
        </w:tc>
      </w:tr>
      <w:tr w14:paraId="A882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71D2B5A5">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11E8DF5C">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B145328E">
            <w:r>
              <w:rPr>
                <w:sz w:val="20"/>
                <w:szCs w:val="20"/>
              </w:rPr>
              <w:t>9:16 aspect ratio, 45-second duration, direct-to-camera, conversational style.</w:t>
            </w:r>
          </w:p>
        </w:tc>
        <w:tc>
          <w:tcPr>
            <w:tcW w:w="3000" w:type="dxa"/>
            <w:tcBorders>
              <w:top w:val="nil"/>
              <w:left w:val="nil"/>
              <w:bottom w:val="nil"/>
              <w:right w:val="nil"/>
            </w:tcBorders>
            <w:shd w:val="clear" w:color="auto" w:fill="F5F3F8"/>
            <w:tcMar>
              <w:top w:w="60" w:type="dxa"/>
              <w:left w:w="120" w:type="dxa"/>
              <w:bottom w:w="60" w:type="dxa"/>
              <w:right w:w="120" w:type="dxa"/>
            </w:tcMar>
          </w:tcPr>
          <w:p w14:paraId="094D31F2">
            <w:r>
              <w:rPr>
                <w:sz w:val="20"/>
                <w:szCs w:val="20"/>
              </w:rPr>
              <w:t>All 5 Questions</w:t>
            </w:r>
          </w:p>
        </w:tc>
      </w:tr>
    </w:tbl>
    <w:p w14:paraId="8E85BAEE">
      <w:r>
        <w:br w:type="page"/>
      </w:r>
    </w:p>
    <w:p w14:paraId="ACA23C0D">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52F4BCFF">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Hot take/contrarian opinion</w:t>
      </w:r>
    </w:p>
    <w:p w14:paraId="945F0E63">
      <w:pPr>
        <w:pBdr>
          <w:bottom w:val="single" w:color="7B3FA0" w:sz="6" w:space="1"/>
        </w:pBdr>
        <w:spacing w:before="200" w:after="200"/>
      </w:pPr>
    </w:p>
    <w:p w14:paraId="8E1B14D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0FDC88AD">
      <w:pPr>
        <w:rPr>
          <w:rFonts w:ascii="Arial" w:hAnsi="Arial" w:eastAsia="Arial" w:cs="Arial"/>
          <w:b/>
          <w:bCs/>
          <w:color w:val="7B3FA0"/>
          <w:spacing w:val="80"/>
          <w:sz w:val="16"/>
          <w:szCs w:val="16"/>
        </w:rPr>
      </w:pPr>
    </w:p>
    <w:p w14:paraId="D88FAB01">
      <w:r>
        <w:rPr>
          <w:sz w:val="20"/>
          <w:szCs w:val="20"/>
        </w:rPr>
        <w:t>Text-only post. No link in body - drop URL in first comment.</w:t>
      </w:r>
    </w:p>
    <w:p w14:paraId="DE5025E9"/>
    <w:p w14:paraId="C9C0D3A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22792F44">
      <w:pPr>
        <w:rPr>
          <w:rFonts w:ascii="Arial" w:hAnsi="Arial" w:eastAsia="Arial" w:cs="Arial"/>
          <w:b/>
          <w:bCs/>
          <w:color w:val="7B3FA0"/>
          <w:spacing w:val="80"/>
          <w:sz w:val="16"/>
          <w:szCs w:val="16"/>
        </w:rPr>
      </w:pPr>
    </w:p>
    <w:p w14:paraId="FF2F65FF">
      <w:r>
        <w:rPr>
          <w:sz w:val="20"/>
          <w:szCs w:val="20"/>
        </w:rPr>
        <w:t>To challenge the prevailing narrative of unified crypto market direction, forcing decision-makers to confront the divergence between market sentiment and specific regulatory advancements.</w:t>
      </w:r>
    </w:p>
    <w:p w14:paraId="9165E35F"/>
    <w:p w14:paraId="73AFEB2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FFC38D5B">
      <w:pPr>
        <w:rPr>
          <w:rFonts w:ascii="Arial" w:hAnsi="Arial" w:eastAsia="Arial" w:cs="Arial"/>
          <w:b/>
          <w:bCs/>
          <w:color w:val="7B3FA0"/>
          <w:spacing w:val="80"/>
          <w:sz w:val="16"/>
          <w:szCs w:val="16"/>
        </w:rPr>
      </w:pPr>
    </w:p>
    <w:p w14:paraId="B19002D2">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853565" cy="1853565"/>
            <wp:effectExtent l="0" t="0" r="13335" b="13335"/>
            <wp:docPr id="7" name="Picture 7" descr="WhatsApp Image 2026-06-02 at 7.11.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6-02 at 7.11.20 AM"/>
                    <pic:cNvPicPr>
                      <a:picLocks noChangeAspect="1"/>
                    </pic:cNvPicPr>
                  </pic:nvPicPr>
                  <pic:blipFill>
                    <a:blip r:embed="rId5"/>
                    <a:stretch>
                      <a:fillRect/>
                    </a:stretch>
                  </pic:blipFill>
                  <pic:spPr>
                    <a:xfrm>
                      <a:off x="0" y="0"/>
                      <a:ext cx="1853565" cy="1853565"/>
                    </a:xfrm>
                    <a:prstGeom prst="rect">
                      <a:avLst/>
                    </a:prstGeom>
                  </pic:spPr>
                </pic:pic>
              </a:graphicData>
            </a:graphic>
          </wp:inline>
        </w:drawing>
      </w:r>
    </w:p>
    <w:p w14:paraId="03AA1F65"/>
    <w:p w14:paraId="1486AD4A"/>
    <w:p w14:paraId="F579DA3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D08F5597">
      <w:pPr>
        <w:rPr>
          <w:rFonts w:ascii="Arial" w:hAnsi="Arial" w:eastAsia="Arial" w:cs="Arial"/>
          <w:b/>
          <w:bCs/>
          <w:color w:val="7B3FA0"/>
          <w:spacing w:val="80"/>
          <w:sz w:val="16"/>
          <w:szCs w:val="16"/>
        </w:rPr>
      </w:pPr>
    </w:p>
    <w:p w14:paraId="092A0EBF">
      <w:pPr>
        <w:pBdr>
          <w:left w:val="single" w:color="7B3FA0" w:sz="8" w:space="8"/>
        </w:pBdr>
        <w:shd w:val="clear" w:color="auto" w:fill="F5F3F8"/>
        <w:ind w:left="202" w:right="202"/>
        <w:jc w:val="both"/>
        <w:rPr>
          <w:sz w:val="21"/>
          <w:szCs w:val="21"/>
        </w:rPr>
      </w:pPr>
    </w:p>
    <w:p w14:paraId="53D7C81A">
      <w:pPr>
        <w:pBdr>
          <w:left w:val="single" w:color="7B3FA0" w:sz="8" w:space="8"/>
        </w:pBdr>
        <w:shd w:val="clear" w:color="auto" w:fill="F5F3F8"/>
        <w:ind w:left="202" w:right="202"/>
        <w:jc w:val="both"/>
        <w:rPr>
          <w:sz w:val="20"/>
          <w:szCs w:val="20"/>
        </w:rPr>
      </w:pPr>
      <w:r>
        <w:rPr>
          <w:sz w:val="20"/>
          <w:szCs w:val="20"/>
        </w:rPr>
        <w:t>Crypto’s $58 million fund outflow isn't the real story. The true disconnect lies in the market reacting to transient pressures like oil prices and ETF withdrawals, while Japan’s ruling LDP quietly builds a blueprint for institutional digital asset integration. This isn't just about market volatility; it's about a rapidly fragmenting global landscape where regulatory vision outpaces short-term price action. Most are underestimating how a single major economy embracing crypto ETFs and yen-based stablecoins fundamentally shifts the long-term game, creating distinct opportunities and risks based on geographic alignment. If this continues, nations failing to establish clear, supportive frameworks will see capital and innovation flow to jurisdictions like Japan. The mechanism is direct: regulated pathways like crypto ETFs and stablecoins provide the trust and liquidity that institutional capital demands, creating a compelling alternative to offshore, speculative markets. For you, if your strategic planning doesn't account for these divergent global regulatory speeds, you're competing on outdated assumptions, risking being sidelined as regulated capital migrates. You need to identify which jurisdictions are building the financial infrastructure of tomorrow.</w:t>
      </w:r>
    </w:p>
    <w:p w14:paraId="AA61861A">
      <w:pPr>
        <w:pBdr>
          <w:left w:val="single" w:color="7B3FA0" w:sz="8" w:space="8"/>
        </w:pBdr>
        <w:shd w:val="clear" w:color="auto" w:fill="F5F3F8"/>
        <w:ind w:left="202" w:right="202"/>
        <w:jc w:val="both"/>
        <w:rPr>
          <w:sz w:val="21"/>
          <w:szCs w:val="21"/>
        </w:rPr>
      </w:pPr>
    </w:p>
    <w:p w14:paraId="E53CF8C9">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43899ED5">
      <w:pPr>
        <w:pBdr>
          <w:left w:val="single" w:color="7B3FA0" w:sz="8" w:space="8"/>
        </w:pBdr>
        <w:shd w:val="clear" w:color="auto" w:fill="F5F3F8"/>
        <w:ind w:left="202" w:right="202"/>
        <w:jc w:val="both"/>
        <w:rPr>
          <w:sz w:val="21"/>
          <w:szCs w:val="21"/>
        </w:rPr>
      </w:pPr>
    </w:p>
    <w:p w14:paraId="D3C047E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5104FDE2">
      <w:pPr>
        <w:rPr>
          <w:rFonts w:ascii="Arial" w:hAnsi="Arial" w:eastAsia="Arial" w:cs="Arial"/>
          <w:b/>
          <w:bCs/>
          <w:color w:val="7B3FA0"/>
          <w:spacing w:val="80"/>
          <w:sz w:val="16"/>
          <w:szCs w:val="16"/>
        </w:rPr>
      </w:pPr>
    </w:p>
    <w:p w14:paraId="5D4D3B69">
      <w:pPr>
        <w:shd w:val="clear" w:color="auto" w:fill="F5F3F8"/>
        <w:ind w:right="200"/>
        <w:jc w:val="both"/>
        <w:rPr>
          <w:sz w:val="20"/>
          <w:szCs w:val="20"/>
        </w:rPr>
      </w:pPr>
    </w:p>
    <w:p w14:paraId="6567FBA8">
      <w:pPr>
        <w:shd w:val="clear" w:color="auto" w:fill="F5F3F8"/>
        <w:ind w:right="200"/>
        <w:jc w:val="both"/>
        <w:rPr>
          <w:sz w:val="20"/>
          <w:szCs w:val="20"/>
        </w:rPr>
      </w:pPr>
      <w:r>
        <w:rPr>
          <w:sz w:val="20"/>
          <w:szCs w:val="20"/>
        </w:rPr>
        <w:t>Optimal posting time: Tuesday, 9:00 AM local time. Rationale: Catches decision-makers at the start of their workday, when they are most likely to engage with professional content. Format presentation advice: Use short, crisp paragraphs to maintain readability. Audience targeting or boost guidance: Target senior executives in financial services, fintech, and innovation roles. Boost to reach leaders specifically interested in blockchain and digital asset policy. Pinned comment instruction: Pin a comment with "Read the full briefing for more details: [Link to briefing on Exoasia website]".</w:t>
      </w:r>
    </w:p>
    <w:p w14:paraId="D8EE5C15">
      <w:pPr>
        <w:shd w:val="clear" w:color="auto" w:fill="F5F3F8"/>
        <w:ind w:right="200"/>
        <w:jc w:val="both"/>
        <w:rPr>
          <w:sz w:val="20"/>
          <w:szCs w:val="20"/>
        </w:rPr>
      </w:pPr>
      <w:r>
        <w:rPr>
          <w:sz w:val="20"/>
          <w:szCs w:val="20"/>
        </w:rPr>
        <w:t>Hashtags: #CryptoRegulation #DigitalAssets #JapanPolicy #MarketShift #FintechLeaders #ExoasiaMRSI</w:t>
      </w:r>
    </w:p>
    <w:p w14:paraId="B660B0C3"/>
    <w:p w14:paraId="BC158EAE"/>
    <w:p w14:paraId="0AE062B6">
      <w:r>
        <w:t>COMMENTS:</w:t>
      </w:r>
    </w:p>
    <w:p w14:paraId="1815C797"/>
    <w:p w14:paraId="233D56D0"/>
    <w:p w14:paraId="D61E79E3">
      <w:pPr>
        <w:rPr>
          <w:rFonts w:ascii="Arial" w:hAnsi="Arial" w:eastAsia="Arial" w:cs="Arial"/>
          <w:b/>
          <w:bCs/>
          <w:color w:val="D4C5E8"/>
          <w:sz w:val="56"/>
          <w:szCs w:val="56"/>
        </w:rPr>
      </w:pPr>
      <w:r>
        <w:rPr>
          <w:rFonts w:ascii="Arial" w:hAnsi="Arial" w:eastAsia="Arial" w:cs="Arial"/>
          <w:b/>
          <w:bCs/>
          <w:color w:val="D4C5E8"/>
          <w:sz w:val="56"/>
          <w:szCs w:val="56"/>
        </w:rPr>
        <w:br w:type="page"/>
      </w:r>
    </w:p>
    <w:p w14:paraId="C34E2228">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9E8D9DD4">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Trend prediction/future scenarios</w:t>
      </w:r>
    </w:p>
    <w:p w14:paraId="E1B7AAD5">
      <w:pPr>
        <w:pBdr>
          <w:bottom w:val="single" w:color="7B3FA0" w:sz="6" w:space="1"/>
        </w:pBdr>
        <w:spacing w:before="200" w:after="200"/>
      </w:pPr>
    </w:p>
    <w:p w14:paraId="F094884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67EE27E9">
      <w:pPr>
        <w:rPr>
          <w:rFonts w:ascii="Arial" w:hAnsi="Arial" w:eastAsia="Arial" w:cs="Arial"/>
          <w:b/>
          <w:bCs/>
          <w:color w:val="7B3FA0"/>
          <w:spacing w:val="80"/>
          <w:sz w:val="16"/>
          <w:szCs w:val="16"/>
        </w:rPr>
      </w:pPr>
    </w:p>
    <w:p w14:paraId="04624B96">
      <w:r>
        <w:rPr>
          <w:sz w:val="20"/>
          <w:szCs w:val="20"/>
        </w:rPr>
        <w:t>16:9 aspect ratio, 60-second duration, direct-to-camera delivery.</w:t>
      </w:r>
    </w:p>
    <w:p w14:paraId="0AF43080"/>
    <w:p w14:paraId="999DD1E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34810DC6">
      <w:pPr>
        <w:rPr>
          <w:rFonts w:ascii="Arial" w:hAnsi="Arial" w:eastAsia="Arial" w:cs="Arial"/>
          <w:b/>
          <w:bCs/>
          <w:color w:val="7B3FA0"/>
          <w:spacing w:val="80"/>
          <w:sz w:val="16"/>
          <w:szCs w:val="16"/>
        </w:rPr>
      </w:pPr>
    </w:p>
    <w:p w14:paraId="C9A72C20">
      <w:r>
        <w:rPr>
          <w:sz w:val="20"/>
          <w:szCs w:val="20"/>
        </w:rPr>
        <w:t>To alert leaders to a fundamental shift in DeFi's underlying resilience, prompting them to re-evaluate investment criteria and development roadmaps for decentralized applications.</w:t>
      </w:r>
    </w:p>
    <w:p w14:paraId="86364953"/>
    <w:p w14:paraId="F3D1829E"/>
    <w:p w14:paraId="80DD211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BB59B882">
      <w:pPr>
        <w:rPr>
          <w:rFonts w:ascii="Arial" w:hAnsi="Arial" w:eastAsia="Arial" w:cs="Arial"/>
          <w:b/>
          <w:bCs/>
          <w:color w:val="7B3FA0"/>
          <w:spacing w:val="80"/>
          <w:sz w:val="16"/>
          <w:szCs w:val="16"/>
        </w:rPr>
      </w:pPr>
    </w:p>
    <w:p w14:paraId="E818A512">
      <w:pPr>
        <w:pBdr>
          <w:left w:val="single" w:color="7B3FA0" w:sz="8" w:space="8"/>
        </w:pBdr>
        <w:shd w:val="clear" w:color="auto" w:fill="F5F3F8"/>
        <w:ind w:left="202" w:right="202"/>
        <w:jc w:val="both"/>
        <w:rPr>
          <w:sz w:val="21"/>
          <w:szCs w:val="21"/>
        </w:rPr>
      </w:pPr>
    </w:p>
    <w:p w14:paraId="2F806A54">
      <w:pPr>
        <w:pBdr>
          <w:left w:val="single" w:color="7B3FA0" w:sz="8" w:space="8"/>
        </w:pBdr>
        <w:shd w:val="clear" w:color="auto" w:fill="F5F3F8"/>
        <w:ind w:left="202" w:right="202"/>
        <w:jc w:val="both"/>
        <w:rPr>
          <w:sz w:val="20"/>
          <w:szCs w:val="20"/>
        </w:rPr>
      </w:pPr>
      <w:r>
        <w:rPr>
          <w:sz w:val="20"/>
          <w:szCs w:val="20"/>
        </w:rPr>
        <w:t>DeFi is about to get a major upgrade. Ethereum co-founder Vitalik Buterin is actively rethinking how decentralized finance, or DeFi systems, handle market crashes. This isn't just a tweak; it's a fundamental re-evaluation of the very mechanisms designed to protect protocols and users during severe price volatility. Why is this important right now? Current DeFi models have proven brittle under extreme stress, creating systemic risk. Buterin's initiative signals an imminent shift towards a new generation of truly robust, crash-proof DeFi infrastructure, fundamentally changing how risk is assessed and managed in decentralized markets. What does this mean for leaders? If your organization is building DeFi applications, you must start incorporating these next-gen stability mechanisms, or your protocol will be obsolete. If you are investing in digital assets, prioritize projects that integrate these enhanced resilience features. If you are a financial regulator, prepare for increasingly sophisticated, self-regulating systems that demand a new oversight paradigm.</w:t>
      </w:r>
    </w:p>
    <w:p w14:paraId="B06E31A6">
      <w:pPr>
        <w:pBdr>
          <w:left w:val="single" w:color="7B3FA0" w:sz="8" w:space="8"/>
        </w:pBdr>
        <w:shd w:val="clear" w:color="auto" w:fill="F5F3F8"/>
        <w:ind w:left="202" w:right="202"/>
        <w:jc w:val="both"/>
        <w:rPr>
          <w:sz w:val="21"/>
          <w:szCs w:val="21"/>
        </w:rPr>
      </w:pPr>
    </w:p>
    <w:p w14:paraId="C1FF9FEB">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DB0B4DA7">
      <w:pPr>
        <w:pBdr>
          <w:left w:val="single" w:color="7B3FA0" w:sz="8" w:space="8"/>
        </w:pBdr>
        <w:shd w:val="clear" w:color="auto" w:fill="F5F3F8"/>
        <w:ind w:left="202" w:right="202"/>
        <w:jc w:val="both"/>
        <w:rPr>
          <w:sz w:val="21"/>
          <w:szCs w:val="21"/>
        </w:rPr>
      </w:pPr>
    </w:p>
    <w:p w14:paraId="A28A04E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0741C67E">
      <w:pPr>
        <w:rPr>
          <w:rFonts w:ascii="Arial" w:hAnsi="Arial" w:eastAsia="Arial" w:cs="Arial"/>
          <w:b/>
          <w:bCs/>
          <w:color w:val="7B3FA0"/>
          <w:spacing w:val="80"/>
          <w:sz w:val="16"/>
          <w:szCs w:val="16"/>
        </w:rPr>
      </w:pPr>
    </w:p>
    <w:p w14:paraId="E7D4C782">
      <w:pPr>
        <w:shd w:val="clear" w:color="auto" w:fill="F5F3F8"/>
        <w:ind w:right="200"/>
        <w:jc w:val="both"/>
        <w:rPr>
          <w:sz w:val="20"/>
          <w:szCs w:val="20"/>
        </w:rPr>
      </w:pPr>
    </w:p>
    <w:p w14:paraId="5258467E">
      <w:pPr>
        <w:shd w:val="clear" w:color="auto" w:fill="F5F3F8"/>
        <w:ind w:right="200"/>
        <w:jc w:val="both"/>
        <w:rPr>
          <w:sz w:val="20"/>
          <w:szCs w:val="20"/>
        </w:rPr>
      </w:pPr>
      <w:r>
        <w:rPr>
          <w:sz w:val="20"/>
          <w:szCs w:val="20"/>
        </w:rPr>
        <w:t>Recommended video length: 60 seconds. Opening line suggestion: Start immediately with the hook: "DeFi is about to get a major upgrade." Pacing and tone notes: Deliver at a brisk, confident pace. Maintain a serious but informative tone, focusing on clarity and translating technical terms like "DeFi systems" and "decentralized finance" immediately. Sound or visual overlay direction: Use subtle, modern background music. Visuals should be minimal, perhaps an animated graphic of a blockchain or financial network to underscore concepts, but always secondary to the speaker.</w:t>
      </w:r>
    </w:p>
    <w:p w14:paraId="EE71442C">
      <w:pPr>
        <w:shd w:val="clear" w:color="auto" w:fill="F5F3F8"/>
        <w:ind w:right="200"/>
        <w:jc w:val="both"/>
        <w:rPr>
          <w:sz w:val="20"/>
          <w:szCs w:val="20"/>
        </w:rPr>
      </w:pPr>
      <w:r>
        <w:rPr>
          <w:sz w:val="20"/>
          <w:szCs w:val="20"/>
        </w:rPr>
        <w:t>Hashtags: #DeFi #VitalikButerin #BlockchainInnovation #FutureFinance #CryptoStability #ExoasiaMRSI</w:t>
      </w:r>
    </w:p>
    <w:p w14:paraId="5A7365A7"/>
    <w:p w14:paraId="CDE86194"/>
    <w:p w14:paraId="F080281B">
      <w:r>
        <w:t>COMMENTS:</w:t>
      </w:r>
    </w:p>
    <w:p w14:paraId="84FD3177"/>
    <w:p w14:paraId="F1F71935"/>
    <w:p w14:paraId="C0D5B435">
      <w:pPr>
        <w:rPr>
          <w:rFonts w:ascii="Arial" w:hAnsi="Arial" w:eastAsia="Arial" w:cs="Arial"/>
          <w:b/>
          <w:bCs/>
          <w:color w:val="D4C5E8"/>
          <w:sz w:val="56"/>
          <w:szCs w:val="56"/>
        </w:rPr>
      </w:pPr>
      <w:r>
        <w:rPr>
          <w:rFonts w:ascii="Arial" w:hAnsi="Arial" w:eastAsia="Arial" w:cs="Arial"/>
          <w:b/>
          <w:bCs/>
          <w:color w:val="D4C5E8"/>
          <w:sz w:val="56"/>
          <w:szCs w:val="56"/>
        </w:rPr>
        <w:br w:type="page"/>
      </w:r>
    </w:p>
    <w:p w14:paraId="C4148CB4">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1FC3F1EF">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557A9FC3">
      <w:pPr>
        <w:pBdr>
          <w:bottom w:val="single" w:color="7B3FA0" w:sz="6" w:space="1"/>
        </w:pBdr>
        <w:spacing w:before="200" w:after="200"/>
      </w:pPr>
    </w:p>
    <w:p w14:paraId="F43BCAB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6C83C2A8">
      <w:pPr>
        <w:rPr>
          <w:rFonts w:ascii="Arial" w:hAnsi="Arial" w:eastAsia="Arial" w:cs="Arial"/>
          <w:b/>
          <w:bCs/>
          <w:color w:val="7B3FA0"/>
          <w:spacing w:val="80"/>
          <w:sz w:val="16"/>
          <w:szCs w:val="16"/>
        </w:rPr>
      </w:pPr>
    </w:p>
    <w:p w14:paraId="96D67250">
      <w:r>
        <w:rPr>
          <w:sz w:val="20"/>
          <w:szCs w:val="20"/>
        </w:rPr>
        <w:t>6-slide carousel, 1080x1080px. Design for shareability to stories and direct messages.</w:t>
      </w:r>
    </w:p>
    <w:p w14:paraId="3715E6A9"/>
    <w:p w14:paraId="1E0E253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044AA297">
      <w:pPr>
        <w:rPr>
          <w:rFonts w:ascii="Arial" w:hAnsi="Arial" w:eastAsia="Arial" w:cs="Arial"/>
          <w:b/>
          <w:bCs/>
          <w:color w:val="7B3FA0"/>
          <w:spacing w:val="80"/>
          <w:sz w:val="16"/>
          <w:szCs w:val="16"/>
        </w:rPr>
      </w:pPr>
    </w:p>
    <w:p w14:paraId="E1894473">
      <w:r>
        <w:rPr>
          <w:sz w:val="20"/>
          <w:szCs w:val="20"/>
        </w:rPr>
        <w:t>To dismantle the common perception that Bitcoin is an invulnerable treasury asset or that all crypto moves in unison, forcing a more nuanced understanding of digital asset strategies.</w:t>
      </w:r>
    </w:p>
    <w:p w14:paraId="495AF8B7"/>
    <w:p w14:paraId="0C54411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CF3D207E">
      <w:pPr>
        <w:rPr>
          <w:rFonts w:ascii="Arial" w:hAnsi="Arial" w:eastAsia="Arial" w:cs="Arial"/>
          <w:b/>
          <w:bCs/>
          <w:color w:val="7B3FA0"/>
          <w:spacing w:val="80"/>
          <w:sz w:val="16"/>
          <w:szCs w:val="16"/>
        </w:rPr>
      </w:pPr>
    </w:p>
    <w:p w14:paraId="1AB01680">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797050" cy="1797050"/>
            <wp:effectExtent l="0" t="0" r="12700" b="12700"/>
            <wp:docPr id="6" name="Picture 6" descr="Gemini_Generated_Image_1iafek1iafek1i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mini_Generated_Image_1iafek1iafek1iaf"/>
                    <pic:cNvPicPr>
                      <a:picLocks noChangeAspect="1"/>
                    </pic:cNvPicPr>
                  </pic:nvPicPr>
                  <pic:blipFill>
                    <a:blip r:embed="rId6"/>
                    <a:stretch>
                      <a:fillRect/>
                    </a:stretch>
                  </pic:blipFill>
                  <pic:spPr>
                    <a:xfrm>
                      <a:off x="0" y="0"/>
                      <a:ext cx="1797050" cy="1797050"/>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16100" cy="1816100"/>
            <wp:effectExtent l="0" t="0" r="12700" b="12700"/>
            <wp:docPr id="5" name="Picture 5" descr="Gemini_Generated_Image_7ibf1u7ibf1u7i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7ibf1u7ibf1u7ibf"/>
                    <pic:cNvPicPr>
                      <a:picLocks noChangeAspect="1"/>
                    </pic:cNvPicPr>
                  </pic:nvPicPr>
                  <pic:blipFill>
                    <a:blip r:embed="rId7"/>
                    <a:stretch>
                      <a:fillRect/>
                    </a:stretch>
                  </pic:blipFill>
                  <pic:spPr>
                    <a:xfrm>
                      <a:off x="0" y="0"/>
                      <a:ext cx="1816100" cy="1816100"/>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35150" cy="1835150"/>
            <wp:effectExtent l="0" t="0" r="12700" b="12700"/>
            <wp:docPr id="4" name="Picture 4" descr="Gemini_Generated_Image_zak70gzak70gzak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zak70gzak70gzak7"/>
                    <pic:cNvPicPr>
                      <a:picLocks noChangeAspect="1"/>
                    </pic:cNvPicPr>
                  </pic:nvPicPr>
                  <pic:blipFill>
                    <a:blip r:embed="rId8"/>
                    <a:stretch>
                      <a:fillRect/>
                    </a:stretch>
                  </pic:blipFill>
                  <pic:spPr>
                    <a:xfrm>
                      <a:off x="0" y="0"/>
                      <a:ext cx="1835150" cy="1835150"/>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06575" cy="1806575"/>
            <wp:effectExtent l="0" t="0" r="3175" b="3175"/>
            <wp:docPr id="3" name="Picture 3" descr="Gemini_Generated_Image_6mvj2i6mvj2i6m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6mvj2i6mvj2i6mvj"/>
                    <pic:cNvPicPr>
                      <a:picLocks noChangeAspect="1"/>
                    </pic:cNvPicPr>
                  </pic:nvPicPr>
                  <pic:blipFill>
                    <a:blip r:embed="rId9"/>
                    <a:stretch>
                      <a:fillRect/>
                    </a:stretch>
                  </pic:blipFill>
                  <pic:spPr>
                    <a:xfrm>
                      <a:off x="0" y="0"/>
                      <a:ext cx="1806575" cy="1806575"/>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26260" cy="1826260"/>
            <wp:effectExtent l="0" t="0" r="2540" b="2540"/>
            <wp:docPr id="2" name="Picture 2" descr="Gemini_Generated_Image_dgcmh8dgcmh8dg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dgcmh8dgcmh8dgcm"/>
                    <pic:cNvPicPr>
                      <a:picLocks noChangeAspect="1"/>
                    </pic:cNvPicPr>
                  </pic:nvPicPr>
                  <pic:blipFill>
                    <a:blip r:embed="rId10"/>
                    <a:stretch>
                      <a:fillRect/>
                    </a:stretch>
                  </pic:blipFill>
                  <pic:spPr>
                    <a:xfrm>
                      <a:off x="0" y="0"/>
                      <a:ext cx="1826260" cy="1826260"/>
                    </a:xfrm>
                    <a:prstGeom prst="rect">
                      <a:avLst/>
                    </a:prstGeom>
                  </pic:spPr>
                </pic:pic>
              </a:graphicData>
            </a:graphic>
          </wp:inline>
        </w:drawing>
      </w:r>
      <w:r>
        <w:rPr>
          <w:rFonts w:hint="default" w:ascii="Arial" w:hAnsi="Arial" w:eastAsia="Arial" w:cs="Arial"/>
          <w:b/>
          <w:bCs/>
          <w:color w:val="7B3FA0"/>
          <w:spacing w:val="80"/>
          <w:sz w:val="16"/>
          <w:szCs w:val="16"/>
          <w:lang w:val="en-US"/>
        </w:rPr>
        <w:drawing>
          <wp:inline distT="0" distB="0" distL="114300" distR="114300">
            <wp:extent cx="1835150" cy="1835150"/>
            <wp:effectExtent l="0" t="0" r="12700" b="12700"/>
            <wp:docPr id="1" name="Picture 1" descr="Gemini_Generated_Image_mof28ymof28ymo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mof28ymof28ymof2"/>
                    <pic:cNvPicPr>
                      <a:picLocks noChangeAspect="1"/>
                    </pic:cNvPicPr>
                  </pic:nvPicPr>
                  <pic:blipFill>
                    <a:blip r:embed="rId11"/>
                    <a:stretch>
                      <a:fillRect/>
                    </a:stretch>
                  </pic:blipFill>
                  <pic:spPr>
                    <a:xfrm>
                      <a:off x="0" y="0"/>
                      <a:ext cx="1835150" cy="1835150"/>
                    </a:xfrm>
                    <a:prstGeom prst="rect">
                      <a:avLst/>
                    </a:prstGeom>
                  </pic:spPr>
                </pic:pic>
              </a:graphicData>
            </a:graphic>
          </wp:inline>
        </w:drawing>
      </w:r>
    </w:p>
    <w:p w14:paraId="1B7033A4"/>
    <w:p w14:paraId="C422FC39"/>
    <w:p w14:paraId="8507E15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E1A34BB5">
      <w:pPr>
        <w:rPr>
          <w:rFonts w:ascii="Arial" w:hAnsi="Arial" w:eastAsia="Arial" w:cs="Arial"/>
          <w:b/>
          <w:bCs/>
          <w:color w:val="7B3FA0"/>
          <w:spacing w:val="80"/>
          <w:sz w:val="16"/>
          <w:szCs w:val="16"/>
        </w:rPr>
      </w:pPr>
    </w:p>
    <w:p w14:paraId="C1A401FC">
      <w:pPr>
        <w:spacing w:line="360" w:lineRule="auto"/>
        <w:jc w:val="both"/>
      </w:pPr>
      <w:r>
        <w:rPr>
          <w:rFonts w:ascii="Arial" w:hAnsi="Arial" w:eastAsia="Arial" w:cs="Arial"/>
          <w:b/>
          <w:bCs/>
          <w:color w:val="2D0A28"/>
        </w:rPr>
        <w:t>Slide 1</w:t>
      </w:r>
    </w:p>
    <w:p w14:paraId="AA526399">
      <w:pPr>
        <w:jc w:val="both"/>
      </w:pPr>
      <w:r>
        <w:rPr>
          <w:sz w:val="20"/>
          <w:szCs w:val="20"/>
        </w:rPr>
        <w:t>The Bitcoin Safe Haven Myth Just Cracked.</w:t>
      </w:r>
    </w:p>
    <w:p w14:paraId="A53753AA"/>
    <w:p w14:paraId="CF4578AA">
      <w:pPr>
        <w:spacing w:line="360" w:lineRule="auto"/>
        <w:jc w:val="both"/>
      </w:pPr>
      <w:r>
        <w:rPr>
          <w:rFonts w:ascii="Arial" w:hAnsi="Arial" w:eastAsia="Arial" w:cs="Arial"/>
          <w:b/>
          <w:bCs/>
          <w:color w:val="2D0A28"/>
        </w:rPr>
        <w:t>Slide 2</w:t>
      </w:r>
    </w:p>
    <w:p w14:paraId="B236338F">
      <w:pPr>
        <w:jc w:val="both"/>
      </w:pPr>
      <w:r>
        <w:rPr>
          <w:sz w:val="20"/>
          <w:szCs w:val="20"/>
        </w:rPr>
        <w:t>(MYTH / TRUTH):</w:t>
      </w:r>
    </w:p>
    <w:p w14:paraId="DB8ECE49">
      <w:pPr>
        <w:jc w:val="both"/>
      </w:pPr>
      <w:r>
        <w:rPr>
          <w:sz w:val="20"/>
          <w:szCs w:val="20"/>
        </w:rPr>
        <w:t>MYTH: Bitcoin is a singular, immune treasury asset, always acting as a hedge.</w:t>
      </w:r>
    </w:p>
    <w:p w14:paraId="4D77BA29">
      <w:pPr>
        <w:jc w:val="both"/>
      </w:pPr>
      <w:r>
        <w:rPr>
          <w:sz w:val="20"/>
          <w:szCs w:val="20"/>
        </w:rPr>
        <w:t>TRUTH: Bitcoin's market is under sustained pressure, influenced by factors like persistent ETF outflows and rising oil prices. It reacts to macroeconomic shifts, just like traditional assets.</w:t>
      </w:r>
    </w:p>
    <w:p w14:paraId="9BBE4D30"/>
    <w:p w14:paraId="C63EB4D8">
      <w:pPr>
        <w:spacing w:line="360" w:lineRule="auto"/>
        <w:jc w:val="both"/>
      </w:pPr>
      <w:r>
        <w:rPr>
          <w:rFonts w:ascii="Arial" w:hAnsi="Arial" w:eastAsia="Arial" w:cs="Arial"/>
          <w:b/>
          <w:bCs/>
          <w:color w:val="2D0A28"/>
        </w:rPr>
        <w:t>Slide 3</w:t>
      </w:r>
    </w:p>
    <w:p w14:paraId="A607D13C">
      <w:pPr>
        <w:jc w:val="both"/>
      </w:pPr>
      <w:r>
        <w:rPr>
          <w:sz w:val="20"/>
          <w:szCs w:val="20"/>
        </w:rPr>
        <w:t>(CONTRARIAN VIEW):</w:t>
      </w:r>
    </w:p>
    <w:p w14:paraId="ED028FDE">
      <w:pPr>
        <w:jc w:val="both"/>
      </w:pPr>
      <w:r>
        <w:rPr>
          <w:sz w:val="20"/>
          <w:szCs w:val="20"/>
        </w:rPr>
        <w:t>Michael Saylor's Strategy selling 32 Bitcoin for $2.5 million to fund dividend payments is NOT a universal bullish signal. It highlights a critical, often ignored, reality: even major corporate holders need LIQUIDITY. Bitcoin isn't just held; it's managed, and that includes selling.</w:t>
      </w:r>
    </w:p>
    <w:p w14:paraId="91008173"/>
    <w:p w14:paraId="E596C84B">
      <w:pPr>
        <w:spacing w:line="360" w:lineRule="auto"/>
        <w:jc w:val="both"/>
      </w:pPr>
      <w:r>
        <w:rPr>
          <w:rFonts w:ascii="Arial" w:hAnsi="Arial" w:eastAsia="Arial" w:cs="Arial"/>
          <w:b/>
          <w:bCs/>
          <w:color w:val="2D0A28"/>
        </w:rPr>
        <w:t>Slide 4</w:t>
      </w:r>
    </w:p>
    <w:p w14:paraId="02A7B3C7">
      <w:pPr>
        <w:jc w:val="both"/>
      </w:pPr>
      <w:r>
        <w:rPr>
          <w:sz w:val="20"/>
          <w:szCs w:val="20"/>
        </w:rPr>
        <w:t>(REVEAL):</w:t>
      </w:r>
    </w:p>
    <w:p w14:paraId="6C57169A">
      <w:pPr>
        <w:jc w:val="both"/>
      </w:pPr>
      <w:r>
        <w:rPr>
          <w:sz w:val="20"/>
          <w:szCs w:val="20"/>
        </w:rPr>
        <w:t>While Bitcoin funds faced significant outflows—the second largest of 2026—capital wasn't fleeing the entire digital asset space. XRP and HYPE, specific alternative digital assets, attracted modest inflows. This reveals a hidden dynamic of selective capital reallocation, not a broad crypto exodus.</w:t>
      </w:r>
    </w:p>
    <w:p w14:paraId="C676EA5F"/>
    <w:p w14:paraId="931EEAD6">
      <w:pPr>
        <w:spacing w:line="360" w:lineRule="auto"/>
        <w:jc w:val="both"/>
      </w:pPr>
      <w:r>
        <w:rPr>
          <w:rFonts w:ascii="Arial" w:hAnsi="Arial" w:eastAsia="Arial" w:cs="Arial"/>
          <w:b/>
          <w:bCs/>
          <w:color w:val="2D0A28"/>
        </w:rPr>
        <w:t>Slide 5</w:t>
      </w:r>
    </w:p>
    <w:p w14:paraId="CDD6A8A2">
      <w:pPr>
        <w:jc w:val="both"/>
      </w:pPr>
      <w:r>
        <w:rPr>
          <w:sz w:val="20"/>
          <w:szCs w:val="20"/>
        </w:rPr>
        <w:t>(LESSON):</w:t>
      </w:r>
    </w:p>
    <w:p w14:paraId="C30E97DA">
      <w:pPr>
        <w:jc w:val="both"/>
      </w:pPr>
      <w:r>
        <w:rPr>
          <w:sz w:val="20"/>
          <w:szCs w:val="20"/>
        </w:rPr>
        <w:t>The lesson from recent market movements is stark: Digital asset portfolios require active, DIVERSIFIED management. Relying solely on Bitcoin's past performance or a "HODL at all costs" mentality ignores crucial market differentiation and strategic liquidity needs.</w:t>
      </w:r>
    </w:p>
    <w:p w14:paraId="87FF8850"/>
    <w:p w14:paraId="03B09CCC">
      <w:pPr>
        <w:spacing w:line="360" w:lineRule="auto"/>
        <w:jc w:val="both"/>
      </w:pPr>
      <w:r>
        <w:rPr>
          <w:rFonts w:ascii="Arial" w:hAnsi="Arial" w:eastAsia="Arial" w:cs="Arial"/>
          <w:b/>
          <w:bCs/>
          <w:color w:val="2D0A28"/>
        </w:rPr>
        <w:t>Slide 6</w:t>
      </w:r>
    </w:p>
    <w:p w14:paraId="411A1D88">
      <w:pPr>
        <w:jc w:val="both"/>
      </w:pPr>
      <w:r>
        <w:rPr>
          <w:sz w:val="20"/>
          <w:szCs w:val="20"/>
        </w:rPr>
        <w:t>What's your strategy for a differentiated crypto market? This post is produced by Exoasia's Market Research and Strategic Insight. Leaders stay ahead as they receive Daily Insights. Ask us how.</w:t>
      </w:r>
    </w:p>
    <w:p w14:paraId="9F77E55D"/>
    <w:p w14:paraId="BDCFD20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55C6621D">
      <w:pPr>
        <w:rPr>
          <w:rFonts w:ascii="Arial" w:hAnsi="Arial" w:eastAsia="Arial" w:cs="Arial"/>
          <w:b/>
          <w:bCs/>
          <w:color w:val="7B3FA0"/>
          <w:spacing w:val="80"/>
          <w:sz w:val="16"/>
          <w:szCs w:val="16"/>
        </w:rPr>
      </w:pPr>
    </w:p>
    <w:p w14:paraId="14946F5E">
      <w:pPr>
        <w:shd w:val="clear" w:color="auto" w:fill="F5F3F8"/>
        <w:ind w:left="200" w:right="200"/>
        <w:rPr>
          <w:sz w:val="20"/>
          <w:szCs w:val="20"/>
        </w:rPr>
      </w:pPr>
    </w:p>
    <w:p w14:paraId="4E4E64C8">
      <w:pPr>
        <w:shd w:val="clear" w:color="auto" w:fill="F5F3F8"/>
        <w:ind w:left="200" w:right="200"/>
        <w:jc w:val="both"/>
        <w:rPr>
          <w:sz w:val="20"/>
          <w:szCs w:val="20"/>
        </w:rPr>
      </w:pPr>
      <w:r>
        <w:rPr>
          <w:sz w:val="20"/>
          <w:szCs w:val="20"/>
        </w:rPr>
        <w:t>Bitcoin's role in a portfolio is evolving, not just growing. Recent market data shows major crypto fund outflows, with Bitcoin taking a hit, while specific altcoins like XRP and HYPE attract fresh capital. Even large corporate players like Michael Saylor's Strategy are liquidating BTC for operational needs. The idea of Bitcoin as a purely unassailable treasury asset needs a serious re-evaluation. Are you still thinking in absolutes, or are you adapting to a more nuanced, actively managed digital asset landscape?</w:t>
      </w:r>
    </w:p>
    <w:p w14:paraId="196B1AF0">
      <w:pPr>
        <w:shd w:val="clear" w:color="auto" w:fill="F5F3F8"/>
        <w:ind w:left="200" w:right="200"/>
        <w:rPr>
          <w:sz w:val="20"/>
          <w:szCs w:val="20"/>
        </w:rPr>
      </w:pPr>
    </w:p>
    <w:p w14:paraId="818A1021">
      <w:pPr>
        <w:shd w:val="clear" w:color="auto" w:fill="F5F3F8"/>
        <w:ind w:left="200" w:right="200"/>
        <w:jc w:val="both"/>
        <w:rPr>
          <w:sz w:val="20"/>
          <w:szCs w:val="20"/>
        </w:rPr>
      </w:pPr>
      <w:r>
        <w:rPr>
          <w:sz w:val="20"/>
          <w:szCs w:val="20"/>
        </w:rPr>
        <w:t>This post is produced by Exoasia's Market Research and Strategic Insight. Leaders stay ahead as they receive Daily Insights. Ask us how.</w:t>
      </w:r>
    </w:p>
    <w:p w14:paraId="AC83869A">
      <w:pPr>
        <w:shd w:val="clear" w:color="auto" w:fill="F5F3F8"/>
        <w:ind w:left="200" w:right="200"/>
        <w:rPr>
          <w:sz w:val="20"/>
          <w:szCs w:val="20"/>
        </w:rPr>
      </w:pPr>
    </w:p>
    <w:p w14:paraId="434F2C2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1C7BB009">
      <w:pPr>
        <w:rPr>
          <w:rFonts w:ascii="Arial" w:hAnsi="Arial" w:eastAsia="Arial" w:cs="Arial"/>
          <w:b/>
          <w:bCs/>
          <w:color w:val="7B3FA0"/>
          <w:spacing w:val="80"/>
          <w:sz w:val="16"/>
          <w:szCs w:val="16"/>
        </w:rPr>
      </w:pPr>
    </w:p>
    <w:p w14:paraId="FE40AC49">
      <w:pPr>
        <w:shd w:val="clear" w:color="auto" w:fill="F5F3F8"/>
        <w:ind w:right="200"/>
        <w:jc w:val="both"/>
        <w:rPr>
          <w:sz w:val="20"/>
          <w:szCs w:val="20"/>
        </w:rPr>
      </w:pPr>
    </w:p>
    <w:p w14:paraId="FDAF228D">
      <w:pPr>
        <w:shd w:val="clear" w:color="auto" w:fill="F5F3F8"/>
        <w:ind w:right="200"/>
        <w:jc w:val="both"/>
        <w:rPr>
          <w:sz w:val="20"/>
          <w:szCs w:val="20"/>
        </w:rPr>
      </w:pPr>
      <w:r>
        <w:rPr>
          <w:sz w:val="20"/>
          <w:szCs w:val="20"/>
        </w:rPr>
        <w:t>Optimal posting time: Wednesday, 11:00 AM local time. Rationale: Mid-week, mid-morning, users are typically active and receptive to insightful, visually engaging content. Slide design specs: Use a consistent brand color palette. Slide 1 uses a bold, attention-grabbing headline with a contrasting background. Slides 2-5 use clear, readable font sizes (e.g., 20pt for main text, larger for bolded terms), ample white space, and distinct graphic elements for each framing device. Story or poll suggestion: Share Slide 1 to your Instagram Story with a poll asking: "Is Bitcoin still your primary digital treasury asset? Yes/No."</w:t>
      </w:r>
    </w:p>
    <w:p w14:paraId="16DF49E2">
      <w:pPr>
        <w:shd w:val="clear" w:color="auto" w:fill="F5F3F8"/>
        <w:ind w:right="200"/>
        <w:jc w:val="both"/>
        <w:rPr>
          <w:sz w:val="20"/>
          <w:szCs w:val="20"/>
        </w:rPr>
      </w:pPr>
      <w:r>
        <w:rPr>
          <w:sz w:val="20"/>
          <w:szCs w:val="20"/>
        </w:rPr>
        <w:t>Hashtags: #BitcoinMyth #CryptoDiversification #DigitalAssetStrategy #XRP #HYPE #MarketInsight #ExoasiaMRSI</w:t>
      </w:r>
    </w:p>
    <w:p w14:paraId="6F81847F"/>
    <w:p w14:paraId="87329331"/>
    <w:p w14:paraId="0F90E6F1">
      <w:r>
        <w:t>COMMENTS:</w:t>
      </w:r>
    </w:p>
    <w:p w14:paraId="A952A3BC"/>
    <w:p w14:paraId="8893FE26"/>
    <w:p w14:paraId="0012E744">
      <w:pPr>
        <w:rPr>
          <w:rFonts w:ascii="Arial" w:hAnsi="Arial" w:eastAsia="Arial" w:cs="Arial"/>
          <w:b/>
          <w:bCs/>
          <w:color w:val="D4C5E8"/>
          <w:sz w:val="56"/>
          <w:szCs w:val="56"/>
        </w:rPr>
      </w:pPr>
      <w:r>
        <w:rPr>
          <w:rFonts w:ascii="Arial" w:hAnsi="Arial" w:eastAsia="Arial" w:cs="Arial"/>
          <w:b/>
          <w:bCs/>
          <w:color w:val="D4C5E8"/>
          <w:sz w:val="56"/>
          <w:szCs w:val="56"/>
        </w:rPr>
        <w:br w:type="page"/>
      </w:r>
    </w:p>
    <w:p w14:paraId="EE6C21BC">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C99CAE1D">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5976EF06">
      <w:pPr>
        <w:pBdr>
          <w:bottom w:val="single" w:color="7B3FA0" w:sz="6" w:space="1"/>
        </w:pBdr>
        <w:spacing w:before="200" w:after="200"/>
      </w:pPr>
    </w:p>
    <w:p w14:paraId="09DA01E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81AF3B5D">
      <w:pPr>
        <w:rPr>
          <w:rFonts w:ascii="Arial" w:hAnsi="Arial" w:eastAsia="Arial" w:cs="Arial"/>
          <w:b/>
          <w:bCs/>
          <w:color w:val="7B3FA0"/>
          <w:spacing w:val="80"/>
          <w:sz w:val="16"/>
          <w:szCs w:val="16"/>
        </w:rPr>
      </w:pPr>
    </w:p>
    <w:p w14:paraId="A3DC923C">
      <w:r>
        <w:rPr>
          <w:sz w:val="20"/>
          <w:szCs w:val="20"/>
        </w:rPr>
        <w:t>One idea, short narrative, closing question.</w:t>
      </w:r>
    </w:p>
    <w:p w14:paraId="CA1C4E5D"/>
    <w:p w14:paraId="55BAB30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EC38A9F4">
      <w:pPr>
        <w:rPr>
          <w:rFonts w:ascii="Arial" w:hAnsi="Arial" w:eastAsia="Arial" w:cs="Arial"/>
          <w:b/>
          <w:bCs/>
          <w:color w:val="7B3FA0"/>
          <w:spacing w:val="80"/>
          <w:sz w:val="16"/>
          <w:szCs w:val="16"/>
        </w:rPr>
      </w:pPr>
    </w:p>
    <w:p w14:paraId="FC94B2D8">
      <w:r>
        <w:rPr>
          <w:sz w:val="20"/>
          <w:szCs w:val="20"/>
        </w:rPr>
        <w:t>To highlight Japan's proactive regulatory stance as a compelling case study, prompting leaders to consider the strategic implications of regulatory leadership in the digital asset space.</w:t>
      </w:r>
    </w:p>
    <w:p w14:paraId="5D2D9879"/>
    <w:p w14:paraId="A3206C2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DA8CA320">
      <w:pPr>
        <w:rPr>
          <w:rFonts w:ascii="Arial" w:hAnsi="Arial" w:eastAsia="Arial" w:cs="Arial"/>
          <w:b/>
          <w:bCs/>
          <w:color w:val="7B3FA0"/>
          <w:spacing w:val="80"/>
          <w:sz w:val="16"/>
          <w:szCs w:val="16"/>
        </w:rPr>
      </w:pPr>
    </w:p>
    <w:p w14:paraId="EE9CADF1">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1778000" cy="1778000"/>
            <wp:effectExtent l="0" t="0" r="12700" b="12700"/>
            <wp:docPr id="8" name="Picture 8" descr="WhatsApp Image 2026-06-02 at 7.24.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6-02 at 7.24.04 AM"/>
                    <pic:cNvPicPr>
                      <a:picLocks noChangeAspect="1"/>
                    </pic:cNvPicPr>
                  </pic:nvPicPr>
                  <pic:blipFill>
                    <a:blip r:embed="rId12"/>
                    <a:stretch>
                      <a:fillRect/>
                    </a:stretch>
                  </pic:blipFill>
                  <pic:spPr>
                    <a:xfrm>
                      <a:off x="0" y="0"/>
                      <a:ext cx="1778000" cy="1778000"/>
                    </a:xfrm>
                    <a:prstGeom prst="rect">
                      <a:avLst/>
                    </a:prstGeom>
                  </pic:spPr>
                </pic:pic>
              </a:graphicData>
            </a:graphic>
          </wp:inline>
        </w:drawing>
      </w:r>
      <w:bookmarkStart w:id="0" w:name="_GoBack"/>
      <w:bookmarkEnd w:id="0"/>
    </w:p>
    <w:p w14:paraId="B0CA88EA"/>
    <w:p w14:paraId="37F29D66"/>
    <w:p w14:paraId="3A2FCFF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307B4D71">
      <w:pPr>
        <w:rPr>
          <w:rFonts w:ascii="Arial" w:hAnsi="Arial" w:eastAsia="Arial" w:cs="Arial"/>
          <w:b/>
          <w:bCs/>
          <w:color w:val="7B3FA0"/>
          <w:spacing w:val="80"/>
          <w:sz w:val="16"/>
          <w:szCs w:val="16"/>
        </w:rPr>
      </w:pPr>
    </w:p>
    <w:p w14:paraId="8EB7C697">
      <w:pPr>
        <w:pBdr>
          <w:left w:val="single" w:color="7B3FA0" w:sz="8" w:space="8"/>
        </w:pBdr>
        <w:shd w:val="clear" w:color="auto" w:fill="F5F3F8"/>
        <w:ind w:left="202" w:right="202"/>
        <w:jc w:val="both"/>
        <w:rPr>
          <w:sz w:val="21"/>
          <w:szCs w:val="21"/>
        </w:rPr>
      </w:pPr>
    </w:p>
    <w:p w14:paraId="DCF7A366">
      <w:pPr>
        <w:pBdr>
          <w:left w:val="single" w:color="7B3FA0" w:sz="8" w:space="8"/>
        </w:pBdr>
        <w:shd w:val="clear" w:color="auto" w:fill="F5F3F8"/>
        <w:ind w:left="202" w:right="202"/>
        <w:jc w:val="both"/>
        <w:rPr>
          <w:sz w:val="20"/>
          <w:szCs w:val="20"/>
        </w:rPr>
      </w:pPr>
      <w:r>
        <w:rPr>
          <w:sz w:val="20"/>
          <w:szCs w:val="20"/>
        </w:rPr>
        <w:t>While other nations debate crypto's future, Japan's ruling Liberal Democratic Party just moved decisively. They’re backing crypto ETF trading and pushing for yen-based stablecoins. This isn't just a friendly gesture; it’s a strategic narrative shift, painting Japan as a compliant, integrated digital finance hub. Most are missing that this isn't an anomaly, but a clear signal of future financial infrastructure. If this blueprint gains traction, other major economies will face immense pressure to follow or risk falling behind. Japan is showing how to embed digital assets safely into the traditional financial system, building trust and utility. Are you preparing for a world where regulatory innovation drives market leadership?</w:t>
      </w:r>
    </w:p>
    <w:p w14:paraId="3CC60C6D">
      <w:pPr>
        <w:pBdr>
          <w:left w:val="single" w:color="7B3FA0" w:sz="8" w:space="8"/>
        </w:pBdr>
        <w:shd w:val="clear" w:color="auto" w:fill="F5F3F8"/>
        <w:ind w:left="202" w:right="202"/>
        <w:jc w:val="both"/>
        <w:rPr>
          <w:sz w:val="21"/>
          <w:szCs w:val="21"/>
        </w:rPr>
      </w:pPr>
    </w:p>
    <w:p w14:paraId="DF1F2214">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5CC479F5">
      <w:pPr>
        <w:pBdr>
          <w:left w:val="single" w:color="7B3FA0" w:sz="8" w:space="8"/>
        </w:pBdr>
        <w:shd w:val="clear" w:color="auto" w:fill="F5F3F8"/>
        <w:ind w:left="202" w:right="202"/>
        <w:jc w:val="both"/>
        <w:rPr>
          <w:sz w:val="21"/>
          <w:szCs w:val="21"/>
        </w:rPr>
      </w:pPr>
    </w:p>
    <w:p w14:paraId="E5998A5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7350DCF">
      <w:pPr>
        <w:rPr>
          <w:rFonts w:ascii="Arial" w:hAnsi="Arial" w:eastAsia="Arial" w:cs="Arial"/>
          <w:b/>
          <w:bCs/>
          <w:color w:val="7B3FA0"/>
          <w:spacing w:val="80"/>
          <w:sz w:val="16"/>
          <w:szCs w:val="16"/>
        </w:rPr>
      </w:pPr>
    </w:p>
    <w:p w14:paraId="D001B028">
      <w:pPr>
        <w:shd w:val="clear" w:color="auto" w:fill="F5F3F8"/>
        <w:ind w:right="200"/>
        <w:jc w:val="both"/>
        <w:rPr>
          <w:sz w:val="20"/>
          <w:szCs w:val="20"/>
        </w:rPr>
      </w:pPr>
    </w:p>
    <w:p w14:paraId="AB4186D7">
      <w:pPr>
        <w:shd w:val="clear" w:color="auto" w:fill="F5F3F8"/>
        <w:ind w:right="200"/>
        <w:jc w:val="both"/>
        <w:rPr>
          <w:sz w:val="20"/>
          <w:szCs w:val="20"/>
        </w:rPr>
      </w:pPr>
      <w:r>
        <w:rPr>
          <w:sz w:val="20"/>
          <w:szCs w:val="20"/>
        </w:rPr>
        <w:t>Optimal posting time: Thursday, 1:00 PM local time. Rationale: Post-lunch engagement, offering a thought-provoking break. Format presentation advice: Ensure the copy is presented as a single, engaging block of text. Avoid bullet points. Audience targeting or boost guidance: Target business owners, investors, and policymakers interested in global finance and technological innovation. Boost for regional targeting in East Asia to emphasize Japan's role. Pinned comment instruction: Pin a comment with "What impact will Japan's policy have on your region?"</w:t>
      </w:r>
    </w:p>
    <w:p w14:paraId="70DEF4ED">
      <w:pPr>
        <w:shd w:val="clear" w:color="auto" w:fill="F5F3F8"/>
        <w:ind w:right="200"/>
        <w:jc w:val="both"/>
        <w:rPr>
          <w:sz w:val="20"/>
          <w:szCs w:val="20"/>
        </w:rPr>
      </w:pPr>
      <w:r>
        <w:rPr>
          <w:sz w:val="20"/>
          <w:szCs w:val="20"/>
        </w:rPr>
        <w:t>Hashtags: #JapanFintech #Stablecoins #CryptoETFs #RegulatoryInnovation #GlobalFinance #ExoasiaMRSI</w:t>
      </w:r>
    </w:p>
    <w:p w14:paraId="CF498117"/>
    <w:p w14:paraId="AF59B155"/>
    <w:p w14:paraId="F7B50648">
      <w:r>
        <w:t>COMMENTS:</w:t>
      </w:r>
    </w:p>
    <w:p w14:paraId="F5140B78"/>
    <w:p w14:paraId="DC607F3F"/>
    <w:p w14:paraId="0F724103">
      <w:pPr>
        <w:rPr>
          <w:rFonts w:ascii="Arial" w:hAnsi="Arial" w:eastAsia="Arial" w:cs="Arial"/>
          <w:b/>
          <w:bCs/>
          <w:color w:val="D4C5E8"/>
          <w:sz w:val="56"/>
          <w:szCs w:val="56"/>
        </w:rPr>
      </w:pPr>
      <w:r>
        <w:rPr>
          <w:rFonts w:ascii="Arial" w:hAnsi="Arial" w:eastAsia="Arial" w:cs="Arial"/>
          <w:b/>
          <w:bCs/>
          <w:color w:val="D4C5E8"/>
          <w:sz w:val="56"/>
          <w:szCs w:val="56"/>
        </w:rPr>
        <w:br w:type="page"/>
      </w:r>
    </w:p>
    <w:p w14:paraId="C5E3245F">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8989B016">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Data breakdown/stat-led</w:t>
      </w:r>
    </w:p>
    <w:p w14:paraId="97D4DA97">
      <w:pPr>
        <w:pBdr>
          <w:bottom w:val="single" w:color="7B3FA0" w:sz="6" w:space="1"/>
        </w:pBdr>
        <w:spacing w:before="200" w:after="200"/>
      </w:pPr>
    </w:p>
    <w:p w14:paraId="AD5DB33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65BCD95D">
      <w:pPr>
        <w:rPr>
          <w:rFonts w:ascii="Arial" w:hAnsi="Arial" w:eastAsia="Arial" w:cs="Arial"/>
          <w:b/>
          <w:bCs/>
          <w:color w:val="7B3FA0"/>
          <w:spacing w:val="80"/>
          <w:sz w:val="16"/>
          <w:szCs w:val="16"/>
        </w:rPr>
      </w:pPr>
    </w:p>
    <w:p w14:paraId="9247F8CC">
      <w:r>
        <w:rPr>
          <w:sz w:val="20"/>
          <w:szCs w:val="20"/>
        </w:rPr>
        <w:t>9:16 aspect ratio, 45-second duration, direct-to-camera, conversational style.</w:t>
      </w:r>
    </w:p>
    <w:p w14:paraId="5E2B0E55"/>
    <w:p w14:paraId="BB3B018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64E4C28">
      <w:pPr>
        <w:rPr>
          <w:rFonts w:ascii="Arial" w:hAnsi="Arial" w:eastAsia="Arial" w:cs="Arial"/>
          <w:b/>
          <w:bCs/>
          <w:color w:val="7B3FA0"/>
          <w:spacing w:val="80"/>
          <w:sz w:val="16"/>
          <w:szCs w:val="16"/>
        </w:rPr>
      </w:pPr>
    </w:p>
    <w:p w14:paraId="EB55A9FC">
      <w:r>
        <w:rPr>
          <w:sz w:val="20"/>
          <w:szCs w:val="20"/>
        </w:rPr>
        <w:t>To deliver a sharp, fact-driven insight on recent crypto market outflows, demanding immediate attention to asset differentiation and risk management.</w:t>
      </w:r>
    </w:p>
    <w:p w14:paraId="4D1A50F8"/>
    <w:p w14:paraId="C5F30286"/>
    <w:p w14:paraId="28F8811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3D66DC3E">
      <w:pPr>
        <w:rPr>
          <w:rFonts w:ascii="Arial" w:hAnsi="Arial" w:eastAsia="Arial" w:cs="Arial"/>
          <w:b/>
          <w:bCs/>
          <w:color w:val="7B3FA0"/>
          <w:spacing w:val="80"/>
          <w:sz w:val="16"/>
          <w:szCs w:val="16"/>
        </w:rPr>
      </w:pPr>
    </w:p>
    <w:p w14:paraId="CEA38C63">
      <w:pPr>
        <w:pBdr>
          <w:left w:val="single" w:color="7B3FA0" w:sz="8" w:space="8"/>
        </w:pBdr>
        <w:shd w:val="clear" w:color="auto" w:fill="F5F3F8"/>
        <w:ind w:left="202" w:right="202"/>
        <w:jc w:val="both"/>
        <w:rPr>
          <w:sz w:val="21"/>
          <w:szCs w:val="21"/>
        </w:rPr>
      </w:pPr>
    </w:p>
    <w:p w14:paraId="99D9005E">
      <w:pPr>
        <w:pBdr>
          <w:left w:val="single" w:color="7B3FA0" w:sz="8" w:space="8"/>
        </w:pBdr>
        <w:shd w:val="clear" w:color="auto" w:fill="F5F3F8"/>
        <w:ind w:left="202" w:right="202"/>
        <w:jc w:val="both"/>
        <w:rPr>
          <w:sz w:val="20"/>
          <w:szCs w:val="20"/>
        </w:rPr>
      </w:pPr>
      <w:r>
        <w:rPr>
          <w:sz w:val="20"/>
          <w:szCs w:val="20"/>
        </w:rPr>
        <w:t>Crypto funds just suffered their second-largest outflow of 2026, dropping $58 million in a single week. That's not small. This isn't just market noise; it's a critical signal. Most people are missing that broad market optimism is dead. Now, it’s about sharp differentiation. If this trend continues, you'll see a sustained flight to specific assets, not sector-wide rallies. How does this happen? Macro factors like rising oil prices and persistent Bitcoin ETF outflows are reshaping investor sentiment, forcing selective capital reallocation. You need to stop treating crypto as one big block. You need granular, real-time data to spot where capital is *actually* flowing.</w:t>
      </w:r>
    </w:p>
    <w:p w14:paraId="F355688A">
      <w:pPr>
        <w:pBdr>
          <w:left w:val="single" w:color="7B3FA0" w:sz="8" w:space="8"/>
        </w:pBdr>
        <w:shd w:val="clear" w:color="auto" w:fill="F5F3F8"/>
        <w:ind w:left="202" w:right="202"/>
        <w:jc w:val="both"/>
        <w:rPr>
          <w:sz w:val="21"/>
          <w:szCs w:val="21"/>
        </w:rPr>
      </w:pPr>
    </w:p>
    <w:p w14:paraId="BA682476">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E87C406D">
      <w:pPr>
        <w:pBdr>
          <w:left w:val="single" w:color="7B3FA0" w:sz="8" w:space="8"/>
        </w:pBdr>
        <w:shd w:val="clear" w:color="auto" w:fill="F5F3F8"/>
        <w:ind w:left="202" w:right="202"/>
        <w:jc w:val="both"/>
        <w:rPr>
          <w:sz w:val="21"/>
          <w:szCs w:val="21"/>
        </w:rPr>
      </w:pPr>
    </w:p>
    <w:p w14:paraId="3398E62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EF9D2D62">
      <w:pPr>
        <w:rPr>
          <w:rFonts w:ascii="Arial" w:hAnsi="Arial" w:eastAsia="Arial" w:cs="Arial"/>
          <w:b/>
          <w:bCs/>
          <w:color w:val="7B3FA0"/>
          <w:spacing w:val="80"/>
          <w:sz w:val="16"/>
          <w:szCs w:val="16"/>
        </w:rPr>
      </w:pPr>
    </w:p>
    <w:p w14:paraId="7A41CAFC">
      <w:pPr>
        <w:shd w:val="clear" w:color="auto" w:fill="F5F3F8"/>
        <w:ind w:left="200" w:right="200"/>
        <w:rPr>
          <w:sz w:val="20"/>
          <w:szCs w:val="20"/>
        </w:rPr>
      </w:pPr>
    </w:p>
    <w:p w14:paraId="8C27148C">
      <w:pPr>
        <w:shd w:val="clear" w:color="auto" w:fill="F5F3F8"/>
        <w:ind w:left="200" w:right="200"/>
        <w:jc w:val="both"/>
        <w:rPr>
          <w:sz w:val="20"/>
          <w:szCs w:val="20"/>
        </w:rPr>
      </w:pPr>
      <w:r>
        <w:rPr>
          <w:sz w:val="20"/>
          <w:szCs w:val="20"/>
        </w:rPr>
        <w:t>Crypto funds just lost $58M. The market is getting smarter. Are you? #CryptoMarket #DataDriven #DigitalAssets</w:t>
      </w:r>
    </w:p>
    <w:p w14:paraId="7823690A">
      <w:pPr>
        <w:shd w:val="clear" w:color="auto" w:fill="F5F3F8"/>
        <w:ind w:left="200" w:right="200"/>
        <w:rPr>
          <w:sz w:val="20"/>
          <w:szCs w:val="20"/>
        </w:rPr>
      </w:pPr>
    </w:p>
    <w:p w14:paraId="546BA08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3E2FAA84">
      <w:pPr>
        <w:rPr>
          <w:rFonts w:ascii="Arial" w:hAnsi="Arial" w:eastAsia="Arial" w:cs="Arial"/>
          <w:b/>
          <w:bCs/>
          <w:color w:val="7B3FA0"/>
          <w:spacing w:val="80"/>
          <w:sz w:val="16"/>
          <w:szCs w:val="16"/>
        </w:rPr>
      </w:pPr>
    </w:p>
    <w:p w14:paraId="23B9555F">
      <w:pPr>
        <w:shd w:val="clear" w:color="auto" w:fill="F5F3F8"/>
        <w:ind w:right="200"/>
        <w:jc w:val="both"/>
        <w:rPr>
          <w:sz w:val="20"/>
          <w:szCs w:val="20"/>
        </w:rPr>
      </w:pPr>
    </w:p>
    <w:p w14:paraId="C9BEAE61">
      <w:pPr>
        <w:shd w:val="clear" w:color="auto" w:fill="F5F3F8"/>
        <w:ind w:right="200"/>
        <w:jc w:val="both"/>
        <w:rPr>
          <w:sz w:val="20"/>
          <w:szCs w:val="20"/>
        </w:rPr>
      </w:pPr>
      <w:r>
        <w:rPr>
          <w:sz w:val="20"/>
          <w:szCs w:val="20"/>
        </w:rPr>
        <w:t>Optimal posting time: Friday, 5:00 PM local time. Rationale: Catches users during peak evening browsing, capitalizing on TikTok's algorithm for trending content. First-2-seconds rule: Start immediately with "Crypto funds just suffered their second-largest outflow of 2026, dropping $58 million in a single week." Pacing guidance: Deliver quickly and energetically. Maintain eye contact with the camera. Sound or music direction: Use a trending, upbeat sound in the background, but keep it low enough so the voice is clear and prominent. Fast-cut text overlays can highlight "58 MILLION" and "SECOND-LARGEST OUTFLOW."</w:t>
      </w:r>
    </w:p>
    <w:p w14:paraId="99CE0DB9">
      <w:pPr>
        <w:shd w:val="clear" w:color="auto" w:fill="F5F3F8"/>
        <w:ind w:right="200"/>
        <w:jc w:val="both"/>
        <w:rPr>
          <w:sz w:val="20"/>
          <w:szCs w:val="20"/>
        </w:rPr>
      </w:pPr>
      <w:r>
        <w:rPr>
          <w:sz w:val="20"/>
          <w:szCs w:val="20"/>
        </w:rPr>
        <w:t>Hashtags: #CryptoOutflows #BitcoinPressure #MarketAnalysis #FintechTrends #InvestSmart #ExoasiaMRSI</w:t>
      </w:r>
    </w:p>
    <w:p w14:paraId="58EDFA0A"/>
    <w:p w14:paraId="17981420"/>
    <w:p w14:paraId="C8FCE804">
      <w:r>
        <w:t>COMMENTS:</w:t>
      </w:r>
    </w:p>
    <w:p w14:paraId="97FDC3A3"/>
    <w:p w14:paraId="54FECD34"/>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June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58051B3"/>
    <w:rsid w:val="26C55EA9"/>
    <w:rsid w:val="274D129A"/>
    <w:rsid w:val="28605909"/>
    <w:rsid w:val="293E30BA"/>
    <w:rsid w:val="381B569C"/>
    <w:rsid w:val="3B350DB1"/>
    <w:rsid w:val="4CE227D5"/>
    <w:rsid w:val="5C1A25B6"/>
    <w:rsid w:val="5EB55B71"/>
    <w:rsid w:val="65082203"/>
    <w:rsid w:val="65B06CE3"/>
    <w:rsid w:val="6B437609"/>
    <w:rsid w:val="6D446568"/>
    <w:rsid w:val="777434A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1780</Words>
  <Characters>10769</Characters>
  <Lines>113</Lines>
  <Paragraphs>31</Paragraphs>
  <TotalTime>1</TotalTime>
  <ScaleCrop>false</ScaleCrop>
  <LinksUpToDate>false</LinksUpToDate>
  <CharactersWithSpaces>12436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2026-06-02T03:16:03Z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