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Crypto's Evolving Landscape: Regulation, Adoption, and State-Level Engagements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Crypto, Fintech, and Web3 Briefing: June 01,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Regulatory Scrutiny: </w:t>
      </w:r>
      <w:r>
        <w:rPr>
          <w:rFonts w:ascii="Arial" w:hAnsi="Arial"/>
          <w:color w:val="1A1A1A"/>
        </w:rPr>
        <w:t>The House Financial Services Committee is actively engaging with the concept of tokenization, signaling a focus on its integration into financial frameworks [1].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Retail Market Sophistication: </w:t>
      </w:r>
      <w:r>
        <w:rPr>
          <w:rFonts w:ascii="Arial" w:hAnsi="Arial"/>
          <w:color w:val="1A1A1A"/>
        </w:rPr>
        <w:t>Moomoo is expanding access to advanced, Wall Street-grade trading tools for individual crypto investors, enhancing retail market capabilities [2].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Governmental Crypto Activity: </w:t>
      </w:r>
      <w:r>
        <w:rPr>
          <w:rFonts w:ascii="Arial" w:hAnsi="Arial"/>
          <w:color w:val="1A1A1A"/>
        </w:rPr>
        <w:t>A new immigration order is anticipated to impact the stablecoin economy and Bitcoin ATM usage, while the US government has reportedly seized a significant amount of Iranian cryptocurrency [3] [4].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Legislative Engagement with Tokenization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 House Financial Services Committee is actively addressing the implications and potential regulatory frameworks surrounding tokenization [1]. This legislative focus indicates a growing imperative to understand and integrate digital assets into the broader financial system, potentially shaping future policy and operational guidelines for blockchain-based instruments.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Expanding Access to Advanced Trading Tools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Moomoo is providing sophisticated trading instruments, previously more common in institutional finance, directly to retail cryptocurrency investors [2]. This development reflects a trend toward the professionalization of the retail crypto market, offering individual participants more robust tools for analysis and execution in their trading activities.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Geopolitical and Policy Impacts on Crypto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An immigration order issued by President Trump is projected to influence the stablecoin economy and the operational landscape of Bitcoin ATMs [3]. Concurrently, the United States government has reportedly seized approximately $1 billion in cryptocurrency linked to Iran [4]. Discussions are emerging concerning the potential allocation of these seized assets, with some public discourse pointing towards a speculated "Trump's Bitcoin Reserve" [4].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will the increased legislative engagement with tokenization by bodies like the House Financial Services Committee reshape the development and deployment of digital assets?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are the long-term implications for market dynamics and investor behavior as institutional-grade trading tools become more accessible to retail crypto participants?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might governmental policies, such as the described immigration order, continue to influence the adoption rates and use cases for stablecoins and Bitcoin ATMs?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precedents does a significant government seizure of cryptocurrency, as reported with Iran, establish for international asset recovery and state-level control over digital funds?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strategies should blockchain executives consider to effectively navigate the converging trends of legislative oversight, market professionalization, and geopolitical influences on the crypto sector?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How the House Financial Services Committee is taking on tokenization: State of Crypto - May 31,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[2] The institutional edge: moomoo targets Wall Street-grade trading tools for retail crypto investors - May 31,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[3] How President Trump’s Immigration Order Will Feed the Stablecoin Economy, Bitcoin ATMs - May 31,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[4] The US says it grabbed Iran’s crypto in a $1B seizure – will it end up in Trump’s Bitcoin Reserve? - May 31,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June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01,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June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01,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