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2A09A">
      <w:pPr>
        <w:pStyle w:val="5"/>
        <w:spacing w:before="5"/>
        <w:rPr>
          <w:rFonts w:ascii="Times New Roman"/>
          <w:sz w:val="5"/>
        </w:rPr>
      </w:pPr>
    </w:p>
    <w:p w14:paraId="7EDAEDFB">
      <w:pPr>
        <w:pStyle w:val="5"/>
        <w:spacing w:line="20" w:lineRule="exact"/>
        <w:ind w:left="180"/>
        <w:rPr>
          <w:rFonts w:ascii="Times New Roman"/>
          <w:sz w:val="2"/>
        </w:rPr>
      </w:pPr>
      <w:r>
        <w:rPr>
          <w:rFonts w:ascii="Times New Roman"/>
          <w:sz w:val="2"/>
        </w:rPr>
        <mc:AlternateContent>
          <mc:Choice Requires="wpg">
            <w:drawing>
              <wp:inline distT="0" distB="0" distL="0" distR="0">
                <wp:extent cx="6172200" cy="12700"/>
                <wp:effectExtent l="0" t="0" r="0" b="0"/>
                <wp:docPr id="5" name="Group 5"/>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 name="Graphic 6"/>
                        <wps:cNvSpPr/>
                        <wps:spPr>
                          <a:xfrm>
                            <a:off x="0" y="0"/>
                            <a:ext cx="6172200" cy="12700"/>
                          </a:xfrm>
                          <a:custGeom>
                            <a:avLst/>
                            <a:gdLst/>
                            <a:ahLst/>
                            <a:cxnLst/>
                            <a:rect l="l" t="t" r="r" b="b"/>
                            <a:pathLst>
                              <a:path w="6172200" h="12700">
                                <a:moveTo>
                                  <a:pt x="6172200" y="12191"/>
                                </a:moveTo>
                                <a:lnTo>
                                  <a:pt x="0" y="12191"/>
                                </a:lnTo>
                                <a:lnTo>
                                  <a:pt x="0" y="0"/>
                                </a:lnTo>
                                <a:lnTo>
                                  <a:pt x="6172200" y="0"/>
                                </a:lnTo>
                                <a:lnTo>
                                  <a:pt x="6172200" y="12191"/>
                                </a:lnTo>
                                <a:close/>
                              </a:path>
                            </a:pathLst>
                          </a:custGeom>
                          <a:solidFill>
                            <a:srgbClr val="AF94C5"/>
                          </a:solidFill>
                        </wps:spPr>
                        <wps:bodyPr wrap="square" lIns="0" tIns="0" rIns="0" bIns="0" rtlCol="0">
                          <a:noAutofit/>
                        </wps:bodyPr>
                      </wps:wsp>
                    </wpg:wgp>
                  </a:graphicData>
                </a:graphic>
              </wp:inline>
            </w:drawing>
          </mc:Choice>
          <mc:Fallback>
            <w:pict>
              <v:group id="_x0000_s1026" o:spid="_x0000_s1026" o:spt="203" style="height:1pt;width:486pt;" coordsize="6172200,12700" o:gfxdata="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osLc40wAAAAMBAAAPAAAAAAAAAAEAIAAAACIAAABkcnMvZG93bnJldi54bWxQSwECFAAU&#10;AAAACACHTuJAh6oHwWgCAAAQBgAADgAAAAAAAAABACAAAAAiAQAAZHJzL2Uyb0RvYy54bWxQSwUG&#10;AAAAAAYABgBZAQAA/AUAAAAA&#10;">
                <o:lock v:ext="edit" aspectratio="f"/>
                <v:shape id="Graphic 6" o:spid="_x0000_s1026" o:spt="100" style="position:absolute;left:0;top:0;height:12700;width:6172200;" fillcolor="#AF94C5" filled="t" stroked="f" coordsize="6172200,12700" o:gfxdata="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tKvrsAAADa&#10;AAAADwAAAAAAAAABACAAAAAiAAAAZHJzL2Rvd25yZXYueG1sUEsBAhQAFAAAAAgAh07iQDMvBZ47&#10;AAAAOQAAABAAAAAAAAAAAQAgAAAACgEAAGRycy9zaGFwZXhtbC54bWxQSwUGAAAAAAYABgBbAQAA&#10;tAMAAAAA&#10;" path="m6172200,12191l0,12191,0,0,6172200,0,6172200,12191xe">
                  <v:fill on="t" focussize="0,0"/>
                  <v:stroke on="f"/>
                  <v:imagedata o:title=""/>
                  <o:lock v:ext="edit" aspectratio="f"/>
                  <v:textbox inset="0mm,0mm,0mm,0mm"/>
                </v:shape>
                <w10:wrap type="none"/>
                <w10:anchorlock/>
              </v:group>
            </w:pict>
          </mc:Fallback>
        </mc:AlternateContent>
      </w:r>
    </w:p>
    <w:p>
      <w:pPr>
        <w:spacing w:before="59"/>
        <w:ind w:left="180"/>
        <w:rPr>
          <w:rFonts w:ascii="Arial" w:hAnsi="Arial" w:eastAsia="Arial" w:cs="Arial"/>
          <w:b/>
          <w:bCs/>
          <w:color w:val="2C0928"/>
          <w:sz w:val="56"/>
          <w:szCs w:val="56"/>
        </w:rPr>
      </w:pPr>
      <w:r>
        <w:rPr>
          <w:rFonts w:ascii="Arial" w:hAnsi="Arial" w:eastAsia="Arial" w:cs="Arial"/>
          <w:b/>
          <w:bCs/>
          <w:color w:val="2C0928"/>
          <w:sz w:val="56"/>
          <w:szCs w:val="56"/>
        </w:rPr>
        <w:t>Navigating Market Shifts and Regulatory Horizons</w:t>
      </w:r>
    </w:p>
    <w:p>
      <w:pPr>
        <w:spacing w:before="59"/>
        <w:ind w:left="180"/>
        <w:rPr>
          <w:rFonts w:ascii="Arial"/>
          <w:b/>
          <w:sz w:val="26"/>
        </w:rPr>
      </w:pPr>
      <w:r>
        <w:rPr>
          <w:rFonts w:ascii="Arial"/>
          <w:b/>
          <w:color w:val="7A3E9F"/>
          <w:sz w:val="26"/>
        </w:rPr>
        <w:t>Crypto, Fintech, and Web3 Briefing: June 02, 2026</w:t>
      </w:r>
    </w:p>
    <w:p>
      <w:pPr>
        <w:pStyle w:val="2"/>
        <w:spacing w:before="242"/>
      </w:pPr>
      <w:r>
        <w:rPr>
          <w:color w:val="491040"/>
        </w:rPr>
        <w:t>Executive Summary</w:t>
      </w:r>
    </w:p>
    <w:p>
      <w:pPr>
        <w:pStyle w:val="9"/>
        <w:numPr>
          <w:ilvl w:val="0"/>
          <w:numId w:val="1"/>
        </w:numPr>
        <w:tabs>
          <w:tab w:val="left" w:pos="900"/>
        </w:tabs>
        <w:spacing w:before="118"/>
        <w:ind w:right="435"/>
      </w:pPr>
      <w:r>
        <w:rPr>
          <w:rFonts w:ascii="Arial" w:hAnsi="Arial"/>
          <w:b/>
          <w:color w:val="1A1A1A"/>
        </w:rPr>
        <w:t xml:space="preserve">Market Trends: </w:t>
      </w:r>
      <w:r>
        <w:rPr>
          <w:rFonts w:ascii="Arial" w:hAnsi="Arial"/>
          <w:color w:val="1A1A1A"/>
        </w:rPr>
        <w:t>Crypto funds experienced significant outflows, marking the second-largest of the year, while specific digital assets like XRP and HYPE attracted investment, and Bitcoin remained under pressure [1] [5].</w:t>
      </w:r>
    </w:p>
    <w:p>
      <w:pPr>
        <w:pStyle w:val="9"/>
        <w:numPr>
          <w:ilvl w:val="0"/>
          <w:numId w:val="1"/>
        </w:numPr>
        <w:tabs>
          <w:tab w:val="left" w:pos="900"/>
        </w:tabs>
        <w:spacing w:before="118"/>
        <w:ind w:right="435"/>
      </w:pPr>
      <w:r>
        <w:rPr>
          <w:rFonts w:ascii="Arial" w:hAnsi="Arial"/>
          <w:b/>
          <w:color w:val="1A1A1A"/>
        </w:rPr>
        <w:t xml:space="preserve">DeFi Evolution: </w:t>
      </w:r>
      <w:r>
        <w:rPr>
          <w:rFonts w:ascii="Arial" w:hAnsi="Arial"/>
          <w:color w:val="1A1A1A"/>
        </w:rPr>
        <w:t>Ethereum co-founder Vitalik Buterin is actively reconsidering current decentralized finance mechanisms to enhance their resilience during market downturns [2].</w:t>
      </w:r>
    </w:p>
    <w:p>
      <w:pPr>
        <w:pStyle w:val="9"/>
        <w:numPr>
          <w:ilvl w:val="0"/>
          <w:numId w:val="1"/>
        </w:numPr>
        <w:tabs>
          <w:tab w:val="left" w:pos="900"/>
        </w:tabs>
        <w:spacing w:before="118"/>
        <w:ind w:right="435"/>
      </w:pPr>
      <w:r>
        <w:rPr>
          <w:rFonts w:ascii="Arial" w:hAnsi="Arial"/>
          <w:b/>
          <w:color w:val="1A1A1A"/>
        </w:rPr>
        <w:t xml:space="preserve">Japanese Policy: </w:t>
      </w:r>
      <w:r>
        <w:rPr>
          <w:rFonts w:ascii="Arial" w:hAnsi="Arial"/>
          <w:color w:val="1A1A1A"/>
        </w:rPr>
        <w:t>Japan’s ruling party supports the trading of crypto exchange-traded funds and the development of yen-denominated stablecoins [3].</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Cryptocurrency Market Trends</w:t>
      </w:r>
    </w:p>
    <w:p>
      <w:pPr>
        <w:pStyle w:val="5"/>
        <w:keepNext w:val="0"/>
        <w:widowControl w:val="0"/>
        <w:spacing w:after="120"/>
        <w:ind w:left="187" w:right="173"/>
        <w:jc w:val="both"/>
        <w:rPr>
          <w:color w:val="1A1A1A"/>
        </w:rPr>
      </w:pPr>
      <w:r>
        <w:rPr>
          <w:color w:val="1A1A1A"/>
        </w:rPr>
        <w:t>Investment products focused on cryptocurrencies recorded their second-largest weekly outflows of 2026, totaling $58 million. Bitcoin-centric funds were particularly affected, accounting for a substantial portion of these withdrawals. In contrast, certain alternative digital assets, specifically XRP and a token referred to as HYPE, observed modest inflows during the same period. The broader Bitcoin market continued to face downward pressure, influenced by factors including sustained ETF outflows and increasing oil prices [1] [5].</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Rethinking DeFi Stability</w:t>
      </w:r>
    </w:p>
    <w:p>
      <w:pPr>
        <w:pStyle w:val="5"/>
        <w:keepNext w:val="0"/>
        <w:widowControl w:val="0"/>
        <w:spacing w:after="120"/>
        <w:ind w:left="187" w:right="173"/>
        <w:jc w:val="both"/>
        <w:rPr>
          <w:color w:val="1A1A1A"/>
        </w:rPr>
      </w:pPr>
      <w:r>
        <w:rPr>
          <w:color w:val="1A1A1A"/>
        </w:rPr>
        <w:t>Vitalik Buterin, a co-creator of Ethereum, is reportedly exploring new approaches to how decentralized finance (DeFi) systems manage market instability. This initiative focuses on developing mechanisms that could better protect DeFi protocols and users during periods of significant price crashes or volatility, aiming to build more robust and reliable decentralized financial infrastructure [2].</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Regulatory Developments in Japan</w:t>
      </w:r>
    </w:p>
    <w:p>
      <w:pPr>
        <w:pStyle w:val="5"/>
        <w:keepNext w:val="0"/>
        <w:widowControl w:val="0"/>
        <w:spacing w:after="120"/>
        <w:ind w:left="187" w:right="173"/>
        <w:jc w:val="both"/>
        <w:rPr>
          <w:color w:val="1A1A1A"/>
        </w:rPr>
      </w:pPr>
      <w:r>
        <w:rPr>
          <w:color w:val="1A1A1A"/>
        </w:rPr>
        <w:t>Japan's governing Liberal Democratic Party (LDP) has announced its backing for allowing domestic investment trusts to engage in the trading of crypto exchange-traded funds (ETFs). Furthermore, the LDP is advocating for policies that would encourage the issuance and widespread adoption of yen-based stablecoins. This signals a supportive regulatory environment for integrating digital assets further into Japan's financial system [3].</w:t>
      </w:r>
    </w:p>
    <w:p>
      <w:pPr>
        <w:pStyle w:val="2"/>
        <w:spacing w:before="242"/>
      </w:pPr>
      <w:r>
        <w:rPr>
          <w:color w:val="491040"/>
        </w:rPr>
        <w:t>5 Questions for Thought Leadership</w:t>
      </w:r>
    </w:p>
    <w:p>
      <w:pPr>
        <w:pStyle w:val="9"/>
        <w:numPr>
          <w:ilvl w:val="0"/>
          <w:numId w:val="2"/>
        </w:numPr>
        <w:tabs>
          <w:tab w:val="left" w:pos="898"/>
          <w:tab w:val="left" w:pos="900"/>
        </w:tabs>
        <w:spacing w:before="162"/>
        <w:ind w:right="237"/>
      </w:pPr>
      <w:r>
        <w:rPr>
          <w:color w:val="1A1A1A"/>
        </w:rPr>
        <w:t>How might the recent trend of crypto fund outflows influence the long-term investment strategies of institutional players in the digital asset space?</w:t>
      </w:r>
    </w:p>
    <w:p>
      <w:pPr>
        <w:pStyle w:val="9"/>
        <w:numPr>
          <w:ilvl w:val="0"/>
          <w:numId w:val="2"/>
        </w:numPr>
        <w:tabs>
          <w:tab w:val="left" w:pos="898"/>
          <w:tab w:val="left" w:pos="900"/>
        </w:tabs>
        <w:spacing w:before="162"/>
        <w:ind w:right="237"/>
      </w:pPr>
      <w:r>
        <w:rPr>
          <w:color w:val="1A1A1A"/>
        </w:rPr>
        <w:t>What concrete innovations or protocol changes could emerge from Vitalik Buterin's reevaluation of DeFi stability, and how might these impact existing decentralized applications?</w:t>
      </w:r>
    </w:p>
    <w:p>
      <w:pPr>
        <w:pStyle w:val="9"/>
        <w:numPr>
          <w:ilvl w:val="0"/>
          <w:numId w:val="2"/>
        </w:numPr>
        <w:tabs>
          <w:tab w:val="left" w:pos="898"/>
          <w:tab w:val="left" w:pos="900"/>
        </w:tabs>
        <w:spacing w:before="162"/>
        <w:ind w:right="237"/>
      </w:pPr>
      <w:r>
        <w:rPr>
          <w:color w:val="1A1A1A"/>
        </w:rPr>
        <w:t>What strategic opportunities or challenges could arise for global blockchain companies if Japan's supportive stance on crypto ETFs and yen-based stablecoins sets a precedent for other major economies?</w:t>
      </w:r>
    </w:p>
    <w:p>
      <w:pPr>
        <w:pStyle w:val="9"/>
        <w:numPr>
          <w:ilvl w:val="0"/>
          <w:numId w:val="2"/>
        </w:numPr>
        <w:tabs>
          <w:tab w:val="left" w:pos="898"/>
          <w:tab w:val="left" w:pos="900"/>
        </w:tabs>
        <w:spacing w:before="162"/>
        <w:ind w:right="237"/>
      </w:pPr>
      <w:r>
        <w:rPr>
          <w:color w:val="1A1A1A"/>
        </w:rPr>
        <w:t>How should blockchain executives assess the implications of corporate actions, such as the sale of Bitcoin for dividend payments, on the broader narrative of Bitcoin as a long-term treasury asset?</w:t>
      </w:r>
    </w:p>
    <w:p>
      <w:pPr>
        <w:pStyle w:val="9"/>
        <w:numPr>
          <w:ilvl w:val="0"/>
          <w:numId w:val="2"/>
        </w:numPr>
        <w:tabs>
          <w:tab w:val="left" w:pos="898"/>
          <w:tab w:val="left" w:pos="900"/>
        </w:tabs>
        <w:spacing w:before="162"/>
        <w:ind w:right="237"/>
      </w:pPr>
      <w:r>
        <w:rPr>
          <w:color w:val="1A1A1A"/>
        </w:rPr>
        <w:t>Considering the influence of macroeconomic factors like oil prices on crypto markets, how can blockchain businesses better integrate traditional financial indicators into their market analysis and risk management frameworks?</w:t>
      </w:r>
    </w:p>
    <w:p>
      <w:pPr>
        <w:pStyle w:val="2"/>
        <w:spacing w:before="242"/>
      </w:pPr>
      <w:r>
        <w:rPr>
          <w:color w:val="491040"/>
        </w:rPr>
        <w:t>Sources</w:t>
      </w:r>
    </w:p>
    <w:p>
      <w:pPr>
        <w:pStyle w:val="9"/>
        <w:tabs>
          <w:tab w:val="left" w:pos="482"/>
        </w:tabs>
        <w:spacing w:before="120"/>
        <w:ind w:left="180" w:right="180" w:firstLine="0"/>
        <w:rPr>
          <w:sz w:val="20"/>
        </w:rPr>
      </w:pPr>
      <w:r>
        <w:rPr>
          <w:color w:val="666666"/>
          <w:sz w:val="20"/>
        </w:rPr>
        <w:t>[1] Crypto funds suffer second-largest outflows of 2026 while XRP and HYPE attract inflows - Jun 01, 2026</w:t>
      </w:r>
    </w:p>
    <w:p>
      <w:pPr>
        <w:pStyle w:val="9"/>
        <w:tabs>
          <w:tab w:val="left" w:pos="482"/>
        </w:tabs>
        <w:spacing w:before="120"/>
        <w:ind w:left="180" w:right="180" w:firstLine="0"/>
        <w:rPr>
          <w:sz w:val="20"/>
        </w:rPr>
      </w:pPr>
      <w:r>
        <w:rPr>
          <w:color w:val="666666"/>
          <w:sz w:val="20"/>
        </w:rPr>
        <w:t>[2] Ethereum's Vitalik Buterin is rethinking how DeFi handles market crashes - Jun 01, 2026</w:t>
      </w:r>
    </w:p>
    <w:p>
      <w:pPr>
        <w:pStyle w:val="9"/>
        <w:tabs>
          <w:tab w:val="left" w:pos="482"/>
        </w:tabs>
        <w:spacing w:before="120"/>
        <w:ind w:left="180" w:right="180" w:firstLine="0"/>
        <w:rPr>
          <w:sz w:val="20"/>
        </w:rPr>
      </w:pPr>
      <w:r>
        <w:rPr>
          <w:color w:val="666666"/>
          <w:sz w:val="20"/>
        </w:rPr>
        <w:t>[3] Japan's ruling party supports crypto ETF trading, yen-based stablecoins - Jun 01, 2026</w:t>
      </w:r>
    </w:p>
    <w:p>
      <w:pPr>
        <w:pStyle w:val="9"/>
        <w:tabs>
          <w:tab w:val="left" w:pos="482"/>
        </w:tabs>
        <w:spacing w:before="120"/>
        <w:ind w:left="180" w:right="180" w:firstLine="0"/>
        <w:rPr>
          <w:sz w:val="20"/>
        </w:rPr>
      </w:pPr>
      <w:r>
        <w:rPr>
          <w:color w:val="666666"/>
          <w:sz w:val="20"/>
        </w:rPr>
        <w:t>[4] Michael Saylor's Strategy sold 32 bitcoin for $2.5 million to fund dividend payments - Jun 01, 2026</w:t>
      </w:r>
    </w:p>
    <w:p>
      <w:pPr>
        <w:pStyle w:val="9"/>
        <w:tabs>
          <w:tab w:val="left" w:pos="482"/>
        </w:tabs>
        <w:spacing w:before="120"/>
        <w:ind w:left="180" w:right="180" w:firstLine="0"/>
        <w:rPr>
          <w:sz w:val="20"/>
        </w:rPr>
      </w:pPr>
      <w:r>
        <w:rPr>
          <w:color w:val="666666"/>
          <w:sz w:val="20"/>
        </w:rPr>
        <w:t>[5] Bitcoin remains under pressure as ETF outflows, higher oil prices weigh on crypto markets - Jun 01, 2026</w:t>
      </w:r>
    </w:p>
    <w:p/>
    <w:p>
      <w:pPr>
        <w:spacing w:before="202"/>
        <w:ind w:right="1"/>
        <w:jc w:val="center"/>
        <w:rPr>
          <w:sz w:val="20"/>
        </w:rPr>
      </w:pPr>
      <w:r>
        <w:rPr>
          <w:color w:val="666666"/>
          <w:sz w:val="20"/>
        </w:rPr>
        <w:t xml:space="preserve">Produced by </w:t>
      </w:r>
      <w:r>
        <w:rPr>
          <w:rFonts w:ascii="Arial" w:hAnsi="Arial"/>
          <w:b/>
          <w:color w:val="491040"/>
          <w:sz w:val="20"/>
        </w:rPr>
        <w:t xml:space="preserve">Exoasia Innovation Hub</w:t>
      </w:r>
      <w:r>
        <w:rPr>
          <w:color w:val="666666"/>
          <w:sz w:val="20"/>
        </w:rPr>
        <w:t xml:space="preserve"> — Market Research and Strategic Insight (MRSI)</w:t>
      </w:r>
    </w:p>
    <w:p>
      <w:pPr>
        <w:spacing w:before="39"/>
        <w:ind w:left="1" w:right="1"/>
        <w:jc w:val="center"/>
        <w:rPr>
          <w:rFonts w:ascii="Arial" w:hAnsi="Arial"/>
          <w:b/>
          <w:i/>
          <w:sz w:val="20"/>
        </w:rPr>
      </w:pPr>
      <w:r>
        <w:rPr>
          <w:rFonts w:ascii="Arial" w:hAnsi="Arial"/>
          <w:i/>
          <w:color w:val="666666"/>
          <w:sz w:val="20"/>
        </w:rPr>
        <w:t xml:space="preserve">For thought leadership, custom research, and position papers — </w:t>
      </w:r>
      <w:r>
        <w:rPr>
          <w:rFonts w:ascii="Arial" w:hAnsi="Arial"/>
          <w:b/>
          <w:i/>
          <w:color w:val="491040"/>
          <w:sz w:val="20"/>
        </w:rPr>
        <w:t>contact our team.</w:t>
      </w:r>
    </w:p>
    <w:sectPr>
      <w:headerReference r:id="rId5" w:type="first"/>
      <w:footerReference r:id="rId8" w:type="first"/>
      <w:headerReference r:id="rId3" w:type="default"/>
      <w:footerReference r:id="rId6" w:type="default"/>
      <w:headerReference r:id="rId4" w:type="even"/>
      <w:footerReference r:id="rId7" w:type="even"/>
      <w:type w:val="continuous"/>
      <w:pgSz w:w="12240" w:h="15840"/>
      <w:pgMar w:top="1360" w:right="1080" w:bottom="1200" w:left="1080" w:header="714" w:footer="100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D19B7">
    <w:pPr>
      <w:pStyle w:val="5"/>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800100</wp:posOffset>
              </wp:positionH>
              <wp:positionV relativeFrom="page">
                <wp:posOffset>9244965</wp:posOffset>
              </wp:positionV>
              <wp:extent cx="6172200" cy="6350"/>
              <wp:effectExtent l="0" t="0" r="0" b="0"/>
              <wp:wrapNone/>
              <wp:docPr id="3" name="Graphic 3"/>
              <wp:cNvGraphicFramePr/>
              <a:graphic xmlns:a="http://schemas.openxmlformats.org/drawingml/2006/main">
                <a:graphicData uri="http://schemas.microsoft.com/office/word/2010/wordprocessingShape">
                  <wps:wsp>
                    <wps:cNvSpPr/>
                    <wps:spPr>
                      <a:xfrm>
                        <a:off x="0" y="0"/>
                        <a:ext cx="6172200" cy="6350"/>
                      </a:xfrm>
                      <a:custGeom>
                        <a:avLst/>
                        <a:gdLst/>
                        <a:ahLst/>
                        <a:cxnLst/>
                        <a:rect l="l" t="t" r="r" b="b"/>
                        <a:pathLst>
                          <a:path w="6172200" h="6350">
                            <a:moveTo>
                              <a:pt x="6172200" y="6096"/>
                            </a:moveTo>
                            <a:lnTo>
                              <a:pt x="0" y="6096"/>
                            </a:lnTo>
                            <a:lnTo>
                              <a:pt x="0" y="0"/>
                            </a:lnTo>
                            <a:lnTo>
                              <a:pt x="6172200" y="0"/>
                            </a:lnTo>
                            <a:lnTo>
                              <a:pt x="6172200" y="6096"/>
                            </a:lnTo>
                            <a:close/>
                          </a:path>
                        </a:pathLst>
                      </a:custGeom>
                      <a:solidFill>
                        <a:srgbClr val="AF94C5"/>
                      </a:solidFill>
                    </wps:spPr>
                    <wps:bodyPr wrap="square" lIns="0" tIns="0" rIns="0" bIns="0" rtlCol="0">
                      <a:noAutofit/>
                    </wps:bodyPr>
                  </wps:wsp>
                </a:graphicData>
              </a:graphic>
            </wp:anchor>
          </w:drawing>
        </mc:Choice>
        <mc:Fallback>
          <w:pict>
            <v:shape id="Graphic 3" o:spid="_x0000_s1026" o:spt="100" style="position:absolute;left:0pt;margin-left:63pt;margin-top:727.95pt;height:0.5pt;width:486pt;mso-position-horizontal-relative:page;mso-position-vertical-relative:page;z-index:-251655168;mso-width-relative:page;mso-height-relative:page;" fillcolor="#AF94C5" filled="t" stroked="f" coordsize="6172200,6350" o:gfxdata="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SRz2d1wAA&#10;AA4BAAAPAAAAAAAAAAEAIAAAACIAAABkcnMvZG93bnJldi54bWxQSwECFAAUAAAACACHTuJA7QSU&#10;pB8CAADfBAAADgAAAAAAAAABACAAAAAmAQAAZHJzL2Uyb0RvYy54bWxQSwUGAAAAAAYABgBZAQAA&#10;twUAAAAA&#10;" path="m6172200,6096l0,6096,0,0,6172200,0,6172200,6096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2094865</wp:posOffset>
              </wp:positionH>
              <wp:positionV relativeFrom="page">
                <wp:posOffset>9445625</wp:posOffset>
              </wp:positionV>
              <wp:extent cx="3620135" cy="173990"/>
              <wp:effectExtent l="0" t="0" r="0" b="0"/>
              <wp:wrapNone/>
              <wp:docPr id="4" name="Textbox 4"/>
              <wp:cNvGraphicFramePr/>
              <a:graphic xmlns:a="http://schemas.openxmlformats.org/drawingml/2006/main">
                <a:graphicData uri="http://schemas.microsoft.com/office/word/2010/wordprocessingShape">
                  <wps:wsp>
                    <wps:cNvSpPr txBox="1"/>
                    <wps:spPr>
                      <a:xfrm>
                        <a:off x="0" y="0"/>
                        <a:ext cx="3620135" cy="173990"/>
                      </a:xfrm>
                      <a:prstGeom prst="rect">
                        <a:avLst/>
                      </a:prstGeom>
                    </wps:spPr>
                    <wps:txbx>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164.95pt;margin-top:743.75pt;height:13.7pt;width:285.05pt;mso-position-horizontal-relative:page;mso-position-vertical-relative:page;z-index:-251654144;mso-width-relative:page;mso-height-relative:page;" filled="f" stroked="f" coordsize="21600,21600" o:gfxdata="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NwustsAAAANAQAADwAAAAAAAAABACAAAAAiAAAAZHJzL2Rvd25yZXYueG1sUEsBAhQAFAAA&#10;AAgAh07iQGhkcGyzAQAAdAMAAA4AAAAAAAAAAQAgAAAAKgEAAGRycy9lMm9Eb2MueG1sUEsFBgAA&#10;AAAGAAYAWQEAAE8FAAAAAA==&#10;">
              <v:fill on="f" focussize="0,0"/>
              <v:stroke on="f"/>
              <v:imagedata o:title=""/>
              <o:lock v:ext="edit" aspectratio="f"/>
              <v:textbox inset="0mm,0mm,0mm,0mm">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2EB0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17143">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38500">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787400</wp:posOffset>
              </wp:positionH>
              <wp:positionV relativeFrom="page">
                <wp:posOffset>440690</wp:posOffset>
              </wp:positionV>
              <wp:extent cx="2654300" cy="284480"/>
              <wp:effectExtent l="0" t="0" r="0" b="0"/>
              <wp:wrapNone/>
              <wp:docPr id="1" name="Textbox 1"/>
              <wp:cNvGraphicFramePr/>
              <a:graphic xmlns:a="http://schemas.openxmlformats.org/drawingml/2006/main">
                <a:graphicData uri="http://schemas.microsoft.com/office/word/2010/wordprocessingShape">
                  <wps:wsp>
                    <wps:cNvSpPr txBox="1"/>
                    <wps:spPr>
                      <a:xfrm>
                        <a:off x="0" y="0"/>
                        <a:ext cx="2654300" cy="284480"/>
                      </a:xfrm>
                      <a:prstGeom prst="rect">
                        <a:avLst/>
                      </a:prstGeom>
                    </wps:spPr>
                    <wps:txbx>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June</w:t>
                          </w:r>
                          <w:r>
                            <w:rPr>
                              <w:color w:val="2C0928"/>
                              <w:spacing w:val="-5"/>
                              <w:sz w:val="18"/>
                            </w:rPr>
                            <w:t xml:space="preserve"> </w:t>
                          </w:r>
                          <w:r>
                            <w:rPr>
                              <w:color w:val="2C0928"/>
                              <w:sz w:val="18"/>
                            </w:rPr>
                            <w:t>02,</w:t>
                          </w:r>
                          <w:r>
                            <w:rPr>
                              <w:color w:val="2C0928"/>
                              <w:spacing w:val="-2"/>
                              <w:sz w:val="18"/>
                            </w:rPr>
                            <w:t xml:space="preserve"> </w:t>
                          </w:r>
                          <w:r>
                            <w:rPr>
                              <w:color w:val="2C0928"/>
                              <w:spacing w:val="-4"/>
                              <w:sz w:val="18"/>
                            </w:rPr>
                            <w:t>2026</w:t>
                          </w:r>
                        </w:p>
                      </w:txbxContent>
                    </wps:txbx>
                    <wps:bodyPr wrap="square" lIns="0" tIns="0" rIns="0" bIns="0" rtlCol="0">
                      <a:noAutofit/>
                    </wps:bodyPr>
                  </wps:wsp>
                </a:graphicData>
              </a:graphic>
            </wp:anchor>
          </w:drawing>
        </mc:Choice>
        <mc:Fallback>
          <w:pict>
            <v:shape id="Textbox 1" o:spid="_x0000_s1026" o:spt="202" type="#_x0000_t202" style="position:absolute;left:0pt;margin-left:62pt;margin-top:34.7pt;height:22.4pt;width:209pt;mso-position-horizontal-relative:page;mso-position-vertical-relative:page;z-index:-251656192;mso-width-relative:page;mso-height-relative:page;" filled="f" stroked="f" coordsize="21600,21600" o:gfxdata="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L&#10;AG6G2AAAAAoBAAAPAAAAAAAAAAEAIAAAACIAAABkcnMvZG93bnJldi54bWxQSwECFAAUAAAACACH&#10;TuJA0iZgY7IBAAB0AwAADgAAAAAAAAABACAAAAAnAQAAZHJzL2Uyb0RvYy54bWxQSwUGAAAAAAYA&#10;BgBZAQAASwUAAAAA&#10;">
              <v:fill on="f" focussize="0,0"/>
              <v:stroke on="f"/>
              <v:imagedata o:title=""/>
              <o:lock v:ext="edit" aspectratio="f"/>
              <v:textbox inset="0mm,0mm,0mm,0mm">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June</w:t>
                    </w:r>
                    <w:r>
                      <w:rPr>
                        <w:color w:val="2C0928"/>
                        <w:spacing w:val="-5"/>
                        <w:sz w:val="18"/>
                      </w:rPr>
                      <w:t xml:space="preserve"> </w:t>
                    </w:r>
                    <w:r>
                      <w:rPr>
                        <w:color w:val="2C0928"/>
                        <w:sz w:val="18"/>
                      </w:rPr>
                      <w:t>02,</w:t>
                    </w:r>
                    <w:r>
                      <w:rPr>
                        <w:color w:val="2C0928"/>
                        <w:spacing w:val="-2"/>
                        <w:sz w:val="18"/>
                      </w:rPr>
                      <w:t xml:space="preserve"> </w:t>
                    </w:r>
                    <w:r>
                      <w:rPr>
                        <w:color w:val="2C0928"/>
                        <w:spacing w:val="-4"/>
                        <w:sz w:val="18"/>
                      </w:rPr>
                      <w:t>2026</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4975225</wp:posOffset>
              </wp:positionH>
              <wp:positionV relativeFrom="page">
                <wp:posOffset>440690</wp:posOffset>
              </wp:positionV>
              <wp:extent cx="1568450" cy="153670"/>
              <wp:effectExtent l="0" t="0" r="0" b="0"/>
              <wp:wrapNone/>
              <wp:docPr id="2" name="Textbox 2"/>
              <wp:cNvGraphicFramePr/>
              <a:graphic xmlns:a="http://schemas.openxmlformats.org/drawingml/2006/main">
                <a:graphicData uri="http://schemas.microsoft.com/office/word/2010/wordprocessingShape">
                  <wps:wsp>
                    <wps:cNvSpPr txBox="1"/>
                    <wps:spPr>
                      <a:xfrm>
                        <a:off x="0" y="0"/>
                        <a:ext cx="1568450" cy="153670"/>
                      </a:xfrm>
                      <a:prstGeom prst="rect">
                        <a:avLst/>
                      </a:prstGeom>
                    </wps:spPr>
                    <wps:txbx>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wps:txbx>
                    <wps:bodyPr wrap="square" lIns="0" tIns="0" rIns="0" bIns="0" rtlCol="0">
                      <a:noAutofit/>
                    </wps:bodyPr>
                  </wps:wsp>
                </a:graphicData>
              </a:graphic>
            </wp:anchor>
          </w:drawing>
        </mc:Choice>
        <mc:Fallback>
          <w:pict>
            <v:shape id="Textbox 2" o:spid="_x0000_s1026" o:spt="202" type="#_x0000_t202" style="position:absolute;left:0pt;margin-left:391.75pt;margin-top:34.7pt;height:12.1pt;width:123.5pt;mso-position-horizontal-relative:page;mso-position-vertical-relative:page;z-index:-251655168;mso-width-relative:page;mso-height-relative:page;" filled="f" stroked="f" coordsize="21600,21600" o:gfxdata="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10;F3ir2AAAAAoBAAAPAAAAAAAAAAEAIAAAACIAAABkcnMvZG93bnJldi54bWxQSwECFAAUAAAACACH&#10;TuJAOgdrMbIBAAB0AwAADgAAAAAAAAABACAAAAAnAQAAZHJzL2Uyb0RvYy54bWxQSwUGAAAAAAYA&#10;BgBZAQAASwUAAAAA&#10;">
              <v:fill on="f" focussize="0,0"/>
              <v:stroke on="f"/>
              <v:imagedata o:title=""/>
              <o:lock v:ext="edit" aspectratio="f"/>
              <v:textbox inset="0mm,0mm,0mm,0mm">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BA09B">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7D6A">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9A600D"/>
    <w:multiLevelType w:val="multilevel"/>
    <w:tmpl w:val="429A600D"/>
    <w:lvl w:ilvl="0" w:tentative="0">
      <w:start w:val="0"/>
      <w:numFmt w:val="bullet"/>
      <w:lvlText w:val="•"/>
      <w:lvlJc w:val="left"/>
      <w:pPr>
        <w:ind w:left="900" w:hanging="360"/>
      </w:pPr>
      <w:rPr>
        <w:rFonts w:hint="default" w:ascii="Arial MT" w:hAnsi="Arial MT" w:eastAsia="Arial MT" w:cs="Arial MT"/>
        <w:b w:val="0"/>
        <w:bCs w:val="0"/>
        <w:i w:val="0"/>
        <w:iCs w:val="0"/>
        <w:color w:val="1A1A1A"/>
        <w:spacing w:val="0"/>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abstractNum w:abstractNumId="1">
    <w:nsid w:val="5A467BFF"/>
    <w:multiLevelType w:val="multilevel"/>
    <w:tmpl w:val="5A467BFF"/>
    <w:lvl w:ilvl="0" w:tentative="0">
      <w:start w:val="1"/>
      <w:numFmt w:val="decimal"/>
      <w:lvlText w:val="%1."/>
      <w:lvlJc w:val="left"/>
      <w:pPr>
        <w:ind w:left="900" w:hanging="360"/>
      </w:pPr>
      <w:rPr>
        <w:rFonts w:hint="default" w:ascii="Arial MT" w:hAnsi="Arial MT" w:eastAsia="Arial MT" w:cs="Arial MT"/>
        <w:b w:val="0"/>
        <w:bCs w:val="0"/>
        <w:i w:val="0"/>
        <w:iCs w:val="0"/>
        <w:color w:val="1A1A1A"/>
        <w:spacing w:val="-1"/>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03CF9"/>
    <w:rsid w:val="00031219"/>
    <w:rsid w:val="00225B73"/>
    <w:rsid w:val="00413E22"/>
    <w:rsid w:val="00746B0E"/>
    <w:rsid w:val="00774C45"/>
    <w:rsid w:val="008875E1"/>
    <w:rsid w:val="009B3438"/>
    <w:rsid w:val="009C7946"/>
    <w:rsid w:val="00A8379D"/>
    <w:rsid w:val="00AD2472"/>
    <w:rsid w:val="00B03CF9"/>
    <w:rsid w:val="00CC55D1"/>
    <w:rsid w:val="00EA780A"/>
    <w:rsid w:val="00F43AC3"/>
    <w:rsid w:val="3D622C7D"/>
    <w:rsid w:val="40962182"/>
    <w:rsid w:val="58D24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1"/>
    <w:pPr>
      <w:ind w:left="180"/>
      <w:outlineLvl w:val="0"/>
    </w:pPr>
    <w:rPr>
      <w:rFonts w:ascii="Arial" w:hAnsi="Arial" w:eastAsia="Arial" w:cs="Arial"/>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style>
  <w:style w:type="paragraph" w:styleId="6">
    <w:name w:val="footer"/>
    <w:basedOn w:val="1"/>
    <w:link w:val="12"/>
    <w:unhideWhenUsed/>
    <w:qFormat/>
    <w:uiPriority w:val="99"/>
    <w:pPr>
      <w:tabs>
        <w:tab w:val="center" w:pos="4680"/>
        <w:tab w:val="right" w:pos="9360"/>
      </w:tabs>
    </w:pPr>
  </w:style>
  <w:style w:type="paragraph" w:styleId="7">
    <w:name w:val="header"/>
    <w:basedOn w:val="1"/>
    <w:link w:val="11"/>
    <w:unhideWhenUsed/>
    <w:qFormat/>
    <w:uiPriority w:val="99"/>
    <w:pPr>
      <w:tabs>
        <w:tab w:val="center" w:pos="4680"/>
        <w:tab w:val="right" w:pos="9360"/>
      </w:tabs>
    </w:pPr>
  </w:style>
  <w:style w:type="paragraph" w:styleId="8">
    <w:name w:val="Title"/>
    <w:basedOn w:val="1"/>
    <w:qFormat/>
    <w:uiPriority w:val="1"/>
    <w:pPr>
      <w:spacing w:before="1"/>
      <w:ind w:left="180" w:right="179"/>
    </w:pPr>
    <w:rPr>
      <w:rFonts w:ascii="Arial" w:hAnsi="Arial" w:eastAsia="Arial" w:cs="Arial"/>
      <w:b/>
      <w:bCs/>
      <w:sz w:val="56"/>
      <w:szCs w:val="56"/>
    </w:rPr>
  </w:style>
  <w:style w:type="paragraph" w:styleId="9">
    <w:name w:val="List Paragraph"/>
    <w:basedOn w:val="1"/>
    <w:qFormat/>
    <w:uiPriority w:val="1"/>
    <w:pPr>
      <w:spacing w:before="61"/>
      <w:ind w:left="900" w:hanging="360"/>
    </w:pPr>
  </w:style>
  <w:style w:type="paragraph" w:customStyle="1" w:styleId="10">
    <w:name w:val="Table Paragraph"/>
    <w:basedOn w:val="1"/>
    <w:qFormat/>
    <w:uiPriority w:val="1"/>
  </w:style>
  <w:style w:type="character" w:customStyle="1" w:styleId="11">
    <w:name w:val="Header Char"/>
    <w:basedOn w:val="3"/>
    <w:link w:val="7"/>
    <w:qFormat/>
    <w:uiPriority w:val="99"/>
    <w:rPr>
      <w:rFonts w:ascii="Arial MT" w:hAnsi="Arial MT" w:eastAsia="Arial MT" w:cs="Arial MT"/>
    </w:rPr>
  </w:style>
  <w:style w:type="character" w:customStyle="1" w:styleId="12">
    <w:name w:val="Footer Char"/>
    <w:basedOn w:val="3"/>
    <w:link w:val="6"/>
    <w:uiPriority w:val="99"/>
    <w:rPr>
      <w:rFonts w:ascii="Arial MT" w:hAnsi="Arial MT" w:eastAsia="Arial MT" w:cs="Arial MT"/>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622</Words>
  <Characters>3747</Characters>
  <Lines>31</Lines>
  <Paragraphs>8</Paragraphs>
  <TotalTime>0</TotalTime>
  <ScaleCrop>false</ScaleCrop>
  <LinksUpToDate>false</LinksUpToDate>
  <CharactersWithSpaces>4339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2026-03-09T06:02:00Z</dcterms:created>
  <dc:creator>Un-named</dc:creator>
  <cp:lastModifiedBy>Jodd Villegas</cp:lastModifiedBy>
  <dcterms:modified xsi:type="dcterms:W3CDTF">2026-03-09T08:09:45Z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WPS Docs</vt:lpwstr>
  </property>
  <property fmtid="{D5CDD505-2E9C-101B-9397-08002B2CF9AE}" pid="4" name="LastSaved">
    <vt:filetime>2026-03-09T00:00:00Z</vt:filetime>
  </property>
  <property fmtid="{D5CDD505-2E9C-101B-9397-08002B2CF9AE}" pid="5" name="SourceModified">
    <vt:lpwstr>D:20260306151820+08'00'</vt:lpwstr>
  </property>
  <property fmtid="{D5CDD505-2E9C-101B-9397-08002B2CF9AE}" pid="6" name="KSOTemplateDocerSaveRecord">
    <vt:lpwstr>eyJoZGlkIjoiOTkwN2M4MWFmZGZkNzg2NzZjZmM0Y2U1NzNhYWJiMmMiLCJ1c2VySWQiOiI3MDQ2MjE3NzU2NDkifQ==</vt:lpwstr>
  </property>
  <property fmtid="{D5CDD505-2E9C-101B-9397-08002B2CF9AE}" pid="7" name="KSOProductBuildVer">
    <vt:lpwstr>1033-12.1.0.25242</vt:lpwstr>
  </property>
  <property fmtid="{D5CDD505-2E9C-101B-9397-08002B2CF9AE}" pid="8" name="ICV">
    <vt:lpwstr>743AD864B14E471681662A7AC0831345_13</vt:lpwstr>
  </property>
</Properties>
</file>