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F0E4C"/>
          <w:sz w:val="68"/>
        </w:rPr>
        <w:t>WISHTICK</w:t>
      </w:r>
    </w:p>
    <w:p>
      <w:pPr>
        <w:jc w:val="center"/>
      </w:pPr>
      <w:r>
        <w:rPr>
          <w:i/>
          <w:color w:val="7B3A8F"/>
          <w:sz w:val="22"/>
        </w:rPr>
        <w:t>Gifting, made together</w:t>
      </w:r>
    </w:p>
    <w:p/>
    <w:p>
      <w:pPr>
        <w:jc w:val="center"/>
      </w:pPr>
      <w:r>
        <w:rPr>
          <w:b/>
          <w:color w:val="1E1B3A"/>
          <w:sz w:val="44"/>
        </w:rPr>
        <w:t>Recurring Cost Analysis</w:t>
      </w:r>
    </w:p>
    <w:p>
      <w:pPr>
        <w:jc w:val="center"/>
      </w:pPr>
      <w:r>
        <w:rPr>
          <w:color w:val="6A647E"/>
          <w:sz w:val="22"/>
        </w:rPr>
        <w:t>Hosting, infrastructure and third-party services</w:t>
        <w:br/>
        <w:t>for the mobile app, backend API and admin panel</w:t>
      </w:r>
    </w:p>
    <w:p/>
    <w:p/>
    <w:p/>
    <w:p/>
    <w:p/>
    <w:tbl>
      <w:tblPr>
        <w:tblStyle w:val="TableGrid"/>
        <w:tblW w:type="auto" w:w="0"/>
        <w:jc w:val="center"/>
        <w:tblLayout w:type="fixed"/>
        <w:tblLook w:firstColumn="1" w:firstRow="1" w:lastColumn="0" w:lastRow="0" w:noHBand="0" w:noVBand="1" w:val="04A0"/>
      </w:tblPr>
      <w:tblGrid>
        <w:gridCol w:w="4968"/>
        <w:gridCol w:w="4968"/>
      </w:tblGrid>
      <w:tr>
        <w:tc>
          <w:tcPr>
            <w:tcW w:type="dxa" w:w="2592"/>
            <w:shd w:val="clear" w:color="auto" w:fill="3F0E4C"/>
          </w:tcPr>
          <w:p>
            <w:pPr>
              <w:spacing w:before="40" w:after="40"/>
            </w:pPr>
            <w:r/>
            <w:r>
              <w:rPr>
                <w:b/>
                <w:color w:val="FFFFFF"/>
                <w:sz w:val="18"/>
              </w:rPr>
              <w:t>Field</w:t>
            </w:r>
          </w:p>
        </w:tc>
        <w:tc>
          <w:tcPr>
            <w:tcW w:type="dxa" w:w="7056"/>
            <w:shd w:val="clear" w:color="auto" w:fill="3F0E4C"/>
          </w:tcPr>
          <w:p>
            <w:pPr>
              <w:spacing w:before="40" w:after="40"/>
            </w:pPr>
            <w:r/>
            <w:r>
              <w:rPr>
                <w:b/>
                <w:color w:val="FFFFFF"/>
                <w:sz w:val="18"/>
              </w:rPr>
              <w:t>Value</w:t>
            </w:r>
          </w:p>
        </w:tc>
      </w:tr>
      <w:tr>
        <w:tc>
          <w:tcPr>
            <w:tcW w:type="dxa" w:w="2592"/>
          </w:tcPr>
          <w:p>
            <w:pPr>
              <w:spacing w:before="40" w:after="40"/>
            </w:pPr>
            <w:r/>
            <w:r>
              <w:rPr>
                <w:b w:val="0"/>
                <w:sz w:val="18"/>
              </w:rPr>
              <w:t>Prepared for</w:t>
            </w:r>
          </w:p>
        </w:tc>
        <w:tc>
          <w:tcPr>
            <w:tcW w:type="dxa" w:w="7056"/>
          </w:tcPr>
          <w:p>
            <w:pPr>
              <w:spacing w:before="40" w:after="40"/>
            </w:pPr>
            <w:r/>
            <w:r>
              <w:rPr>
                <w:b w:val="0"/>
                <w:sz w:val="18"/>
              </w:rPr>
              <w:t>[Client name]</w:t>
            </w:r>
          </w:p>
        </w:tc>
      </w:tr>
      <w:tr>
        <w:tc>
          <w:tcPr>
            <w:tcW w:type="dxa" w:w="2592"/>
            <w:shd w:val="clear" w:color="auto" w:fill="F5EFE4"/>
          </w:tcPr>
          <w:p>
            <w:pPr>
              <w:spacing w:before="40" w:after="40"/>
            </w:pPr>
            <w:r/>
            <w:r>
              <w:rPr>
                <w:b w:val="0"/>
                <w:sz w:val="18"/>
              </w:rPr>
              <w:t>Product</w:t>
            </w:r>
          </w:p>
        </w:tc>
        <w:tc>
          <w:tcPr>
            <w:tcW w:type="dxa" w:w="7056"/>
            <w:shd w:val="clear" w:color="auto" w:fill="F5EFE4"/>
          </w:tcPr>
          <w:p>
            <w:pPr>
              <w:spacing w:before="40" w:after="40"/>
            </w:pPr>
            <w:r/>
            <w:r>
              <w:rPr>
                <w:b w:val="0"/>
                <w:sz w:val="18"/>
              </w:rPr>
              <w:t>Wishtick — social gifting platform for the Indian market</w:t>
            </w:r>
          </w:p>
        </w:tc>
      </w:tr>
      <w:tr>
        <w:tc>
          <w:tcPr>
            <w:tcW w:type="dxa" w:w="2592"/>
          </w:tcPr>
          <w:p>
            <w:pPr>
              <w:spacing w:before="40" w:after="40"/>
            </w:pPr>
            <w:r/>
            <w:r>
              <w:rPr>
                <w:b w:val="0"/>
                <w:sz w:val="18"/>
              </w:rPr>
              <w:t>Scope</w:t>
            </w:r>
          </w:p>
        </w:tc>
        <w:tc>
          <w:tcPr>
            <w:tcW w:type="dxa" w:w="7056"/>
          </w:tcPr>
          <w:p>
            <w:pPr>
              <w:spacing w:before="40" w:after="40"/>
            </w:pPr>
            <w:r/>
            <w:r>
              <w:rPr>
                <w:b w:val="0"/>
                <w:sz w:val="18"/>
              </w:rPr>
              <w:t>Recurring (monthly and annual) operating cost only</w:t>
            </w:r>
          </w:p>
        </w:tc>
      </w:tr>
      <w:tr>
        <w:tc>
          <w:tcPr>
            <w:tcW w:type="dxa" w:w="2592"/>
            <w:shd w:val="clear" w:color="auto" w:fill="F5EFE4"/>
          </w:tcPr>
          <w:p>
            <w:pPr>
              <w:spacing w:before="40" w:after="40"/>
            </w:pPr>
            <w:r/>
            <w:r>
              <w:rPr>
                <w:b w:val="0"/>
                <w:sz w:val="18"/>
              </w:rPr>
              <w:t>Components</w:t>
            </w:r>
          </w:p>
        </w:tc>
        <w:tc>
          <w:tcPr>
            <w:tcW w:type="dxa" w:w="7056"/>
            <w:shd w:val="clear" w:color="auto" w:fill="F5EFE4"/>
          </w:tcPr>
          <w:p>
            <w:pPr>
              <w:spacing w:before="40" w:after="40"/>
            </w:pPr>
            <w:r/>
            <w:r>
              <w:rPr>
                <w:b w:val="0"/>
                <w:sz w:val="18"/>
              </w:rPr>
              <w:t>Backend API and workers · Android and iOS app · Admin web panel</w:t>
            </w:r>
          </w:p>
        </w:tc>
      </w:tr>
      <w:tr>
        <w:tc>
          <w:tcPr>
            <w:tcW w:type="dxa" w:w="2592"/>
          </w:tcPr>
          <w:p>
            <w:pPr>
              <w:spacing w:before="40" w:after="40"/>
            </w:pPr>
            <w:r/>
            <w:r>
              <w:rPr>
                <w:b w:val="0"/>
                <w:sz w:val="18"/>
              </w:rPr>
              <w:t>Infrastructure</w:t>
            </w:r>
          </w:p>
        </w:tc>
        <w:tc>
          <w:tcPr>
            <w:tcW w:type="dxa" w:w="7056"/>
          </w:tcPr>
          <w:p>
            <w:pPr>
              <w:spacing w:before="40" w:after="40"/>
            </w:pPr>
            <w:r/>
            <w:r>
              <w:rPr>
                <w:b w:val="0"/>
                <w:sz w:val="18"/>
              </w:rPr>
              <w:t>Hostinger VPS · MongoDB Atlas · Cloudinary · self-hosted Redis</w:t>
            </w:r>
          </w:p>
        </w:tc>
      </w:tr>
      <w:tr>
        <w:tc>
          <w:tcPr>
            <w:tcW w:type="dxa" w:w="2592"/>
            <w:shd w:val="clear" w:color="auto" w:fill="F5EFE4"/>
          </w:tcPr>
          <w:p>
            <w:pPr>
              <w:spacing w:before="40" w:after="40"/>
            </w:pPr>
            <w:r/>
            <w:r>
              <w:rPr>
                <w:b w:val="0"/>
                <w:sz w:val="18"/>
              </w:rPr>
              <w:t>Currency</w:t>
            </w:r>
          </w:p>
        </w:tc>
        <w:tc>
          <w:tcPr>
            <w:tcW w:type="dxa" w:w="7056"/>
            <w:shd w:val="clear" w:color="auto" w:fill="F5EFE4"/>
          </w:tcPr>
          <w:p>
            <w:pPr>
              <w:spacing w:before="40" w:after="40"/>
            </w:pPr>
            <w:r/>
            <w:r>
              <w:rPr>
                <w:b w:val="0"/>
                <w:sz w:val="18"/>
              </w:rPr>
              <w:t>Indian Rupees. USD-billed vendors converted at ₹95.30 = $1.00</w:t>
            </w:r>
          </w:p>
        </w:tc>
      </w:tr>
      <w:tr>
        <w:tc>
          <w:tcPr>
            <w:tcW w:type="dxa" w:w="2592"/>
          </w:tcPr>
          <w:p>
            <w:pPr>
              <w:spacing w:before="40" w:after="40"/>
            </w:pPr>
            <w:r/>
            <w:r>
              <w:rPr>
                <w:b w:val="0"/>
                <w:sz w:val="18"/>
              </w:rPr>
              <w:t>Prepared</w:t>
            </w:r>
          </w:p>
        </w:tc>
        <w:tc>
          <w:tcPr>
            <w:tcW w:type="dxa" w:w="7056"/>
          </w:tcPr>
          <w:p>
            <w:pPr>
              <w:spacing w:before="40" w:after="40"/>
            </w:pPr>
            <w:r/>
            <w:r>
              <w:rPr>
                <w:b w:val="0"/>
                <w:sz w:val="18"/>
              </w:rPr>
              <w:t>10 August 2026</w:t>
            </w:r>
          </w:p>
        </w:tc>
      </w:tr>
      <w:tr>
        <w:tc>
          <w:tcPr>
            <w:tcW w:type="dxa" w:w="2592"/>
            <w:shd w:val="clear" w:color="auto" w:fill="F5EFE4"/>
          </w:tcPr>
          <w:p>
            <w:pPr>
              <w:spacing w:before="40" w:after="40"/>
            </w:pPr>
            <w:r/>
            <w:r>
              <w:rPr>
                <w:b w:val="0"/>
                <w:sz w:val="18"/>
              </w:rPr>
              <w:t>Pricing verified</w:t>
            </w:r>
          </w:p>
        </w:tc>
        <w:tc>
          <w:tcPr>
            <w:tcW w:type="dxa" w:w="7056"/>
            <w:shd w:val="clear" w:color="auto" w:fill="F5EFE4"/>
          </w:tcPr>
          <w:p>
            <w:pPr>
              <w:spacing w:before="40" w:after="40"/>
            </w:pPr>
            <w:r/>
            <w:r>
              <w:rPr>
                <w:b w:val="0"/>
                <w:sz w:val="18"/>
              </w:rPr>
              <w:t>August 2026 — see §13 Sources</w:t>
            </w:r>
          </w:p>
        </w:tc>
      </w:tr>
      <w:tr>
        <w:tc>
          <w:tcPr>
            <w:tcW w:type="dxa" w:w="2592"/>
          </w:tcPr>
          <w:p>
            <w:pPr>
              <w:spacing w:before="40" w:after="40"/>
            </w:pPr>
            <w:r/>
            <w:r>
              <w:rPr>
                <w:b w:val="0"/>
                <w:sz w:val="18"/>
              </w:rPr>
              <w:t>Status</w:t>
            </w:r>
          </w:p>
        </w:tc>
        <w:tc>
          <w:tcPr>
            <w:tcW w:type="dxa" w:w="7056"/>
          </w:tcPr>
          <w:p>
            <w:pPr>
              <w:spacing w:before="40" w:after="40"/>
            </w:pPr>
            <w:r/>
            <w:r>
              <w:rPr>
                <w:b w:val="0"/>
                <w:sz w:val="18"/>
              </w:rPr>
              <w:t>Planning estimate based on published vendor pricing</w:t>
            </w:r>
          </w:p>
        </w:tc>
      </w:tr>
    </w:tbl>
    <w:p>
      <w:pPr>
        <w:spacing w:after="80"/>
      </w:pPr>
    </w:p>
    <w:p>
      <w:r>
        <w:br w:type="page"/>
      </w:r>
    </w:p>
    <w:p>
      <w:pPr>
        <w:pStyle w:val="Heading1"/>
        <w:spacing w:before="320" w:after="120"/>
      </w:pPr>
      <w:r>
        <w:rPr>
          <w:color w:val="3F0E4C"/>
          <w:sz w:val="32"/>
        </w:rPr>
        <w:t>Contents</w:t>
      </w:r>
    </w:p>
    <w:p>
      <w:r>
        <w:fldChar w:fldCharType="begin"/>
        <w:instrText xml:space="preserve">TOC \o "1-2" \h \z \u</w:instrText>
        <w:fldChar w:fldCharType="separate"/>
        <w:t>Right-click here and choose 'Update Field' to build the table of contents.</w:t>
        <w:fldChar w:fldCharType="end"/>
      </w:r>
    </w:p>
    <w:p>
      <w:r>
        <w:br w:type="page"/>
      </w:r>
    </w:p>
    <w:p>
      <w:pPr>
        <w:pStyle w:val="Heading1"/>
        <w:spacing w:before="320" w:after="120"/>
      </w:pPr>
      <w:r>
        <w:rPr>
          <w:color w:val="3F0E4C"/>
          <w:sz w:val="32"/>
        </w:rPr>
        <w:t>1. Executive Summary</w:t>
      </w:r>
    </w:p>
    <w:p>
      <w:pPr>
        <w:spacing w:after="120"/>
      </w:pPr>
      <w:r>
        <w:rPr>
          <w:b w:val="0"/>
          <w:i w:val="0"/>
          <w:sz w:val="20"/>
        </w:rPr>
        <w:t>Wishtick can be run for approximately ₹40,765 per month at pilot scale, rising to roughly ₹575,148 per month at 50,000 monthly active users. The full line-by-line build-up is in §6.</w:t>
      </w:r>
    </w:p>
    <w:p>
      <w:pPr>
        <w:spacing w:after="120"/>
      </w:pPr>
      <w:r>
        <w:rPr>
          <w:b w:val="0"/>
          <w:i w:val="0"/>
          <w:sz w:val="20"/>
        </w:rPr>
        <w:t>The important finding is that servers are the cheapest part of this budget. Hostinger VPS hosting accounts for no more than 4% of the monthly cost in every scenario. The bill is dominated by two external vendors — SerpApi, which supplies the product catalogue, and Cloudinary, which stores and delivers user media — which together account for 58% of spend at pilot scale and 69% at 50,000 users.</w:t>
      </w:r>
    </w:p>
    <w:p>
      <w:pPr>
        <w:pStyle w:val="Heading2"/>
        <w:spacing w:before="240" w:after="80"/>
      </w:pPr>
      <w:r>
        <w:rPr>
          <w:color w:val="7B3A8F"/>
          <w:sz w:val="25"/>
        </w:rPr>
        <w:t>1.1 Headline run-rate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880"/>
            <w:shd w:val="clear" w:color="auto" w:fill="3F0E4C"/>
          </w:tcPr>
          <w:p>
            <w:pPr>
              <w:spacing w:before="40" w:after="40"/>
            </w:pPr>
            <w:r/>
            <w:r>
              <w:rPr>
                <w:b/>
                <w:color w:val="FFFFFF"/>
                <w:sz w:val="18"/>
              </w:rPr>
              <w:t>Scenario</w:t>
            </w:r>
          </w:p>
        </w:tc>
        <w:tc>
          <w:tcPr>
            <w:tcW w:type="dxa" w:w="1944"/>
            <w:shd w:val="clear" w:color="auto" w:fill="3F0E4C"/>
          </w:tcPr>
          <w:p>
            <w:pPr>
              <w:spacing w:before="40" w:after="40"/>
            </w:pPr>
            <w:r/>
            <w:r>
              <w:rPr>
                <w:b/>
                <w:color w:val="FFFFFF"/>
                <w:sz w:val="18"/>
              </w:rPr>
              <w:t>Monthly active users</w:t>
            </w:r>
          </w:p>
        </w:tc>
        <w:tc>
          <w:tcPr>
            <w:tcW w:type="dxa" w:w="1656"/>
            <w:shd w:val="clear" w:color="auto" w:fill="3F0E4C"/>
          </w:tcPr>
          <w:p>
            <w:pPr>
              <w:spacing w:before="40" w:after="40"/>
            </w:pPr>
            <w:r/>
            <w:r>
              <w:rPr>
                <w:b/>
                <w:color w:val="FFFFFF"/>
                <w:sz w:val="18"/>
              </w:rPr>
              <w:t>Per month</w:t>
            </w:r>
          </w:p>
        </w:tc>
        <w:tc>
          <w:tcPr>
            <w:tcW w:type="dxa" w:w="1800"/>
            <w:shd w:val="clear" w:color="auto" w:fill="3F0E4C"/>
          </w:tcPr>
          <w:p>
            <w:pPr>
              <w:spacing w:before="40" w:after="40"/>
            </w:pPr>
            <w:r/>
            <w:r>
              <w:rPr>
                <w:b/>
                <w:color w:val="FFFFFF"/>
                <w:sz w:val="18"/>
              </w:rPr>
              <w:t>Per year</w:t>
            </w:r>
          </w:p>
        </w:tc>
        <w:tc>
          <w:tcPr>
            <w:tcW w:type="dxa" w:w="2088"/>
            <w:shd w:val="clear" w:color="auto" w:fill="3F0E4C"/>
          </w:tcPr>
          <w:p>
            <w:pPr>
              <w:spacing w:before="40" w:after="40"/>
            </w:pPr>
            <w:r/>
            <w:r>
              <w:rPr>
                <w:b/>
                <w:color w:val="FFFFFF"/>
                <w:sz w:val="18"/>
              </w:rPr>
              <w:t>Cost per user / month</w:t>
            </w:r>
          </w:p>
        </w:tc>
      </w:tr>
      <w:tr>
        <w:tc>
          <w:tcPr>
            <w:tcW w:type="dxa" w:w="2880"/>
          </w:tcPr>
          <w:p>
            <w:pPr>
              <w:spacing w:before="40" w:after="40"/>
            </w:pPr>
            <w:r/>
            <w:r>
              <w:rPr>
                <w:b w:val="0"/>
                <w:sz w:val="18"/>
              </w:rPr>
              <w:t>S1 — Pilot / soft launch</w:t>
            </w:r>
          </w:p>
        </w:tc>
        <w:tc>
          <w:tcPr>
            <w:tcW w:type="dxa" w:w="1944"/>
          </w:tcPr>
          <w:p>
            <w:pPr>
              <w:spacing w:before="40" w:after="40"/>
              <w:jc w:val="right"/>
            </w:pPr>
            <w:r/>
            <w:r>
              <w:rPr>
                <w:b w:val="0"/>
                <w:sz w:val="18"/>
              </w:rPr>
              <w:t>1,000</w:t>
            </w:r>
          </w:p>
        </w:tc>
        <w:tc>
          <w:tcPr>
            <w:tcW w:type="dxa" w:w="1656"/>
          </w:tcPr>
          <w:p>
            <w:pPr>
              <w:spacing w:before="40" w:after="40"/>
              <w:jc w:val="right"/>
            </w:pPr>
            <w:r/>
            <w:r>
              <w:rPr>
                <w:b w:val="0"/>
                <w:sz w:val="18"/>
              </w:rPr>
              <w:t>₹40,765</w:t>
            </w:r>
          </w:p>
        </w:tc>
        <w:tc>
          <w:tcPr>
            <w:tcW w:type="dxa" w:w="1800"/>
          </w:tcPr>
          <w:p>
            <w:pPr>
              <w:spacing w:before="40" w:after="40"/>
              <w:jc w:val="right"/>
            </w:pPr>
            <w:r/>
            <w:r>
              <w:rPr>
                <w:b w:val="0"/>
                <w:sz w:val="18"/>
              </w:rPr>
              <w:t>₹489,180</w:t>
            </w:r>
          </w:p>
        </w:tc>
        <w:tc>
          <w:tcPr>
            <w:tcW w:type="dxa" w:w="2088"/>
          </w:tcPr>
          <w:p>
            <w:pPr>
              <w:spacing w:before="40" w:after="40"/>
              <w:jc w:val="right"/>
            </w:pPr>
            <w:r/>
            <w:r>
              <w:rPr>
                <w:b w:val="0"/>
                <w:sz w:val="18"/>
              </w:rPr>
              <w:t>₹40.8</w:t>
            </w:r>
          </w:p>
        </w:tc>
      </w:tr>
      <w:tr>
        <w:tc>
          <w:tcPr>
            <w:tcW w:type="dxa" w:w="2880"/>
            <w:shd w:val="clear" w:color="auto" w:fill="F5EFE4"/>
          </w:tcPr>
          <w:p>
            <w:pPr>
              <w:spacing w:before="40" w:after="40"/>
            </w:pPr>
            <w:r/>
            <w:r>
              <w:rPr>
                <w:b w:val="0"/>
                <w:sz w:val="18"/>
              </w:rPr>
              <w:t>S2 — Growth</w:t>
            </w:r>
          </w:p>
        </w:tc>
        <w:tc>
          <w:tcPr>
            <w:tcW w:type="dxa" w:w="1944"/>
            <w:shd w:val="clear" w:color="auto" w:fill="F5EFE4"/>
          </w:tcPr>
          <w:p>
            <w:pPr>
              <w:spacing w:before="40" w:after="40"/>
              <w:jc w:val="right"/>
            </w:pPr>
            <w:r/>
            <w:r>
              <w:rPr>
                <w:b w:val="0"/>
                <w:sz w:val="18"/>
              </w:rPr>
              <w:t>10,000</w:t>
            </w:r>
          </w:p>
        </w:tc>
        <w:tc>
          <w:tcPr>
            <w:tcW w:type="dxa" w:w="1656"/>
            <w:shd w:val="clear" w:color="auto" w:fill="F5EFE4"/>
          </w:tcPr>
          <w:p>
            <w:pPr>
              <w:spacing w:before="40" w:after="40"/>
              <w:jc w:val="right"/>
            </w:pPr>
            <w:r/>
            <w:r>
              <w:rPr>
                <w:b w:val="0"/>
                <w:sz w:val="18"/>
              </w:rPr>
              <w:t>₹160,299</w:t>
            </w:r>
          </w:p>
        </w:tc>
        <w:tc>
          <w:tcPr>
            <w:tcW w:type="dxa" w:w="1800"/>
            <w:shd w:val="clear" w:color="auto" w:fill="F5EFE4"/>
          </w:tcPr>
          <w:p>
            <w:pPr>
              <w:spacing w:before="40" w:after="40"/>
              <w:jc w:val="right"/>
            </w:pPr>
            <w:r/>
            <w:r>
              <w:rPr>
                <w:b w:val="0"/>
                <w:sz w:val="18"/>
              </w:rPr>
              <w:t>₹1,923,588</w:t>
            </w:r>
          </w:p>
        </w:tc>
        <w:tc>
          <w:tcPr>
            <w:tcW w:type="dxa" w:w="2088"/>
            <w:shd w:val="clear" w:color="auto" w:fill="F5EFE4"/>
          </w:tcPr>
          <w:p>
            <w:pPr>
              <w:spacing w:before="40" w:after="40"/>
              <w:jc w:val="right"/>
            </w:pPr>
            <w:r/>
            <w:r>
              <w:rPr>
                <w:b w:val="0"/>
                <w:sz w:val="18"/>
              </w:rPr>
              <w:t>₹16.0</w:t>
            </w:r>
          </w:p>
        </w:tc>
      </w:tr>
      <w:tr>
        <w:tc>
          <w:tcPr>
            <w:tcW w:type="dxa" w:w="2880"/>
          </w:tcPr>
          <w:p>
            <w:pPr>
              <w:spacing w:before="40" w:after="40"/>
            </w:pPr>
            <w:r/>
            <w:r>
              <w:rPr>
                <w:b w:val="0"/>
                <w:sz w:val="18"/>
              </w:rPr>
              <w:t>S3 — Scale</w:t>
            </w:r>
          </w:p>
        </w:tc>
        <w:tc>
          <w:tcPr>
            <w:tcW w:type="dxa" w:w="1944"/>
          </w:tcPr>
          <w:p>
            <w:pPr>
              <w:spacing w:before="40" w:after="40"/>
              <w:jc w:val="right"/>
            </w:pPr>
            <w:r/>
            <w:r>
              <w:rPr>
                <w:b w:val="0"/>
                <w:sz w:val="18"/>
              </w:rPr>
              <w:t>50,000</w:t>
            </w:r>
          </w:p>
        </w:tc>
        <w:tc>
          <w:tcPr>
            <w:tcW w:type="dxa" w:w="1656"/>
          </w:tcPr>
          <w:p>
            <w:pPr>
              <w:spacing w:before="40" w:after="40"/>
              <w:jc w:val="right"/>
            </w:pPr>
            <w:r/>
            <w:r>
              <w:rPr>
                <w:b w:val="0"/>
                <w:sz w:val="18"/>
              </w:rPr>
              <w:t>₹575,148</w:t>
            </w:r>
          </w:p>
        </w:tc>
        <w:tc>
          <w:tcPr>
            <w:tcW w:type="dxa" w:w="1800"/>
          </w:tcPr>
          <w:p>
            <w:pPr>
              <w:spacing w:before="40" w:after="40"/>
              <w:jc w:val="right"/>
            </w:pPr>
            <w:r/>
            <w:r>
              <w:rPr>
                <w:b w:val="0"/>
                <w:sz w:val="18"/>
              </w:rPr>
              <w:t>₹6,901,776</w:t>
            </w:r>
          </w:p>
        </w:tc>
        <w:tc>
          <w:tcPr>
            <w:tcW w:type="dxa" w:w="2088"/>
          </w:tcPr>
          <w:p>
            <w:pPr>
              <w:spacing w:before="40" w:after="40"/>
              <w:jc w:val="right"/>
            </w:pPr>
            <w:r/>
            <w:r>
              <w:rPr>
                <w:b w:val="0"/>
                <w:sz w:val="18"/>
              </w:rPr>
              <w:t>₹11.5</w:t>
            </w:r>
          </w:p>
        </w:tc>
      </w:tr>
    </w:tbl>
    <w:p>
      <w:pPr>
        <w:spacing w:after="80"/>
      </w:pPr>
    </w:p>
    <w:p>
      <w:pPr>
        <w:spacing w:after="160"/>
        <w:ind w:left="259"/>
      </w:pPr>
      <w:r>
        <w:rPr>
          <w:i/>
          <w:color w:val="6A647E"/>
          <w:sz w:val="17"/>
        </w:rPr>
        <w:t>Includes a staging environment, design and CI tooling, and annual platform fees amortised monthly. Excludes salaries, marketing, GST and statutory levies — see §12.</w:t>
      </w:r>
    </w:p>
    <w:p>
      <w:pPr>
        <w:pStyle w:val="Heading2"/>
        <w:spacing w:before="240" w:after="80"/>
      </w:pPr>
      <w:r>
        <w:rPr>
          <w:color w:val="7B3A8F"/>
          <w:sz w:val="25"/>
        </w:rPr>
        <w:t>1.2 Where the money goes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600"/>
            <w:shd w:val="clear" w:color="auto" w:fill="3F0E4C"/>
          </w:tcPr>
          <w:p>
            <w:pPr>
              <w:spacing w:before="40" w:after="40"/>
            </w:pPr>
            <w:r/>
            <w:r>
              <w:rPr>
                <w:b/>
                <w:color w:val="FFFFFF"/>
                <w:sz w:val="18"/>
              </w:rPr>
              <w:t>Cost line</w:t>
            </w:r>
          </w:p>
        </w:tc>
        <w:tc>
          <w:tcPr>
            <w:tcW w:type="dxa" w:w="1512"/>
            <w:shd w:val="clear" w:color="auto" w:fill="3F0E4C"/>
          </w:tcPr>
          <w:p>
            <w:pPr>
              <w:spacing w:before="40" w:after="40"/>
            </w:pPr>
            <w:r/>
            <w:r>
              <w:rPr>
                <w:b/>
                <w:color w:val="FFFFFF"/>
                <w:sz w:val="18"/>
              </w:rPr>
              <w:t>S1 — Pilot</w:t>
            </w:r>
          </w:p>
        </w:tc>
        <w:tc>
          <w:tcPr>
            <w:tcW w:type="dxa" w:w="1512"/>
            <w:shd w:val="clear" w:color="auto" w:fill="3F0E4C"/>
          </w:tcPr>
          <w:p>
            <w:pPr>
              <w:spacing w:before="40" w:after="40"/>
            </w:pPr>
            <w:r/>
            <w:r>
              <w:rPr>
                <w:b/>
                <w:color w:val="FFFFFF"/>
                <w:sz w:val="18"/>
              </w:rPr>
              <w:t>S2 — Growth</w:t>
            </w:r>
          </w:p>
        </w:tc>
        <w:tc>
          <w:tcPr>
            <w:tcW w:type="dxa" w:w="1512"/>
            <w:shd w:val="clear" w:color="auto" w:fill="3F0E4C"/>
          </w:tcPr>
          <w:p>
            <w:pPr>
              <w:spacing w:before="40" w:after="40"/>
            </w:pPr>
            <w:r/>
            <w:r>
              <w:rPr>
                <w:b/>
                <w:color w:val="FFFFFF"/>
                <w:sz w:val="18"/>
              </w:rPr>
              <w:t>S3 — Scale</w:t>
            </w:r>
          </w:p>
        </w:tc>
        <w:tc>
          <w:tcPr>
            <w:tcW w:type="dxa" w:w="1512"/>
            <w:shd w:val="clear" w:color="auto" w:fill="3F0E4C"/>
          </w:tcPr>
          <w:p>
            <w:pPr>
              <w:spacing w:before="40" w:after="40"/>
            </w:pPr>
            <w:r/>
            <w:r>
              <w:rPr>
                <w:b/>
                <w:color w:val="FFFFFF"/>
                <w:sz w:val="18"/>
              </w:rPr>
              <w:t>Share at S3</w:t>
            </w:r>
          </w:p>
        </w:tc>
      </w:tr>
      <w:tr>
        <w:tc>
          <w:tcPr>
            <w:tcW w:type="dxa" w:w="3600"/>
          </w:tcPr>
          <w:p>
            <w:pPr>
              <w:spacing w:before="40" w:after="40"/>
            </w:pPr>
            <w:r/>
            <w:r>
              <w:rPr>
                <w:b w:val="0"/>
                <w:sz w:val="18"/>
              </w:rPr>
              <w:t>SerpApi — product catalogue</w:t>
            </w:r>
          </w:p>
        </w:tc>
        <w:tc>
          <w:tcPr>
            <w:tcW w:type="dxa" w:w="1512"/>
          </w:tcPr>
          <w:p>
            <w:pPr>
              <w:spacing w:before="40" w:after="40"/>
              <w:jc w:val="right"/>
            </w:pPr>
            <w:r/>
            <w:r>
              <w:rPr>
                <w:b w:val="0"/>
                <w:sz w:val="18"/>
              </w:rPr>
              <w:t>₹14,295</w:t>
            </w:r>
          </w:p>
        </w:tc>
        <w:tc>
          <w:tcPr>
            <w:tcW w:type="dxa" w:w="1512"/>
          </w:tcPr>
          <w:p>
            <w:pPr>
              <w:spacing w:before="40" w:after="40"/>
              <w:jc w:val="right"/>
            </w:pPr>
            <w:r/>
            <w:r>
              <w:rPr>
                <w:b w:val="0"/>
                <w:sz w:val="18"/>
              </w:rPr>
              <w:t>₹69,093</w:t>
            </w:r>
          </w:p>
        </w:tc>
        <w:tc>
          <w:tcPr>
            <w:tcW w:type="dxa" w:w="1512"/>
          </w:tcPr>
          <w:p>
            <w:pPr>
              <w:spacing w:before="40" w:after="40"/>
              <w:jc w:val="right"/>
            </w:pPr>
            <w:r/>
            <w:r>
              <w:rPr>
                <w:b w:val="0"/>
                <w:sz w:val="18"/>
              </w:rPr>
              <w:t>₹262,075</w:t>
            </w:r>
          </w:p>
        </w:tc>
        <w:tc>
          <w:tcPr>
            <w:tcW w:type="dxa" w:w="1512"/>
          </w:tcPr>
          <w:p>
            <w:pPr>
              <w:spacing w:before="40" w:after="40"/>
              <w:jc w:val="right"/>
            </w:pPr>
            <w:r/>
            <w:r>
              <w:rPr>
                <w:b w:val="0"/>
                <w:sz w:val="18"/>
              </w:rPr>
              <w:t>46%</w:t>
            </w:r>
          </w:p>
        </w:tc>
      </w:tr>
      <w:tr>
        <w:tc>
          <w:tcPr>
            <w:tcW w:type="dxa" w:w="3600"/>
            <w:shd w:val="clear" w:color="auto" w:fill="F5EFE4"/>
          </w:tcPr>
          <w:p>
            <w:pPr>
              <w:spacing w:before="40" w:after="40"/>
            </w:pPr>
            <w:r/>
            <w:r>
              <w:rPr>
                <w:b w:val="0"/>
                <w:sz w:val="18"/>
              </w:rPr>
              <w:t>Cloudinary — media storage and delivery</w:t>
            </w:r>
          </w:p>
        </w:tc>
        <w:tc>
          <w:tcPr>
            <w:tcW w:type="dxa" w:w="1512"/>
            <w:shd w:val="clear" w:color="auto" w:fill="F5EFE4"/>
          </w:tcPr>
          <w:p>
            <w:pPr>
              <w:spacing w:before="40" w:after="40"/>
              <w:jc w:val="right"/>
            </w:pPr>
            <w:r/>
            <w:r>
              <w:rPr>
                <w:b w:val="0"/>
                <w:sz w:val="18"/>
              </w:rPr>
              <w:t>₹9,435</w:t>
            </w:r>
          </w:p>
        </w:tc>
        <w:tc>
          <w:tcPr>
            <w:tcW w:type="dxa" w:w="1512"/>
            <w:shd w:val="clear" w:color="auto" w:fill="F5EFE4"/>
          </w:tcPr>
          <w:p>
            <w:pPr>
              <w:spacing w:before="40" w:after="40"/>
              <w:jc w:val="right"/>
            </w:pPr>
            <w:r/>
            <w:r>
              <w:rPr>
                <w:b w:val="0"/>
                <w:sz w:val="18"/>
              </w:rPr>
              <w:t>₹38,120</w:t>
            </w:r>
          </w:p>
        </w:tc>
        <w:tc>
          <w:tcPr>
            <w:tcW w:type="dxa" w:w="1512"/>
            <w:shd w:val="clear" w:color="auto" w:fill="F5EFE4"/>
          </w:tcPr>
          <w:p>
            <w:pPr>
              <w:spacing w:before="40" w:after="40"/>
              <w:jc w:val="right"/>
            </w:pPr>
            <w:r/>
            <w:r>
              <w:rPr>
                <w:b w:val="0"/>
                <w:sz w:val="18"/>
              </w:rPr>
              <w:t>₹133,420</w:t>
            </w:r>
          </w:p>
        </w:tc>
        <w:tc>
          <w:tcPr>
            <w:tcW w:type="dxa" w:w="1512"/>
            <w:shd w:val="clear" w:color="auto" w:fill="F5EFE4"/>
          </w:tcPr>
          <w:p>
            <w:pPr>
              <w:spacing w:before="40" w:after="40"/>
              <w:jc w:val="right"/>
            </w:pPr>
            <w:r/>
            <w:r>
              <w:rPr>
                <w:b w:val="0"/>
                <w:sz w:val="18"/>
              </w:rPr>
              <w:t>23%</w:t>
            </w:r>
          </w:p>
        </w:tc>
      </w:tr>
      <w:tr>
        <w:tc>
          <w:tcPr>
            <w:tcW w:type="dxa" w:w="3600"/>
          </w:tcPr>
          <w:p>
            <w:pPr>
              <w:spacing w:before="40" w:after="40"/>
            </w:pPr>
            <w:r/>
            <w:r>
              <w:rPr>
                <w:b w:val="0"/>
                <w:sz w:val="18"/>
              </w:rPr>
              <w:t>SMS — OTP verification</w:t>
            </w:r>
          </w:p>
        </w:tc>
        <w:tc>
          <w:tcPr>
            <w:tcW w:type="dxa" w:w="1512"/>
          </w:tcPr>
          <w:p>
            <w:pPr>
              <w:spacing w:before="40" w:after="40"/>
              <w:jc w:val="right"/>
            </w:pPr>
            <w:r/>
            <w:r>
              <w:rPr>
                <w:b w:val="0"/>
                <w:sz w:val="18"/>
              </w:rPr>
              <w:t>₹1,000</w:t>
            </w:r>
          </w:p>
        </w:tc>
        <w:tc>
          <w:tcPr>
            <w:tcW w:type="dxa" w:w="1512"/>
          </w:tcPr>
          <w:p>
            <w:pPr>
              <w:spacing w:before="40" w:after="40"/>
              <w:jc w:val="right"/>
            </w:pPr>
            <w:r/>
            <w:r>
              <w:rPr>
                <w:b w:val="0"/>
                <w:sz w:val="18"/>
              </w:rPr>
              <w:t>₹10,800</w:t>
            </w:r>
          </w:p>
        </w:tc>
        <w:tc>
          <w:tcPr>
            <w:tcW w:type="dxa" w:w="1512"/>
          </w:tcPr>
          <w:p>
            <w:pPr>
              <w:spacing w:before="40" w:after="40"/>
              <w:jc w:val="right"/>
            </w:pPr>
            <w:r/>
            <w:r>
              <w:rPr>
                <w:b w:val="0"/>
                <w:sz w:val="18"/>
              </w:rPr>
              <w:t>₹52,500</w:t>
            </w:r>
          </w:p>
        </w:tc>
        <w:tc>
          <w:tcPr>
            <w:tcW w:type="dxa" w:w="1512"/>
          </w:tcPr>
          <w:p>
            <w:pPr>
              <w:spacing w:before="40" w:after="40"/>
              <w:jc w:val="right"/>
            </w:pPr>
            <w:r/>
            <w:r>
              <w:rPr>
                <w:b w:val="0"/>
                <w:sz w:val="18"/>
              </w:rPr>
              <w:t>9%</w:t>
            </w:r>
          </w:p>
        </w:tc>
      </w:tr>
      <w:tr>
        <w:tc>
          <w:tcPr>
            <w:tcW w:type="dxa" w:w="3600"/>
            <w:shd w:val="clear" w:color="auto" w:fill="F5EFE4"/>
          </w:tcPr>
          <w:p>
            <w:pPr>
              <w:spacing w:before="40" w:after="40"/>
            </w:pPr>
            <w:r/>
            <w:r>
              <w:rPr>
                <w:b w:val="0"/>
                <w:sz w:val="18"/>
              </w:rPr>
              <w:t>MongoDB Atlas — managed database</w:t>
            </w:r>
          </w:p>
        </w:tc>
        <w:tc>
          <w:tcPr>
            <w:tcW w:type="dxa" w:w="1512"/>
            <w:shd w:val="clear" w:color="auto" w:fill="F5EFE4"/>
          </w:tcPr>
          <w:p>
            <w:pPr>
              <w:spacing w:before="40" w:after="40"/>
              <w:jc w:val="right"/>
            </w:pPr>
            <w:r/>
            <w:r>
              <w:rPr>
                <w:b w:val="0"/>
                <w:sz w:val="18"/>
              </w:rPr>
              <w:t>₹6,195</w:t>
            </w:r>
          </w:p>
        </w:tc>
        <w:tc>
          <w:tcPr>
            <w:tcW w:type="dxa" w:w="1512"/>
            <w:shd w:val="clear" w:color="auto" w:fill="F5EFE4"/>
          </w:tcPr>
          <w:p>
            <w:pPr>
              <w:spacing w:before="40" w:after="40"/>
              <w:jc w:val="right"/>
            </w:pPr>
            <w:r/>
            <w:r>
              <w:rPr>
                <w:b w:val="0"/>
                <w:sz w:val="18"/>
              </w:rPr>
              <w:t>₹15,725</w:t>
            </w:r>
          </w:p>
        </w:tc>
        <w:tc>
          <w:tcPr>
            <w:tcW w:type="dxa" w:w="1512"/>
            <w:shd w:val="clear" w:color="auto" w:fill="F5EFE4"/>
          </w:tcPr>
          <w:p>
            <w:pPr>
              <w:spacing w:before="40" w:after="40"/>
              <w:jc w:val="right"/>
            </w:pPr>
            <w:r/>
            <w:r>
              <w:rPr>
                <w:b w:val="0"/>
                <w:sz w:val="18"/>
              </w:rPr>
              <w:t>₹41,932</w:t>
            </w:r>
          </w:p>
        </w:tc>
        <w:tc>
          <w:tcPr>
            <w:tcW w:type="dxa" w:w="1512"/>
            <w:shd w:val="clear" w:color="auto" w:fill="F5EFE4"/>
          </w:tcPr>
          <w:p>
            <w:pPr>
              <w:spacing w:before="40" w:after="40"/>
              <w:jc w:val="right"/>
            </w:pPr>
            <w:r/>
            <w:r>
              <w:rPr>
                <w:b w:val="0"/>
                <w:sz w:val="18"/>
              </w:rPr>
              <w:t>7%</w:t>
            </w:r>
          </w:p>
        </w:tc>
      </w:tr>
      <w:tr>
        <w:tc>
          <w:tcPr>
            <w:tcW w:type="dxa" w:w="3600"/>
          </w:tcPr>
          <w:p>
            <w:pPr>
              <w:spacing w:before="40" w:after="40"/>
            </w:pPr>
            <w:r/>
            <w:r>
              <w:rPr>
                <w:b w:val="0"/>
                <w:sz w:val="18"/>
              </w:rPr>
              <w:t>Transactional email</w:t>
            </w:r>
          </w:p>
        </w:tc>
        <w:tc>
          <w:tcPr>
            <w:tcW w:type="dxa" w:w="1512"/>
          </w:tcPr>
          <w:p>
            <w:pPr>
              <w:spacing w:before="40" w:after="40"/>
              <w:jc w:val="right"/>
            </w:pPr>
            <w:r/>
            <w:r>
              <w:rPr>
                <w:b w:val="0"/>
                <w:sz w:val="18"/>
              </w:rPr>
              <w:t>₹0</w:t>
            </w:r>
          </w:p>
        </w:tc>
        <w:tc>
          <w:tcPr>
            <w:tcW w:type="dxa" w:w="1512"/>
          </w:tcPr>
          <w:p>
            <w:pPr>
              <w:spacing w:before="40" w:after="40"/>
              <w:jc w:val="right"/>
            </w:pPr>
            <w:r/>
            <w:r>
              <w:rPr>
                <w:b w:val="0"/>
                <w:sz w:val="18"/>
              </w:rPr>
              <w:t>₹6,000</w:t>
            </w:r>
          </w:p>
        </w:tc>
        <w:tc>
          <w:tcPr>
            <w:tcW w:type="dxa" w:w="1512"/>
          </w:tcPr>
          <w:p>
            <w:pPr>
              <w:spacing w:before="40" w:after="40"/>
              <w:jc w:val="right"/>
            </w:pPr>
            <w:r/>
            <w:r>
              <w:rPr>
                <w:b w:val="0"/>
                <w:sz w:val="18"/>
              </w:rPr>
              <w:t>₹30,000</w:t>
            </w:r>
          </w:p>
        </w:tc>
        <w:tc>
          <w:tcPr>
            <w:tcW w:type="dxa" w:w="1512"/>
          </w:tcPr>
          <w:p>
            <w:pPr>
              <w:spacing w:before="40" w:after="40"/>
              <w:jc w:val="right"/>
            </w:pPr>
            <w:r/>
            <w:r>
              <w:rPr>
                <w:b w:val="0"/>
                <w:sz w:val="18"/>
              </w:rPr>
              <w:t>5%</w:t>
            </w:r>
          </w:p>
        </w:tc>
      </w:tr>
      <w:tr>
        <w:tc>
          <w:tcPr>
            <w:tcW w:type="dxa" w:w="3600"/>
            <w:shd w:val="clear" w:color="auto" w:fill="F5EFE4"/>
          </w:tcPr>
          <w:p>
            <w:pPr>
              <w:spacing w:before="40" w:after="40"/>
            </w:pPr>
            <w:r/>
            <w:r>
              <w:rPr>
                <w:b w:val="0"/>
                <w:sz w:val="18"/>
              </w:rPr>
              <w:t>Hostinger VPS — servers and Redis</w:t>
            </w:r>
          </w:p>
        </w:tc>
        <w:tc>
          <w:tcPr>
            <w:tcW w:type="dxa" w:w="1512"/>
            <w:shd w:val="clear" w:color="auto" w:fill="F5EFE4"/>
          </w:tcPr>
          <w:p>
            <w:pPr>
              <w:spacing w:before="40" w:after="40"/>
              <w:jc w:val="right"/>
            </w:pPr>
            <w:r/>
            <w:r>
              <w:rPr>
                <w:b w:val="0"/>
                <w:sz w:val="18"/>
              </w:rPr>
              <w:t>₹1,449</w:t>
            </w:r>
          </w:p>
        </w:tc>
        <w:tc>
          <w:tcPr>
            <w:tcW w:type="dxa" w:w="1512"/>
            <w:shd w:val="clear" w:color="auto" w:fill="F5EFE4"/>
          </w:tcPr>
          <w:p>
            <w:pPr>
              <w:spacing w:before="40" w:after="40"/>
              <w:jc w:val="right"/>
            </w:pPr>
            <w:r/>
            <w:r>
              <w:rPr>
                <w:b w:val="0"/>
                <w:sz w:val="18"/>
              </w:rPr>
              <w:t>₹5,300</w:t>
            </w:r>
          </w:p>
        </w:tc>
        <w:tc>
          <w:tcPr>
            <w:tcW w:type="dxa" w:w="1512"/>
            <w:shd w:val="clear" w:color="auto" w:fill="F5EFE4"/>
          </w:tcPr>
          <w:p>
            <w:pPr>
              <w:spacing w:before="40" w:after="40"/>
              <w:jc w:val="right"/>
            </w:pPr>
            <w:r/>
            <w:r>
              <w:rPr>
                <w:b w:val="0"/>
                <w:sz w:val="18"/>
              </w:rPr>
              <w:t>₹21,393</w:t>
            </w:r>
          </w:p>
        </w:tc>
        <w:tc>
          <w:tcPr>
            <w:tcW w:type="dxa" w:w="1512"/>
            <w:shd w:val="clear" w:color="auto" w:fill="F5EFE4"/>
          </w:tcPr>
          <w:p>
            <w:pPr>
              <w:spacing w:before="40" w:after="40"/>
              <w:jc w:val="right"/>
            </w:pPr>
            <w:r/>
            <w:r>
              <w:rPr>
                <w:b w:val="0"/>
                <w:sz w:val="18"/>
              </w:rPr>
              <w:t>4%</w:t>
            </w:r>
          </w:p>
        </w:tc>
      </w:tr>
      <w:tr>
        <w:tc>
          <w:tcPr>
            <w:tcW w:type="dxa" w:w="3600"/>
          </w:tcPr>
          <w:p>
            <w:pPr>
              <w:spacing w:before="40" w:after="40"/>
            </w:pPr>
            <w:r/>
            <w:r>
              <w:rPr>
                <w:b w:val="0"/>
                <w:sz w:val="18"/>
              </w:rPr>
              <w:t>Monitoring, staging, CI and tooling</w:t>
            </w:r>
          </w:p>
        </w:tc>
        <w:tc>
          <w:tcPr>
            <w:tcW w:type="dxa" w:w="1512"/>
          </w:tcPr>
          <w:p>
            <w:pPr>
              <w:spacing w:before="40" w:after="40"/>
              <w:jc w:val="right"/>
            </w:pPr>
            <w:r/>
            <w:r>
              <w:rPr>
                <w:b w:val="0"/>
                <w:sz w:val="18"/>
              </w:rPr>
              <w:t>₹8,391</w:t>
            </w:r>
          </w:p>
        </w:tc>
        <w:tc>
          <w:tcPr>
            <w:tcW w:type="dxa" w:w="1512"/>
          </w:tcPr>
          <w:p>
            <w:pPr>
              <w:spacing w:before="40" w:after="40"/>
              <w:jc w:val="right"/>
            </w:pPr>
            <w:r/>
            <w:r>
              <w:rPr>
                <w:b w:val="0"/>
                <w:sz w:val="18"/>
              </w:rPr>
              <w:t>₹15,261</w:t>
            </w:r>
          </w:p>
        </w:tc>
        <w:tc>
          <w:tcPr>
            <w:tcW w:type="dxa" w:w="1512"/>
          </w:tcPr>
          <w:p>
            <w:pPr>
              <w:spacing w:before="40" w:after="40"/>
              <w:jc w:val="right"/>
            </w:pPr>
            <w:r/>
            <w:r>
              <w:rPr>
                <w:b w:val="0"/>
                <w:sz w:val="18"/>
              </w:rPr>
              <w:t>₹33,828</w:t>
            </w:r>
          </w:p>
        </w:tc>
        <w:tc>
          <w:tcPr>
            <w:tcW w:type="dxa" w:w="1512"/>
          </w:tcPr>
          <w:p>
            <w:pPr>
              <w:spacing w:before="40" w:after="40"/>
              <w:jc w:val="right"/>
            </w:pPr>
            <w:r/>
            <w:r>
              <w:rPr>
                <w:b w:val="0"/>
                <w:sz w:val="18"/>
              </w:rPr>
              <w:t>6%</w:t>
            </w:r>
          </w:p>
        </w:tc>
      </w:tr>
    </w:tbl>
    <w:p>
      <w:pPr>
        <w:spacing w:after="80"/>
      </w:pPr>
    </w:p>
    <w:p>
      <w:pPr>
        <w:pStyle w:val="Heading2"/>
        <w:spacing w:before="240" w:after="80"/>
      </w:pPr>
      <w:r>
        <w:rPr>
          <w:color w:val="7B3A8F"/>
          <w:sz w:val="25"/>
        </w:rPr>
        <w:t>1.3 What this means commercially</w:t>
      </w:r>
    </w:p>
    <w:p>
      <w:pPr>
        <w:spacing w:after="120"/>
      </w:pPr>
      <w:r>
        <w:rPr>
          <w:b w:val="0"/>
          <w:i w:val="0"/>
          <w:sz w:val="20"/>
        </w:rPr>
        <w:t>Wishtick earns affiliate commission when a user clicks through to a merchant and buys there. It never collects, holds or disburses money, so there are no payment-gateway fees and no per-transaction cost (§10.2). The marginal cost of a completed gift purchase is effectively zero.</w:t>
      </w:r>
    </w:p>
    <w:p>
      <w:pPr>
        <w:spacing w:after="120"/>
      </w:pPr>
      <w:r>
        <w:rPr>
          <w:b w:val="0"/>
          <w:i w:val="0"/>
          <w:sz w:val="20"/>
        </w:rPr>
        <w:t>The corollary is that every cost in this document is incurred before any revenue arrives. A user who browses widely and never buys still consumes SerpApi calls, Cloudinary bandwidth and an OTP. Conversion rate is therefore not only a revenue metric — it determines whether the cost base is sustainable at all.</w:t>
      </w:r>
    </w:p>
    <w:p>
      <w:pPr>
        <w:pStyle w:val="Heading2"/>
        <w:spacing w:before="240" w:after="80"/>
      </w:pPr>
      <w:r>
        <w:rPr>
          <w:color w:val="7B3A8F"/>
          <w:sz w:val="25"/>
        </w:rPr>
        <w:t>1.4 The five decisions that move this number most</w:t>
      </w:r>
    </w:p>
    <w:p>
      <w:pPr>
        <w:pStyle w:val="ListBullet"/>
        <w:spacing w:after="60"/>
      </w:pPr>
      <w:r>
        <w:rPr>
          <w:sz w:val="20"/>
        </w:rPr>
        <w:t>Keep affiliate monetisation lazy. The merchant URL is resolved on the click, not for every search result. Resolving eagerly would multiply the SerpApi bill by roughly 40 times. This is how the system already works and must be protected.</w:t>
      </w:r>
    </w:p>
    <w:p>
      <w:pPr>
        <w:pStyle w:val="ListBullet"/>
        <w:spacing w:after="60"/>
      </w:pPr>
      <w:r>
        <w:rPr>
          <w:sz w:val="20"/>
        </w:rPr>
        <w:t>Control what Cloudinary stores and delivers. Its billing unit is a credit, and one credit covers only 1 GB of storage, 1 GB of delivered bandwidth, or 1,000 transformations. Storage accumulates permanently unless actively pruned.</w:t>
      </w:r>
    </w:p>
    <w:p>
      <w:pPr>
        <w:pStyle w:val="ListBullet"/>
        <w:spacing w:after="60"/>
      </w:pPr>
      <w:r>
        <w:rPr>
          <w:sz w:val="20"/>
        </w:rPr>
        <w:t>Reduce OTP SMS volume. Every message is a real rupee with no free tier, and volume scales with sign-ups rather than with revenue.</w:t>
      </w:r>
    </w:p>
    <w:p>
      <w:pPr>
        <w:pStyle w:val="ListBullet"/>
        <w:spacing w:after="60"/>
      </w:pPr>
      <w:r>
        <w:rPr>
          <w:sz w:val="20"/>
        </w:rPr>
        <w:t>Budget at VPS renewal prices, not promotional prices. Hostinger's advertised rates are two-year introductory offers; renewal is 65–100% higher. This document uses renewal pricing throughout so the figures remain valid in year three.</w:t>
      </w:r>
    </w:p>
    <w:p>
      <w:pPr>
        <w:pStyle w:val="ListBullet"/>
        <w:spacing w:after="60"/>
      </w:pPr>
      <w:r>
        <w:rPr>
          <w:sz w:val="20"/>
        </w:rPr>
        <w:t>Recognise the currency exposure. About 80–90% of this budget is billed in US dollars, even though the business earns in rupees. See §7.2.</w:t>
      </w:r>
    </w:p>
    <w:p>
      <w:r>
        <w:br w:type="page"/>
      </w:r>
    </w:p>
    <w:p>
      <w:pPr>
        <w:pStyle w:val="Heading1"/>
        <w:spacing w:before="320" w:after="120"/>
      </w:pPr>
      <w:r>
        <w:rPr>
          <w:color w:val="3F0E4C"/>
          <w:sz w:val="32"/>
        </w:rPr>
        <w:t>2. Scope and Method</w:t>
      </w:r>
    </w:p>
    <w:p>
      <w:pPr>
        <w:pStyle w:val="Heading2"/>
        <w:spacing w:before="240" w:after="80"/>
      </w:pPr>
      <w:r>
        <w:rPr>
          <w:color w:val="7B3A8F"/>
          <w:sz w:val="25"/>
        </w:rPr>
        <w:t>2.1 Confirmed infrastructure decisions</w:t>
      </w:r>
    </w:p>
    <w:p>
      <w:pPr>
        <w:spacing w:after="120"/>
      </w:pPr>
      <w:r>
        <w:rPr>
          <w:b w:val="0"/>
          <w:i w:val="0"/>
          <w:sz w:val="20"/>
        </w:rPr>
        <w:t>This estimate is built on the platform choices confirmed for this project. No AWS or Cloudflare service appears anywhere in the costing.</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3F0E4C"/>
          </w:tcPr>
          <w:p>
            <w:pPr>
              <w:spacing w:before="40" w:after="40"/>
            </w:pPr>
            <w:r/>
            <w:r>
              <w:rPr>
                <w:b/>
                <w:color w:val="FFFFFF"/>
                <w:sz w:val="18"/>
              </w:rPr>
              <w:t>Layer</w:t>
            </w:r>
          </w:p>
        </w:tc>
        <w:tc>
          <w:tcPr>
            <w:tcW w:type="dxa" w:w="3312"/>
            <w:shd w:val="clear" w:color="auto" w:fill="3F0E4C"/>
          </w:tcPr>
          <w:p>
            <w:pPr>
              <w:spacing w:before="40" w:after="40"/>
            </w:pPr>
            <w:r/>
            <w:r>
              <w:rPr>
                <w:b/>
                <w:color w:val="FFFFFF"/>
                <w:sz w:val="18"/>
              </w:rPr>
              <w:t>Chosen platform</w:t>
            </w:r>
          </w:p>
        </w:tc>
        <w:tc>
          <w:tcPr>
            <w:tcW w:type="dxa" w:w="3024"/>
            <w:shd w:val="clear" w:color="auto" w:fill="3F0E4C"/>
          </w:tcPr>
          <w:p>
            <w:pPr>
              <w:spacing w:before="40" w:after="40"/>
            </w:pPr>
            <w:r/>
            <w:r>
              <w:rPr>
                <w:b/>
                <w:color w:val="FFFFFF"/>
                <w:sz w:val="18"/>
              </w:rPr>
              <w:t>Billing basis</w:t>
            </w:r>
          </w:p>
        </w:tc>
      </w:tr>
      <w:tr>
        <w:tc>
          <w:tcPr>
            <w:tcW w:type="dxa" w:w="3312"/>
          </w:tcPr>
          <w:p>
            <w:pPr>
              <w:spacing w:before="40" w:after="40"/>
            </w:pPr>
            <w:r/>
            <w:r>
              <w:rPr>
                <w:b w:val="0"/>
                <w:sz w:val="18"/>
              </w:rPr>
              <w:t>Application servers and workers</w:t>
            </w:r>
          </w:p>
        </w:tc>
        <w:tc>
          <w:tcPr>
            <w:tcW w:type="dxa" w:w="3312"/>
          </w:tcPr>
          <w:p>
            <w:pPr>
              <w:spacing w:before="40" w:after="40"/>
            </w:pPr>
            <w:r/>
            <w:r>
              <w:rPr>
                <w:b w:val="0"/>
                <w:sz w:val="18"/>
              </w:rPr>
              <w:t>Hostinger VPS (KVM plans)</w:t>
            </w:r>
          </w:p>
        </w:tc>
        <w:tc>
          <w:tcPr>
            <w:tcW w:type="dxa" w:w="3024"/>
          </w:tcPr>
          <w:p>
            <w:pPr>
              <w:spacing w:before="40" w:after="40"/>
            </w:pPr>
            <w:r/>
            <w:r>
              <w:rPr>
                <w:b w:val="0"/>
                <w:sz w:val="18"/>
              </w:rPr>
              <w:t>Fixed monthly, INR</w:t>
            </w:r>
          </w:p>
        </w:tc>
      </w:tr>
      <w:tr>
        <w:tc>
          <w:tcPr>
            <w:tcW w:type="dxa" w:w="3312"/>
            <w:shd w:val="clear" w:color="auto" w:fill="F5EFE4"/>
          </w:tcPr>
          <w:p>
            <w:pPr>
              <w:spacing w:before="40" w:after="40"/>
            </w:pPr>
            <w:r/>
            <w:r>
              <w:rPr>
                <w:b w:val="0"/>
                <w:sz w:val="18"/>
              </w:rPr>
              <w:t>Database</w:t>
            </w:r>
          </w:p>
        </w:tc>
        <w:tc>
          <w:tcPr>
            <w:tcW w:type="dxa" w:w="3312"/>
            <w:shd w:val="clear" w:color="auto" w:fill="F5EFE4"/>
          </w:tcPr>
          <w:p>
            <w:pPr>
              <w:spacing w:before="40" w:after="40"/>
            </w:pPr>
            <w:r/>
            <w:r>
              <w:rPr>
                <w:b w:val="0"/>
                <w:sz w:val="18"/>
              </w:rPr>
              <w:t>MongoDB Atlas — managed</w:t>
            </w:r>
          </w:p>
        </w:tc>
        <w:tc>
          <w:tcPr>
            <w:tcW w:type="dxa" w:w="3024"/>
            <w:shd w:val="clear" w:color="auto" w:fill="F5EFE4"/>
          </w:tcPr>
          <w:p>
            <w:pPr>
              <w:spacing w:before="40" w:after="40"/>
            </w:pPr>
            <w:r/>
            <w:r>
              <w:rPr>
                <w:b w:val="0"/>
                <w:sz w:val="18"/>
              </w:rPr>
              <w:t>Per cluster hour, USD</w:t>
            </w:r>
          </w:p>
        </w:tc>
      </w:tr>
      <w:tr>
        <w:tc>
          <w:tcPr>
            <w:tcW w:type="dxa" w:w="3312"/>
          </w:tcPr>
          <w:p>
            <w:pPr>
              <w:spacing w:before="40" w:after="40"/>
            </w:pPr>
            <w:r/>
            <w:r>
              <w:rPr>
                <w:b w:val="0"/>
                <w:sz w:val="18"/>
              </w:rPr>
              <w:t>Cache, queues and real-time backplane</w:t>
            </w:r>
          </w:p>
        </w:tc>
        <w:tc>
          <w:tcPr>
            <w:tcW w:type="dxa" w:w="3312"/>
          </w:tcPr>
          <w:p>
            <w:pPr>
              <w:spacing w:before="40" w:after="40"/>
            </w:pPr>
            <w:r/>
            <w:r>
              <w:rPr>
                <w:b w:val="0"/>
                <w:sz w:val="18"/>
              </w:rPr>
              <w:t>Redis — self-hosted on the VPS</w:t>
            </w:r>
          </w:p>
        </w:tc>
        <w:tc>
          <w:tcPr>
            <w:tcW w:type="dxa" w:w="3024"/>
          </w:tcPr>
          <w:p>
            <w:pPr>
              <w:spacing w:before="40" w:after="40"/>
            </w:pPr>
            <w:r/>
            <w:r>
              <w:rPr>
                <w:b w:val="0"/>
                <w:sz w:val="18"/>
              </w:rPr>
              <w:t>No separate charge</w:t>
            </w:r>
          </w:p>
        </w:tc>
      </w:tr>
      <w:tr>
        <w:tc>
          <w:tcPr>
            <w:tcW w:type="dxa" w:w="3312"/>
            <w:shd w:val="clear" w:color="auto" w:fill="F5EFE4"/>
          </w:tcPr>
          <w:p>
            <w:pPr>
              <w:spacing w:before="40" w:after="40"/>
            </w:pPr>
            <w:r/>
            <w:r>
              <w:rPr>
                <w:b w:val="0"/>
                <w:sz w:val="18"/>
              </w:rPr>
              <w:t>Media storage, transformation and CDN</w:t>
            </w:r>
          </w:p>
        </w:tc>
        <w:tc>
          <w:tcPr>
            <w:tcW w:type="dxa" w:w="3312"/>
            <w:shd w:val="clear" w:color="auto" w:fill="F5EFE4"/>
          </w:tcPr>
          <w:p>
            <w:pPr>
              <w:spacing w:before="40" w:after="40"/>
            </w:pPr>
            <w:r/>
            <w:r>
              <w:rPr>
                <w:b w:val="0"/>
                <w:sz w:val="18"/>
              </w:rPr>
              <w:t>Cloudinary</w:t>
            </w:r>
          </w:p>
        </w:tc>
        <w:tc>
          <w:tcPr>
            <w:tcW w:type="dxa" w:w="3024"/>
            <w:shd w:val="clear" w:color="auto" w:fill="F5EFE4"/>
          </w:tcPr>
          <w:p>
            <w:pPr>
              <w:spacing w:before="40" w:after="40"/>
            </w:pPr>
            <w:r/>
            <w:r>
              <w:rPr>
                <w:b w:val="0"/>
                <w:sz w:val="18"/>
              </w:rPr>
              <w:t>Credit-based, USD</w:t>
            </w:r>
          </w:p>
        </w:tc>
      </w:tr>
      <w:tr>
        <w:tc>
          <w:tcPr>
            <w:tcW w:type="dxa" w:w="3312"/>
          </w:tcPr>
          <w:p>
            <w:pPr>
              <w:spacing w:before="40" w:after="40"/>
            </w:pPr>
            <w:r/>
            <w:r>
              <w:rPr>
                <w:b w:val="0"/>
                <w:sz w:val="18"/>
              </w:rPr>
              <w:t>Transactional email</w:t>
            </w:r>
          </w:p>
        </w:tc>
        <w:tc>
          <w:tcPr>
            <w:tcW w:type="dxa" w:w="3312"/>
          </w:tcPr>
          <w:p>
            <w:pPr>
              <w:spacing w:before="40" w:after="40"/>
            </w:pPr>
            <w:r/>
            <w:r>
              <w:rPr>
                <w:b w:val="0"/>
                <w:sz w:val="18"/>
              </w:rPr>
              <w:t>SMTP included with hosting</w:t>
            </w:r>
          </w:p>
        </w:tc>
        <w:tc>
          <w:tcPr>
            <w:tcW w:type="dxa" w:w="3024"/>
          </w:tcPr>
          <w:p>
            <w:pPr>
              <w:spacing w:before="40" w:after="40"/>
            </w:pPr>
            <w:r/>
            <w:r>
              <w:rPr>
                <w:b w:val="0"/>
                <w:sz w:val="18"/>
              </w:rPr>
              <w:t>No separate charge — see §5.6</w:t>
            </w:r>
          </w:p>
        </w:tc>
      </w:tr>
      <w:tr>
        <w:tc>
          <w:tcPr>
            <w:tcW w:type="dxa" w:w="3312"/>
            <w:shd w:val="clear" w:color="auto" w:fill="F5EFE4"/>
          </w:tcPr>
          <w:p>
            <w:pPr>
              <w:spacing w:before="40" w:after="40"/>
            </w:pPr>
            <w:r/>
            <w:r>
              <w:rPr>
                <w:b w:val="0"/>
                <w:sz w:val="18"/>
              </w:rPr>
              <w:t>Transactional SMS</w:t>
            </w:r>
          </w:p>
        </w:tc>
        <w:tc>
          <w:tcPr>
            <w:tcW w:type="dxa" w:w="3312"/>
            <w:shd w:val="clear" w:color="auto" w:fill="F5EFE4"/>
          </w:tcPr>
          <w:p>
            <w:pPr>
              <w:spacing w:before="40" w:after="40"/>
            </w:pPr>
            <w:r/>
            <w:r>
              <w:rPr>
                <w:b w:val="0"/>
                <w:sz w:val="18"/>
              </w:rPr>
              <w:t>Indian gateway (MSG91 / Gupshup class)</w:t>
            </w:r>
          </w:p>
        </w:tc>
        <w:tc>
          <w:tcPr>
            <w:tcW w:type="dxa" w:w="3024"/>
            <w:shd w:val="clear" w:color="auto" w:fill="F5EFE4"/>
          </w:tcPr>
          <w:p>
            <w:pPr>
              <w:spacing w:before="40" w:after="40"/>
            </w:pPr>
            <w:r/>
            <w:r>
              <w:rPr>
                <w:b w:val="0"/>
                <w:sz w:val="18"/>
              </w:rPr>
              <w:t>Per message, INR</w:t>
            </w:r>
          </w:p>
        </w:tc>
      </w:tr>
      <w:tr>
        <w:tc>
          <w:tcPr>
            <w:tcW w:type="dxa" w:w="3312"/>
          </w:tcPr>
          <w:p>
            <w:pPr>
              <w:spacing w:before="40" w:after="40"/>
            </w:pPr>
            <w:r/>
            <w:r>
              <w:rPr>
                <w:b w:val="0"/>
                <w:sz w:val="18"/>
              </w:rPr>
              <w:t>Push notifications</w:t>
            </w:r>
          </w:p>
        </w:tc>
        <w:tc>
          <w:tcPr>
            <w:tcW w:type="dxa" w:w="3312"/>
          </w:tcPr>
          <w:p>
            <w:pPr>
              <w:spacing w:before="40" w:after="40"/>
            </w:pPr>
            <w:r/>
            <w:r>
              <w:rPr>
                <w:b w:val="0"/>
                <w:sz w:val="18"/>
              </w:rPr>
              <w:t>Firebase Cloud Messaging</w:t>
            </w:r>
          </w:p>
        </w:tc>
        <w:tc>
          <w:tcPr>
            <w:tcW w:type="dxa" w:w="3024"/>
          </w:tcPr>
          <w:p>
            <w:pPr>
              <w:spacing w:before="40" w:after="40"/>
            </w:pPr>
            <w:r/>
            <w:r>
              <w:rPr>
                <w:b w:val="0"/>
                <w:sz w:val="18"/>
              </w:rPr>
              <w:t>Free at any volume</w:t>
            </w:r>
          </w:p>
        </w:tc>
      </w:tr>
      <w:tr>
        <w:tc>
          <w:tcPr>
            <w:tcW w:type="dxa" w:w="3312"/>
            <w:shd w:val="clear" w:color="auto" w:fill="F5EFE4"/>
          </w:tcPr>
          <w:p>
            <w:pPr>
              <w:spacing w:before="40" w:after="40"/>
            </w:pPr>
            <w:r/>
            <w:r>
              <w:rPr>
                <w:b w:val="0"/>
                <w:sz w:val="18"/>
              </w:rPr>
              <w:t>Product catalogue</w:t>
            </w:r>
          </w:p>
        </w:tc>
        <w:tc>
          <w:tcPr>
            <w:tcW w:type="dxa" w:w="3312"/>
            <w:shd w:val="clear" w:color="auto" w:fill="F5EFE4"/>
          </w:tcPr>
          <w:p>
            <w:pPr>
              <w:spacing w:before="40" w:after="40"/>
            </w:pPr>
            <w:r/>
            <w:r>
              <w:rPr>
                <w:b w:val="0"/>
                <w:sz w:val="18"/>
              </w:rPr>
              <w:t>SerpApi</w:t>
            </w:r>
          </w:p>
        </w:tc>
        <w:tc>
          <w:tcPr>
            <w:tcW w:type="dxa" w:w="3024"/>
            <w:shd w:val="clear" w:color="auto" w:fill="F5EFE4"/>
          </w:tcPr>
          <w:p>
            <w:pPr>
              <w:spacing w:before="40" w:after="40"/>
            </w:pPr>
            <w:r/>
            <w:r>
              <w:rPr>
                <w:b w:val="0"/>
                <w:sz w:val="18"/>
              </w:rPr>
              <w:t>Per API call, prepaid tier, USD</w:t>
            </w:r>
          </w:p>
        </w:tc>
      </w:tr>
      <w:tr>
        <w:tc>
          <w:tcPr>
            <w:tcW w:type="dxa" w:w="3312"/>
          </w:tcPr>
          <w:p>
            <w:pPr>
              <w:spacing w:before="40" w:after="40"/>
            </w:pPr>
            <w:r/>
            <w:r>
              <w:rPr>
                <w:b w:val="0"/>
                <w:sz w:val="18"/>
              </w:rPr>
              <w:t>Affiliate monetisation</w:t>
            </w:r>
          </w:p>
        </w:tc>
        <w:tc>
          <w:tcPr>
            <w:tcW w:type="dxa" w:w="3312"/>
          </w:tcPr>
          <w:p>
            <w:pPr>
              <w:spacing w:before="40" w:after="40"/>
            </w:pPr>
            <w:r/>
            <w:r>
              <w:rPr>
                <w:b w:val="0"/>
                <w:sz w:val="18"/>
              </w:rPr>
              <w:t>Cuelinks</w:t>
            </w:r>
          </w:p>
        </w:tc>
        <w:tc>
          <w:tcPr>
            <w:tcW w:type="dxa" w:w="3024"/>
          </w:tcPr>
          <w:p>
            <w:pPr>
              <w:spacing w:before="40" w:after="40"/>
            </w:pPr>
            <w:r/>
            <w:r>
              <w:rPr>
                <w:b w:val="0"/>
                <w:sz w:val="18"/>
              </w:rPr>
              <w:t>Revenue share — no fee</w:t>
            </w:r>
          </w:p>
        </w:tc>
      </w:tr>
      <w:tr>
        <w:tc>
          <w:tcPr>
            <w:tcW w:type="dxa" w:w="3312"/>
            <w:shd w:val="clear" w:color="auto" w:fill="F5EFE4"/>
          </w:tcPr>
          <w:p>
            <w:pPr>
              <w:spacing w:before="40" w:after="40"/>
            </w:pPr>
            <w:r/>
            <w:r>
              <w:rPr>
                <w:b w:val="0"/>
                <w:sz w:val="18"/>
              </w:rPr>
              <w:t>Admin panel</w:t>
            </w:r>
          </w:p>
        </w:tc>
        <w:tc>
          <w:tcPr>
            <w:tcW w:type="dxa" w:w="3312"/>
            <w:shd w:val="clear" w:color="auto" w:fill="F5EFE4"/>
          </w:tcPr>
          <w:p>
            <w:pPr>
              <w:spacing w:before="40" w:after="40"/>
            </w:pPr>
            <w:r/>
            <w:r>
              <w:rPr>
                <w:b w:val="0"/>
                <w:sz w:val="18"/>
              </w:rPr>
              <w:t>Static build served from the VPS</w:t>
            </w:r>
          </w:p>
        </w:tc>
        <w:tc>
          <w:tcPr>
            <w:tcW w:type="dxa" w:w="3024"/>
            <w:shd w:val="clear" w:color="auto" w:fill="F5EFE4"/>
          </w:tcPr>
          <w:p>
            <w:pPr>
              <w:spacing w:before="40" w:after="40"/>
            </w:pPr>
            <w:r/>
            <w:r>
              <w:rPr>
                <w:b w:val="0"/>
                <w:sz w:val="18"/>
              </w:rPr>
              <w:t>No separate charge</w:t>
            </w:r>
          </w:p>
        </w:tc>
      </w:tr>
    </w:tbl>
    <w:p>
      <w:pPr>
        <w:spacing w:after="80"/>
      </w:pPr>
    </w:p>
    <w:p>
      <w:pPr>
        <w:pStyle w:val="Heading2"/>
        <w:spacing w:before="240" w:after="80"/>
      </w:pPr>
      <w:r>
        <w:rPr>
          <w:color w:val="7B3A8F"/>
          <w:sz w:val="25"/>
        </w:rPr>
        <w:t>2.2 What is in and out of scope</w:t>
      </w:r>
    </w:p>
    <w:tbl>
      <w:tblPr>
        <w:tblStyle w:val="TableGrid"/>
        <w:tblW w:type="auto" w:w="0"/>
        <w:jc w:val="center"/>
        <w:tblLayout w:type="fixed"/>
        <w:tblLook w:firstColumn="1" w:firstRow="1" w:lastColumn="0" w:lastRow="0" w:noHBand="0" w:noVBand="1" w:val="04A0"/>
      </w:tblPr>
      <w:tblGrid>
        <w:gridCol w:w="4968"/>
        <w:gridCol w:w="4968"/>
      </w:tblGrid>
      <w:tr>
        <w:tc>
          <w:tcPr>
            <w:tcW w:type="dxa" w:w="4896"/>
            <w:shd w:val="clear" w:color="auto" w:fill="3F0E4C"/>
          </w:tcPr>
          <w:p>
            <w:pPr>
              <w:spacing w:before="40" w:after="40"/>
            </w:pPr>
            <w:r/>
            <w:r>
              <w:rPr>
                <w:b/>
                <w:color w:val="FFFFFF"/>
                <w:sz w:val="18"/>
              </w:rPr>
              <w:t>In scope</w:t>
            </w:r>
          </w:p>
        </w:tc>
        <w:tc>
          <w:tcPr>
            <w:tcW w:type="dxa" w:w="4752"/>
            <w:shd w:val="clear" w:color="auto" w:fill="3F0E4C"/>
          </w:tcPr>
          <w:p>
            <w:pPr>
              <w:spacing w:before="40" w:after="40"/>
            </w:pPr>
            <w:r/>
            <w:r>
              <w:rPr>
                <w:b/>
                <w:color w:val="FFFFFF"/>
                <w:sz w:val="18"/>
              </w:rPr>
              <w:t>Out of scope</w:t>
            </w:r>
          </w:p>
        </w:tc>
      </w:tr>
      <w:tr>
        <w:tc>
          <w:tcPr>
            <w:tcW w:type="dxa" w:w="4896"/>
          </w:tcPr>
          <w:p>
            <w:pPr>
              <w:spacing w:before="40" w:after="40"/>
            </w:pPr>
            <w:r/>
            <w:r>
              <w:rPr>
                <w:b w:val="0"/>
                <w:sz w:val="18"/>
              </w:rPr>
              <w:t>VPS hosting, backups and bandwidth</w:t>
            </w:r>
          </w:p>
        </w:tc>
        <w:tc>
          <w:tcPr>
            <w:tcW w:type="dxa" w:w="4752"/>
          </w:tcPr>
          <w:p>
            <w:pPr>
              <w:spacing w:before="40" w:after="40"/>
            </w:pPr>
            <w:r/>
            <w:r>
              <w:rPr>
                <w:b w:val="0"/>
                <w:sz w:val="18"/>
              </w:rPr>
              <w:t>Engineering, design and QA salaries</w:t>
            </w:r>
          </w:p>
        </w:tc>
      </w:tr>
      <w:tr>
        <w:tc>
          <w:tcPr>
            <w:tcW w:type="dxa" w:w="4896"/>
            <w:shd w:val="clear" w:color="auto" w:fill="F5EFE4"/>
          </w:tcPr>
          <w:p>
            <w:pPr>
              <w:spacing w:before="40" w:after="40"/>
            </w:pPr>
            <w:r/>
            <w:r>
              <w:rPr>
                <w:b w:val="0"/>
                <w:sz w:val="18"/>
              </w:rPr>
              <w:t>Managed database and its backups</w:t>
            </w:r>
          </w:p>
        </w:tc>
        <w:tc>
          <w:tcPr>
            <w:tcW w:type="dxa" w:w="4752"/>
            <w:shd w:val="clear" w:color="auto" w:fill="F5EFE4"/>
          </w:tcPr>
          <w:p>
            <w:pPr>
              <w:spacing w:before="40" w:after="40"/>
            </w:pPr>
            <w:r/>
            <w:r>
              <w:rPr>
                <w:b w:val="0"/>
                <w:sz w:val="18"/>
              </w:rPr>
              <w:t>Marketing and user-acquisition spend</w:t>
            </w:r>
          </w:p>
        </w:tc>
      </w:tr>
      <w:tr>
        <w:tc>
          <w:tcPr>
            <w:tcW w:type="dxa" w:w="4896"/>
          </w:tcPr>
          <w:p>
            <w:pPr>
              <w:spacing w:before="40" w:after="40"/>
            </w:pPr>
            <w:r/>
            <w:r>
              <w:rPr>
                <w:b w:val="0"/>
                <w:sz w:val="18"/>
              </w:rPr>
              <w:t>Media storage, transformation and delivery</w:t>
            </w:r>
          </w:p>
        </w:tc>
        <w:tc>
          <w:tcPr>
            <w:tcW w:type="dxa" w:w="4752"/>
          </w:tcPr>
          <w:p>
            <w:pPr>
              <w:spacing w:before="40" w:after="40"/>
            </w:pPr>
            <w:r/>
            <w:r>
              <w:rPr>
                <w:b w:val="0"/>
                <w:sz w:val="18"/>
              </w:rPr>
              <w:t>One-time build and migration effort</w:t>
            </w:r>
          </w:p>
        </w:tc>
      </w:tr>
      <w:tr>
        <w:tc>
          <w:tcPr>
            <w:tcW w:type="dxa" w:w="4896"/>
            <w:shd w:val="clear" w:color="auto" w:fill="F5EFE4"/>
          </w:tcPr>
          <w:p>
            <w:pPr>
              <w:spacing w:before="40" w:after="40"/>
            </w:pPr>
            <w:r/>
            <w:r>
              <w:rPr>
                <w:b w:val="0"/>
                <w:sz w:val="18"/>
              </w:rPr>
              <w:t>Third-party data and monetisation APIs</w:t>
            </w:r>
          </w:p>
        </w:tc>
        <w:tc>
          <w:tcPr>
            <w:tcW w:type="dxa" w:w="4752"/>
            <w:shd w:val="clear" w:color="auto" w:fill="F5EFE4"/>
          </w:tcPr>
          <w:p>
            <w:pPr>
              <w:spacing w:before="40" w:after="40"/>
            </w:pPr>
            <w:r/>
            <w:r>
              <w:rPr>
                <w:b w:val="0"/>
                <w:sz w:val="18"/>
              </w:rPr>
              <w:t>GST, TDS and equalisation levy</w:t>
            </w:r>
          </w:p>
        </w:tc>
      </w:tr>
      <w:tr>
        <w:tc>
          <w:tcPr>
            <w:tcW w:type="dxa" w:w="4896"/>
          </w:tcPr>
          <w:p>
            <w:pPr>
              <w:spacing w:before="40" w:after="40"/>
            </w:pPr>
            <w:r/>
            <w:r>
              <w:rPr>
                <w:b w:val="0"/>
                <w:sz w:val="18"/>
              </w:rPr>
              <w:t>Email, SMS and push delivery</w:t>
            </w:r>
          </w:p>
        </w:tc>
        <w:tc>
          <w:tcPr>
            <w:tcW w:type="dxa" w:w="4752"/>
          </w:tcPr>
          <w:p>
            <w:pPr>
              <w:spacing w:before="40" w:after="40"/>
            </w:pPr>
            <w:r/>
            <w:r>
              <w:rPr>
                <w:b w:val="0"/>
                <w:sz w:val="18"/>
              </w:rPr>
              <w:t>Office, hardware and general overheads</w:t>
            </w:r>
          </w:p>
        </w:tc>
      </w:tr>
      <w:tr>
        <w:tc>
          <w:tcPr>
            <w:tcW w:type="dxa" w:w="4896"/>
            <w:shd w:val="clear" w:color="auto" w:fill="F5EFE4"/>
          </w:tcPr>
          <w:p>
            <w:pPr>
              <w:spacing w:before="40" w:after="40"/>
            </w:pPr>
            <w:r/>
            <w:r>
              <w:rPr>
                <w:b w:val="0"/>
                <w:sz w:val="18"/>
              </w:rPr>
              <w:t>Monitoring and error tracking</w:t>
            </w:r>
          </w:p>
        </w:tc>
        <w:tc>
          <w:tcPr>
            <w:tcW w:type="dxa" w:w="4752"/>
            <w:shd w:val="clear" w:color="auto" w:fill="F5EFE4"/>
          </w:tcPr>
          <w:p>
            <w:pPr>
              <w:spacing w:before="40" w:after="40"/>
            </w:pPr>
            <w:r/>
            <w:r>
              <w:rPr>
                <w:b w:val="0"/>
                <w:sz w:val="18"/>
              </w:rPr>
              <w:t>Legal, audit and company-secretarial retainers</w:t>
            </w:r>
          </w:p>
        </w:tc>
      </w:tr>
      <w:tr>
        <w:tc>
          <w:tcPr>
            <w:tcW w:type="dxa" w:w="4896"/>
          </w:tcPr>
          <w:p>
            <w:pPr>
              <w:spacing w:before="40" w:after="40"/>
            </w:pPr>
            <w:r/>
            <w:r>
              <w:rPr>
                <w:b w:val="0"/>
                <w:sz w:val="18"/>
              </w:rPr>
              <w:t>App-store and domain fees</w:t>
            </w:r>
          </w:p>
        </w:tc>
        <w:tc>
          <w:tcPr>
            <w:tcW w:type="dxa" w:w="4752"/>
          </w:tcPr>
          <w:p>
            <w:pPr>
              <w:spacing w:before="40" w:after="40"/>
            </w:pPr>
            <w:r/>
            <w:r>
              <w:rPr>
                <w:b w:val="0"/>
                <w:sz w:val="18"/>
              </w:rPr>
              <w:t>Customer-support headcount and helpdesk tooling</w:t>
            </w:r>
          </w:p>
        </w:tc>
      </w:tr>
      <w:tr>
        <w:tc>
          <w:tcPr>
            <w:tcW w:type="dxa" w:w="4896"/>
            <w:shd w:val="clear" w:color="auto" w:fill="F5EFE4"/>
          </w:tcPr>
          <w:p>
            <w:pPr>
              <w:spacing w:before="40" w:after="40"/>
            </w:pPr>
            <w:r/>
            <w:r>
              <w:rPr>
                <w:b w:val="0"/>
                <w:sz w:val="18"/>
              </w:rPr>
              <w:t>Design and CI tooling the delivery process needs</w:t>
            </w:r>
          </w:p>
        </w:tc>
        <w:tc>
          <w:tcPr>
            <w:tcW w:type="dxa" w:w="4752"/>
            <w:shd w:val="clear" w:color="auto" w:fill="F5EFE4"/>
          </w:tcPr>
          <w:p>
            <w:pPr>
              <w:spacing w:before="40" w:after="40"/>
            </w:pPr>
            <w:r/>
            <w:r>
              <w:rPr>
                <w:b w:val="0"/>
                <w:sz w:val="18"/>
              </w:rPr>
              <w:t>Disaster-recovery infrastructure (see §12)</w:t>
            </w:r>
          </w:p>
        </w:tc>
      </w:tr>
    </w:tbl>
    <w:p>
      <w:pPr>
        <w:spacing w:after="80"/>
      </w:pPr>
    </w:p>
    <w:p>
      <w:pPr>
        <w:pStyle w:val="Heading2"/>
        <w:spacing w:before="240" w:after="80"/>
      </w:pPr>
      <w:r>
        <w:rPr>
          <w:color w:val="7B3A8F"/>
          <w:sz w:val="25"/>
        </w:rPr>
        <w:t>2.3 Method</w:t>
      </w:r>
    </w:p>
    <w:p>
      <w:pPr>
        <w:spacing w:after="120"/>
      </w:pPr>
      <w:r>
        <w:rPr>
          <w:b w:val="0"/>
          <w:i w:val="0"/>
          <w:sz w:val="20"/>
        </w:rPr>
        <w:t>Every line below was derived from something concrete in the delivered system — an installed dependency, a configured service driver, or a recorded architectural decision — and then priced against published August 2026 vendor rates. Nothing is included speculatively. Consumption is modelled from three usage scenarios whose assumptions are stated explicitly in §4, so that a different view of user behaviour can be applied without re-reading the document.</w:t>
      </w:r>
    </w:p>
    <w:p>
      <w:pPr>
        <w:spacing w:after="120"/>
      </w:pPr>
      <w:r>
        <w:rPr>
          <w:b w:val="0"/>
          <w:i w:val="0"/>
          <w:sz w:val="20"/>
        </w:rPr>
        <w:t>Where a price could not be confirmed exactly — principally Cloudinary and SerpApi above their published self-service tiers — the document gives a reasoned range and says so, rather than presenting false precision.</w:t>
      </w:r>
    </w:p>
    <w:p>
      <w:pPr>
        <w:pStyle w:val="Heading2"/>
        <w:spacing w:before="240" w:after="80"/>
      </w:pPr>
      <w:r>
        <w:rPr>
          <w:color w:val="7B3A8F"/>
          <w:sz w:val="25"/>
        </w:rPr>
        <w:t>2.4 Reading the tables</w:t>
      </w:r>
    </w:p>
    <w:p>
      <w:pPr>
        <w:pStyle w:val="ListBullet"/>
        <w:spacing w:after="60"/>
      </w:pPr>
      <w:r>
        <w:rPr>
          <w:sz w:val="20"/>
        </w:rPr>
        <w:t>All amounts are per month in Indian Rupees unless the row states otherwise.</w:t>
      </w:r>
    </w:p>
    <w:p>
      <w:pPr>
        <w:pStyle w:val="ListBullet"/>
        <w:spacing w:after="60"/>
      </w:pPr>
      <w:r>
        <w:rPr>
          <w:sz w:val="20"/>
        </w:rPr>
        <w:t>Annual fees are shown at their annual value in §5 and amortised into the monthly totals in §6.</w:t>
      </w:r>
    </w:p>
    <w:p>
      <w:pPr>
        <w:pStyle w:val="ListBullet"/>
        <w:spacing w:after="60"/>
      </w:pPr>
      <w:r>
        <w:rPr>
          <w:sz w:val="20"/>
        </w:rPr>
        <w:t>Vendors that bill in US dollars are converted at ₹95.30 = $1.00, an assumption rather than a forecast. Their USD price is shown alongside where useful.</w:t>
      </w:r>
    </w:p>
    <w:p>
      <w:pPr>
        <w:pStyle w:val="ListBullet"/>
        <w:spacing w:after="60"/>
      </w:pPr>
      <w:r>
        <w:rPr>
          <w:sz w:val="20"/>
        </w:rPr>
        <w:t>“S1 / S2 / S3” refer to the pilot, growth and scale scenarios respectively.</w:t>
      </w:r>
    </w:p>
    <w:p>
      <w:r>
        <w:br w:type="page"/>
      </w:r>
    </w:p>
    <w:p>
      <w:pPr>
        <w:pStyle w:val="Heading1"/>
        <w:spacing w:before="320" w:after="120"/>
      </w:pPr>
      <w:r>
        <w:rPr>
          <w:color w:val="3F0E4C"/>
          <w:sz w:val="32"/>
        </w:rPr>
        <w:t>3. What the System Is Made Of</w:t>
      </w:r>
    </w:p>
    <w:p>
      <w:pPr>
        <w:spacing w:after="120"/>
      </w:pPr>
      <w:r>
        <w:rPr>
          <w:b w:val="0"/>
          <w:i w:val="0"/>
          <w:sz w:val="20"/>
        </w:rPr>
        <w:t>Wishtick is three deployable pieces plus a set of external services. Understanding which piece creates which cost is the basis of the whole estimate.</w:t>
      </w:r>
    </w:p>
    <w:p>
      <w:pPr>
        <w:pStyle w:val="Heading2"/>
        <w:spacing w:before="240" w:after="80"/>
      </w:pPr>
      <w:r>
        <w:rPr>
          <w:color w:val="7B3A8F"/>
          <w:sz w:val="25"/>
        </w:rPr>
        <w:t>3.1 The three components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3F0E4C"/>
          </w:tcPr>
          <w:p>
            <w:pPr>
              <w:spacing w:before="40" w:after="40"/>
            </w:pPr>
            <w:r/>
            <w:r>
              <w:rPr>
                <w:b/>
                <w:color w:val="FFFFFF"/>
                <w:sz w:val="18"/>
              </w:rPr>
              <w:t>Component</w:t>
            </w:r>
          </w:p>
        </w:tc>
        <w:tc>
          <w:tcPr>
            <w:tcW w:type="dxa" w:w="3024"/>
            <w:shd w:val="clear" w:color="auto" w:fill="3F0E4C"/>
          </w:tcPr>
          <w:p>
            <w:pPr>
              <w:spacing w:before="40" w:after="40"/>
            </w:pPr>
            <w:r/>
            <w:r>
              <w:rPr>
                <w:b/>
                <w:color w:val="FFFFFF"/>
                <w:sz w:val="18"/>
              </w:rPr>
              <w:t>Technology</w:t>
            </w:r>
          </w:p>
        </w:tc>
        <w:tc>
          <w:tcPr>
            <w:tcW w:type="dxa" w:w="1800"/>
            <w:shd w:val="clear" w:color="auto" w:fill="3F0E4C"/>
          </w:tcPr>
          <w:p>
            <w:pPr>
              <w:spacing w:before="40" w:after="40"/>
            </w:pPr>
            <w:r/>
            <w:r>
              <w:rPr>
                <w:b/>
                <w:color w:val="FFFFFF"/>
                <w:sz w:val="18"/>
              </w:rPr>
              <w:t>Runs where</w:t>
            </w:r>
          </w:p>
        </w:tc>
        <w:tc>
          <w:tcPr>
            <w:tcW w:type="dxa" w:w="2808"/>
            <w:shd w:val="clear" w:color="auto" w:fill="3F0E4C"/>
          </w:tcPr>
          <w:p>
            <w:pPr>
              <w:spacing w:before="40" w:after="40"/>
            </w:pPr>
            <w:r/>
            <w:r>
              <w:rPr>
                <w:b/>
                <w:color w:val="FFFFFF"/>
                <w:sz w:val="18"/>
              </w:rPr>
              <w:t>Recurring cost it creates</w:t>
            </w:r>
          </w:p>
        </w:tc>
      </w:tr>
      <w:tr>
        <w:tc>
          <w:tcPr>
            <w:tcW w:type="dxa" w:w="2016"/>
          </w:tcPr>
          <w:p>
            <w:pPr>
              <w:spacing w:before="40" w:after="40"/>
            </w:pPr>
            <w:r/>
            <w:r>
              <w:rPr>
                <w:b w:val="0"/>
                <w:sz w:val="18"/>
              </w:rPr>
              <w:t>Backend API and workers</w:t>
            </w:r>
          </w:p>
        </w:tc>
        <w:tc>
          <w:tcPr>
            <w:tcW w:type="dxa" w:w="3024"/>
          </w:tcPr>
          <w:p>
            <w:pPr>
              <w:spacing w:before="40" w:after="40"/>
            </w:pPr>
            <w:r/>
            <w:r>
              <w:rPr>
                <w:b w:val="0"/>
                <w:sz w:val="18"/>
              </w:rPr>
              <w:t>NestJS 11 on Node 20, MongoDB, Redis, BullMQ, Socket.IO</w:t>
            </w:r>
          </w:p>
        </w:tc>
        <w:tc>
          <w:tcPr>
            <w:tcW w:type="dxa" w:w="1800"/>
          </w:tcPr>
          <w:p>
            <w:pPr>
              <w:spacing w:before="40" w:after="40"/>
            </w:pPr>
            <w:r/>
            <w:r>
              <w:rPr>
                <w:b w:val="0"/>
                <w:sz w:val="18"/>
              </w:rPr>
              <w:t>Hostinger VPS</w:t>
            </w:r>
          </w:p>
        </w:tc>
        <w:tc>
          <w:tcPr>
            <w:tcW w:type="dxa" w:w="2808"/>
          </w:tcPr>
          <w:p>
            <w:pPr>
              <w:spacing w:before="40" w:after="40"/>
            </w:pPr>
            <w:r/>
            <w:r>
              <w:rPr>
                <w:b w:val="0"/>
                <w:sz w:val="18"/>
              </w:rPr>
              <w:t>VPS, database, media, all vendor API calls</w:t>
            </w:r>
          </w:p>
        </w:tc>
      </w:tr>
      <w:tr>
        <w:tc>
          <w:tcPr>
            <w:tcW w:type="dxa" w:w="2016"/>
            <w:shd w:val="clear" w:color="auto" w:fill="F5EFE4"/>
          </w:tcPr>
          <w:p>
            <w:pPr>
              <w:spacing w:before="40" w:after="40"/>
            </w:pPr>
            <w:r/>
            <w:r>
              <w:rPr>
                <w:b w:val="0"/>
                <w:sz w:val="18"/>
              </w:rPr>
              <w:t>Mobile app</w:t>
            </w:r>
          </w:p>
        </w:tc>
        <w:tc>
          <w:tcPr>
            <w:tcW w:type="dxa" w:w="3024"/>
            <w:shd w:val="clear" w:color="auto" w:fill="F5EFE4"/>
          </w:tcPr>
          <w:p>
            <w:pPr>
              <w:spacing w:before="40" w:after="40"/>
            </w:pPr>
            <w:r/>
            <w:r>
              <w:rPr>
                <w:b w:val="0"/>
                <w:sz w:val="18"/>
              </w:rPr>
              <w:t>Flutter / Dart 3 — Android and iOS</w:t>
            </w:r>
          </w:p>
        </w:tc>
        <w:tc>
          <w:tcPr>
            <w:tcW w:type="dxa" w:w="1800"/>
            <w:shd w:val="clear" w:color="auto" w:fill="F5EFE4"/>
          </w:tcPr>
          <w:p>
            <w:pPr>
              <w:spacing w:before="40" w:after="40"/>
            </w:pPr>
            <w:r/>
            <w:r>
              <w:rPr>
                <w:b w:val="0"/>
                <w:sz w:val="18"/>
              </w:rPr>
              <w:t>User devices</w:t>
            </w:r>
          </w:p>
        </w:tc>
        <w:tc>
          <w:tcPr>
            <w:tcW w:type="dxa" w:w="2808"/>
            <w:shd w:val="clear" w:color="auto" w:fill="F5EFE4"/>
          </w:tcPr>
          <w:p>
            <w:pPr>
              <w:spacing w:before="40" w:after="40"/>
            </w:pPr>
            <w:r/>
            <w:r>
              <w:rPr>
                <w:b w:val="0"/>
                <w:sz w:val="18"/>
              </w:rPr>
              <w:t>App-store fees, push delivery, media pulled from Cloudinary</w:t>
            </w:r>
          </w:p>
        </w:tc>
      </w:tr>
      <w:tr>
        <w:tc>
          <w:tcPr>
            <w:tcW w:type="dxa" w:w="2016"/>
          </w:tcPr>
          <w:p>
            <w:pPr>
              <w:spacing w:before="40" w:after="40"/>
            </w:pPr>
            <w:r/>
            <w:r>
              <w:rPr>
                <w:b w:val="0"/>
                <w:sz w:val="18"/>
              </w:rPr>
              <w:t>Admin web panel</w:t>
            </w:r>
          </w:p>
        </w:tc>
        <w:tc>
          <w:tcPr>
            <w:tcW w:type="dxa" w:w="3024"/>
          </w:tcPr>
          <w:p>
            <w:pPr>
              <w:spacing w:before="40" w:after="40"/>
            </w:pPr>
            <w:r/>
            <w:r>
              <w:rPr>
                <w:b w:val="0"/>
                <w:sz w:val="18"/>
              </w:rPr>
              <w:t>React 19 + Vite static build</w:t>
            </w:r>
          </w:p>
        </w:tc>
        <w:tc>
          <w:tcPr>
            <w:tcW w:type="dxa" w:w="1800"/>
          </w:tcPr>
          <w:p>
            <w:pPr>
              <w:spacing w:before="40" w:after="40"/>
            </w:pPr>
            <w:r/>
            <w:r>
              <w:rPr>
                <w:b w:val="0"/>
                <w:sz w:val="18"/>
              </w:rPr>
              <w:t>Served by Nginx on the VPS</w:t>
            </w:r>
          </w:p>
        </w:tc>
        <w:tc>
          <w:tcPr>
            <w:tcW w:type="dxa" w:w="2808"/>
          </w:tcPr>
          <w:p>
            <w:pPr>
              <w:spacing w:before="40" w:after="40"/>
            </w:pPr>
            <w:r/>
            <w:r>
              <w:rPr>
                <w:b w:val="0"/>
                <w:sz w:val="18"/>
              </w:rPr>
              <w:t>None — static files, no separate hosting</w:t>
            </w:r>
          </w:p>
        </w:tc>
      </w:tr>
    </w:tbl>
    <w:p>
      <w:pPr>
        <w:spacing w:after="80"/>
      </w:pPr>
    </w:p>
    <w:p>
      <w:pPr>
        <w:pStyle w:val="Heading2"/>
        <w:spacing w:before="240" w:after="80"/>
      </w:pPr>
      <w:r>
        <w:rPr>
          <w:color w:val="7B3A8F"/>
          <w:sz w:val="25"/>
        </w:rPr>
        <w:t>3.2 The three workloads that drive server sizing</w:t>
      </w:r>
    </w:p>
    <w:p>
      <w:pPr>
        <w:pStyle w:val="Heading3"/>
        <w:spacing w:before="200" w:after="60"/>
      </w:pPr>
      <w:r>
        <w:rPr>
          <w:color w:val="1E1B3A"/>
          <w:sz w:val="22"/>
        </w:rPr>
        <w:t>Persistent connections and background queues</w:t>
      </w:r>
    </w:p>
    <w:p>
      <w:pPr>
        <w:spacing w:after="120"/>
      </w:pPr>
      <w:r>
        <w:rPr>
          <w:b w:val="0"/>
          <w:i w:val="0"/>
          <w:sz w:val="20"/>
        </w:rPr>
        <w:t>Group-gift chat is delivered over Socket.IO, with Redis carrying the multi-instance fan-out. Redis also backs the BullMQ job queues (notification dispatch, analytics roll-ups, reminder scheduling, reel compilation), the API rate limiter, the analytics cache and the product search cache. It is not an optional cache: the readiness probe checks it, and an unavailable Redis takes the API out of service.</w:t>
      </w:r>
    </w:p>
    <w:p>
      <w:pPr>
        <w:pStyle w:val="Heading3"/>
        <w:spacing w:before="200" w:after="60"/>
      </w:pPr>
      <w:r>
        <w:rPr>
          <w:color w:val="1E1B3A"/>
          <w:sz w:val="22"/>
        </w:rPr>
        <w:t>Video compilation</w:t>
      </w:r>
    </w:p>
    <w:p>
      <w:pPr>
        <w:spacing w:after="120"/>
      </w:pPr>
      <w:r>
        <w:rPr>
          <w:b w:val="0"/>
          <w:i w:val="0"/>
          <w:sz w:val="20"/>
        </w:rPr>
        <w:t>The reels feature compiles user-submitted audio and video using ffmpeg. Worker concurrency is deliberately pinned to one because the work is CPU-bound, and a single compile can run 60 to 120 seconds. This is the most CPU-hungry thing the platform does and the main reason the VPS fleet grows at scale. Server-side caps of 60 seconds of audio and 90 seconds of video, with a 120-second hard timeout on each ffmpeg process, are already enforced and re-verified at submit time.</w:t>
      </w:r>
    </w:p>
    <w:p>
      <w:pPr>
        <w:pStyle w:val="Heading3"/>
        <w:spacing w:before="200" w:after="60"/>
      </w:pPr>
      <w:r>
        <w:rPr>
          <w:color w:val="1E1B3A"/>
          <w:sz w:val="22"/>
        </w:rPr>
        <w:t>Database transactions</w:t>
      </w:r>
    </w:p>
    <w:p>
      <w:pPr>
        <w:spacing w:after="120"/>
      </w:pPr>
      <w:r>
        <w:rPr>
          <w:b w:val="0"/>
          <w:i w:val="0"/>
          <w:sz w:val="20"/>
        </w:rPr>
        <w:t>The gifting and group-gift flows use multi-document transactions, which require a replica set rather than a standalone database. This is why MongoDB Atlas is used rather than a database installed on the VPS: Atlas provides the three-node replica set, automated backups and failover within the cluster price.</w:t>
      </w:r>
    </w:p>
    <w:p>
      <w:pPr>
        <w:pStyle w:val="Heading2"/>
        <w:spacing w:before="240" w:after="80"/>
      </w:pPr>
      <w:r>
        <w:rPr>
          <w:color w:val="7B3A8F"/>
          <w:sz w:val="25"/>
        </w:rPr>
        <w:t>3.3 A cost the system deliberately avoids</w:t>
      </w:r>
    </w:p>
    <w:p>
      <w:pPr>
        <w:spacing w:after="120"/>
      </w:pPr>
      <w:r>
        <w:rPr>
          <w:b w:val="0"/>
          <w:i w:val="0"/>
          <w:sz w:val="20"/>
        </w:rPr>
        <w:t>Product images shown in search and discovery are served directly from the merchant and Google image origins, referenced by URL. They are never uploaded to Cloudinary. This is the single largest reason the media bill is as low as it is — the catalogue is the most image-heavy part of the product, and none of it touches our storage or bandwidth.</w:t>
      </w:r>
    </w:p>
    <w:p>
      <w:pPr>
        <w:spacing w:after="160"/>
        <w:ind w:left="259"/>
      </w:pPr>
      <w:r>
        <w:rPr>
          <w:i/>
          <w:color w:val="6A647E"/>
          <w:sz w:val="17"/>
        </w:rPr>
        <w:t>The trade-off is a dependency on third-party image origins remaining reachable and permitting hotlinking. If that ever changes, product imagery would have to be proxied or cached, which would increase the Cloudinary line substantially. It is worth monitoring but is not a cost today.</w:t>
      </w:r>
    </w:p>
    <w:p>
      <w:r>
        <w:br w:type="page"/>
      </w:r>
    </w:p>
    <w:p>
      <w:pPr>
        <w:pStyle w:val="Heading1"/>
        <w:spacing w:before="320" w:after="120"/>
      </w:pPr>
      <w:r>
        <w:rPr>
          <w:color w:val="3F0E4C"/>
          <w:sz w:val="32"/>
        </w:rPr>
        <w:t>4. Assumptions</w:t>
      </w:r>
    </w:p>
    <w:p>
      <w:pPr>
        <w:spacing w:after="120"/>
      </w:pPr>
      <w:r>
        <w:rPr>
          <w:b w:val="0"/>
          <w:i w:val="0"/>
          <w:sz w:val="20"/>
        </w:rPr>
        <w:t>Every figure in §6 follows from this section. Change a value here and the corresponding line changes proportionally.</w:t>
      </w:r>
    </w:p>
    <w:p>
      <w:pPr>
        <w:pStyle w:val="Heading2"/>
        <w:spacing w:before="240" w:after="80"/>
      </w:pPr>
      <w:r>
        <w:rPr>
          <w:color w:val="7B3A8F"/>
          <w:sz w:val="25"/>
        </w:rPr>
        <w:t>4.1 Scale scenarios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3456"/>
            <w:shd w:val="clear" w:color="auto" w:fill="3F0E4C"/>
          </w:tcPr>
          <w:p>
            <w:pPr>
              <w:spacing w:before="40" w:after="40"/>
            </w:pPr>
            <w:r/>
            <w:r>
              <w:rPr>
                <w:b/>
                <w:color w:val="FFFFFF"/>
                <w:sz w:val="18"/>
              </w:rPr>
              <w:t>Parameter</w:t>
            </w:r>
          </w:p>
        </w:tc>
        <w:tc>
          <w:tcPr>
            <w:tcW w:type="dxa" w:w="2088"/>
            <w:shd w:val="clear" w:color="auto" w:fill="3F0E4C"/>
          </w:tcPr>
          <w:p>
            <w:pPr>
              <w:spacing w:before="40" w:after="40"/>
            </w:pPr>
            <w:r/>
            <w:r>
              <w:rPr>
                <w:b/>
                <w:color w:val="FFFFFF"/>
                <w:sz w:val="18"/>
              </w:rPr>
              <w:t>S1 — Pilot</w:t>
            </w:r>
          </w:p>
        </w:tc>
        <w:tc>
          <w:tcPr>
            <w:tcW w:type="dxa" w:w="2088"/>
            <w:shd w:val="clear" w:color="auto" w:fill="3F0E4C"/>
          </w:tcPr>
          <w:p>
            <w:pPr>
              <w:spacing w:before="40" w:after="40"/>
            </w:pPr>
            <w:r/>
            <w:r>
              <w:rPr>
                <w:b/>
                <w:color w:val="FFFFFF"/>
                <w:sz w:val="18"/>
              </w:rPr>
              <w:t>S2 — Growth</w:t>
            </w:r>
          </w:p>
        </w:tc>
        <w:tc>
          <w:tcPr>
            <w:tcW w:type="dxa" w:w="2088"/>
            <w:shd w:val="clear" w:color="auto" w:fill="3F0E4C"/>
          </w:tcPr>
          <w:p>
            <w:pPr>
              <w:spacing w:before="40" w:after="40"/>
            </w:pPr>
            <w:r/>
            <w:r>
              <w:rPr>
                <w:b/>
                <w:color w:val="FFFFFF"/>
                <w:sz w:val="18"/>
              </w:rPr>
              <w:t>S3 — Scale</w:t>
            </w:r>
          </w:p>
        </w:tc>
      </w:tr>
      <w:tr>
        <w:tc>
          <w:tcPr>
            <w:tcW w:type="dxa" w:w="3456"/>
          </w:tcPr>
          <w:p>
            <w:pPr>
              <w:spacing w:before="40" w:after="40"/>
            </w:pPr>
            <w:r/>
            <w:r>
              <w:rPr>
                <w:b w:val="0"/>
                <w:sz w:val="18"/>
              </w:rPr>
              <w:t>Monthly active users</w:t>
            </w:r>
          </w:p>
        </w:tc>
        <w:tc>
          <w:tcPr>
            <w:tcW w:type="dxa" w:w="2088"/>
          </w:tcPr>
          <w:p>
            <w:pPr>
              <w:spacing w:before="40" w:after="40"/>
              <w:jc w:val="right"/>
            </w:pPr>
            <w:r/>
            <w:r>
              <w:rPr>
                <w:b w:val="0"/>
                <w:sz w:val="18"/>
              </w:rPr>
              <w:t>1,000</w:t>
            </w:r>
          </w:p>
        </w:tc>
        <w:tc>
          <w:tcPr>
            <w:tcW w:type="dxa" w:w="2088"/>
          </w:tcPr>
          <w:p>
            <w:pPr>
              <w:spacing w:before="40" w:after="40"/>
              <w:jc w:val="right"/>
            </w:pPr>
            <w:r/>
            <w:r>
              <w:rPr>
                <w:b w:val="0"/>
                <w:sz w:val="18"/>
              </w:rPr>
              <w:t>10,000</w:t>
            </w:r>
          </w:p>
        </w:tc>
        <w:tc>
          <w:tcPr>
            <w:tcW w:type="dxa" w:w="2088"/>
          </w:tcPr>
          <w:p>
            <w:pPr>
              <w:spacing w:before="40" w:after="40"/>
              <w:jc w:val="right"/>
            </w:pPr>
            <w:r/>
            <w:r>
              <w:rPr>
                <w:b w:val="0"/>
                <w:sz w:val="18"/>
              </w:rPr>
              <w:t>50,000</w:t>
            </w:r>
          </w:p>
        </w:tc>
      </w:tr>
      <w:tr>
        <w:tc>
          <w:tcPr>
            <w:tcW w:type="dxa" w:w="3456"/>
            <w:shd w:val="clear" w:color="auto" w:fill="F5EFE4"/>
          </w:tcPr>
          <w:p>
            <w:pPr>
              <w:spacing w:before="40" w:after="40"/>
            </w:pPr>
            <w:r/>
            <w:r>
              <w:rPr>
                <w:b w:val="0"/>
                <w:sz w:val="18"/>
              </w:rPr>
              <w:t>Daily active users (~30%)</w:t>
            </w:r>
          </w:p>
        </w:tc>
        <w:tc>
          <w:tcPr>
            <w:tcW w:type="dxa" w:w="2088"/>
            <w:shd w:val="clear" w:color="auto" w:fill="F5EFE4"/>
          </w:tcPr>
          <w:p>
            <w:pPr>
              <w:spacing w:before="40" w:after="40"/>
              <w:jc w:val="right"/>
            </w:pPr>
            <w:r/>
            <w:r>
              <w:rPr>
                <w:b w:val="0"/>
                <w:sz w:val="18"/>
              </w:rPr>
              <w:t>300</w:t>
            </w:r>
          </w:p>
        </w:tc>
        <w:tc>
          <w:tcPr>
            <w:tcW w:type="dxa" w:w="2088"/>
            <w:shd w:val="clear" w:color="auto" w:fill="F5EFE4"/>
          </w:tcPr>
          <w:p>
            <w:pPr>
              <w:spacing w:before="40" w:after="40"/>
              <w:jc w:val="right"/>
            </w:pPr>
            <w:r/>
            <w:r>
              <w:rPr>
                <w:b w:val="0"/>
                <w:sz w:val="18"/>
              </w:rPr>
              <w:t>3,000</w:t>
            </w:r>
          </w:p>
        </w:tc>
        <w:tc>
          <w:tcPr>
            <w:tcW w:type="dxa" w:w="2088"/>
            <w:shd w:val="clear" w:color="auto" w:fill="F5EFE4"/>
          </w:tcPr>
          <w:p>
            <w:pPr>
              <w:spacing w:before="40" w:after="40"/>
              <w:jc w:val="right"/>
            </w:pPr>
            <w:r/>
            <w:r>
              <w:rPr>
                <w:b w:val="0"/>
                <w:sz w:val="18"/>
              </w:rPr>
              <w:t>15,000</w:t>
            </w:r>
          </w:p>
        </w:tc>
      </w:tr>
      <w:tr>
        <w:tc>
          <w:tcPr>
            <w:tcW w:type="dxa" w:w="3456"/>
          </w:tcPr>
          <w:p>
            <w:pPr>
              <w:spacing w:before="40" w:after="40"/>
            </w:pPr>
            <w:r/>
            <w:r>
              <w:rPr>
                <w:b w:val="0"/>
                <w:sz w:val="18"/>
              </w:rPr>
              <w:t>New sign-ups per month</w:t>
            </w:r>
          </w:p>
        </w:tc>
        <w:tc>
          <w:tcPr>
            <w:tcW w:type="dxa" w:w="2088"/>
          </w:tcPr>
          <w:p>
            <w:pPr>
              <w:spacing w:before="40" w:after="40"/>
              <w:jc w:val="right"/>
            </w:pPr>
            <w:r/>
            <w:r>
              <w:rPr>
                <w:b w:val="0"/>
                <w:sz w:val="18"/>
              </w:rPr>
              <w:t>700</w:t>
            </w:r>
          </w:p>
        </w:tc>
        <w:tc>
          <w:tcPr>
            <w:tcW w:type="dxa" w:w="2088"/>
          </w:tcPr>
          <w:p>
            <w:pPr>
              <w:spacing w:before="40" w:after="40"/>
              <w:jc w:val="right"/>
            </w:pPr>
            <w:r/>
            <w:r>
              <w:rPr>
                <w:b w:val="0"/>
                <w:sz w:val="18"/>
              </w:rPr>
              <w:t>5,000</w:t>
            </w:r>
          </w:p>
        </w:tc>
        <w:tc>
          <w:tcPr>
            <w:tcW w:type="dxa" w:w="2088"/>
          </w:tcPr>
          <w:p>
            <w:pPr>
              <w:spacing w:before="40" w:after="40"/>
              <w:jc w:val="right"/>
            </w:pPr>
            <w:r/>
            <w:r>
              <w:rPr>
                <w:b w:val="0"/>
                <w:sz w:val="18"/>
              </w:rPr>
              <w:t>20,000</w:t>
            </w:r>
          </w:p>
        </w:tc>
      </w:tr>
      <w:tr>
        <w:tc>
          <w:tcPr>
            <w:tcW w:type="dxa" w:w="3456"/>
            <w:shd w:val="clear" w:color="auto" w:fill="F5EFE4"/>
          </w:tcPr>
          <w:p>
            <w:pPr>
              <w:spacing w:before="40" w:after="40"/>
            </w:pPr>
            <w:r/>
            <w:r>
              <w:rPr>
                <w:b w:val="0"/>
                <w:sz w:val="18"/>
              </w:rPr>
              <w:t>Peak concurrent users</w:t>
            </w:r>
          </w:p>
        </w:tc>
        <w:tc>
          <w:tcPr>
            <w:tcW w:type="dxa" w:w="2088"/>
            <w:shd w:val="clear" w:color="auto" w:fill="F5EFE4"/>
          </w:tcPr>
          <w:p>
            <w:pPr>
              <w:spacing w:before="40" w:after="40"/>
              <w:jc w:val="right"/>
            </w:pPr>
            <w:r/>
            <w:r>
              <w:rPr>
                <w:b w:val="0"/>
                <w:sz w:val="18"/>
              </w:rPr>
              <w:t>~30</w:t>
            </w:r>
          </w:p>
        </w:tc>
        <w:tc>
          <w:tcPr>
            <w:tcW w:type="dxa" w:w="2088"/>
            <w:shd w:val="clear" w:color="auto" w:fill="F5EFE4"/>
          </w:tcPr>
          <w:p>
            <w:pPr>
              <w:spacing w:before="40" w:after="40"/>
              <w:jc w:val="right"/>
            </w:pPr>
            <w:r/>
            <w:r>
              <w:rPr>
                <w:b w:val="0"/>
                <w:sz w:val="18"/>
              </w:rPr>
              <w:t>~300</w:t>
            </w:r>
          </w:p>
        </w:tc>
        <w:tc>
          <w:tcPr>
            <w:tcW w:type="dxa" w:w="2088"/>
            <w:shd w:val="clear" w:color="auto" w:fill="F5EFE4"/>
          </w:tcPr>
          <w:p>
            <w:pPr>
              <w:spacing w:before="40" w:after="40"/>
              <w:jc w:val="right"/>
            </w:pPr>
            <w:r/>
            <w:r>
              <w:rPr>
                <w:b w:val="0"/>
                <w:sz w:val="18"/>
              </w:rPr>
              <w:t>~1,500</w:t>
            </w:r>
          </w:p>
        </w:tc>
      </w:tr>
      <w:tr>
        <w:tc>
          <w:tcPr>
            <w:tcW w:type="dxa" w:w="3456"/>
          </w:tcPr>
          <w:p>
            <w:pPr>
              <w:spacing w:before="40" w:after="40"/>
            </w:pPr>
            <w:r/>
            <w:r>
              <w:rPr>
                <w:b w:val="0"/>
                <w:sz w:val="18"/>
              </w:rPr>
              <w:t>API requests per month</w:t>
            </w:r>
          </w:p>
        </w:tc>
        <w:tc>
          <w:tcPr>
            <w:tcW w:type="dxa" w:w="2088"/>
          </w:tcPr>
          <w:p>
            <w:pPr>
              <w:spacing w:before="40" w:after="40"/>
              <w:jc w:val="right"/>
            </w:pPr>
            <w:r/>
            <w:r>
              <w:rPr>
                <w:b w:val="0"/>
                <w:sz w:val="18"/>
              </w:rPr>
              <w:t>~2 million</w:t>
            </w:r>
          </w:p>
        </w:tc>
        <w:tc>
          <w:tcPr>
            <w:tcW w:type="dxa" w:w="2088"/>
          </w:tcPr>
          <w:p>
            <w:pPr>
              <w:spacing w:before="40" w:after="40"/>
              <w:jc w:val="right"/>
            </w:pPr>
            <w:r/>
            <w:r>
              <w:rPr>
                <w:b w:val="0"/>
                <w:sz w:val="18"/>
              </w:rPr>
              <w:t>~25 million</w:t>
            </w:r>
          </w:p>
        </w:tc>
        <w:tc>
          <w:tcPr>
            <w:tcW w:type="dxa" w:w="2088"/>
          </w:tcPr>
          <w:p>
            <w:pPr>
              <w:spacing w:before="40" w:after="40"/>
              <w:jc w:val="right"/>
            </w:pPr>
            <w:r/>
            <w:r>
              <w:rPr>
                <w:b w:val="0"/>
                <w:sz w:val="18"/>
              </w:rPr>
              <w:t>~140 million</w:t>
            </w:r>
          </w:p>
        </w:tc>
      </w:tr>
      <w:tr>
        <w:tc>
          <w:tcPr>
            <w:tcW w:type="dxa" w:w="3456"/>
            <w:shd w:val="clear" w:color="auto" w:fill="F5EFE4"/>
          </w:tcPr>
          <w:p>
            <w:pPr>
              <w:spacing w:before="40" w:after="40"/>
            </w:pPr>
            <w:r/>
            <w:r>
              <w:rPr>
                <w:b w:val="0"/>
                <w:sz w:val="18"/>
              </w:rPr>
              <w:t>Reel compiles per month</w:t>
            </w:r>
          </w:p>
        </w:tc>
        <w:tc>
          <w:tcPr>
            <w:tcW w:type="dxa" w:w="2088"/>
            <w:shd w:val="clear" w:color="auto" w:fill="F5EFE4"/>
          </w:tcPr>
          <w:p>
            <w:pPr>
              <w:spacing w:before="40" w:after="40"/>
              <w:jc w:val="right"/>
            </w:pPr>
            <w:r/>
            <w:r>
              <w:rPr>
                <w:b w:val="0"/>
                <w:sz w:val="18"/>
              </w:rPr>
              <w:t>150</w:t>
            </w:r>
          </w:p>
        </w:tc>
        <w:tc>
          <w:tcPr>
            <w:tcW w:type="dxa" w:w="2088"/>
            <w:shd w:val="clear" w:color="auto" w:fill="F5EFE4"/>
          </w:tcPr>
          <w:p>
            <w:pPr>
              <w:spacing w:before="40" w:after="40"/>
              <w:jc w:val="right"/>
            </w:pPr>
            <w:r/>
            <w:r>
              <w:rPr>
                <w:b w:val="0"/>
                <w:sz w:val="18"/>
              </w:rPr>
              <w:t>1,500</w:t>
            </w:r>
          </w:p>
        </w:tc>
        <w:tc>
          <w:tcPr>
            <w:tcW w:type="dxa" w:w="2088"/>
            <w:shd w:val="clear" w:color="auto" w:fill="F5EFE4"/>
          </w:tcPr>
          <w:p>
            <w:pPr>
              <w:spacing w:before="40" w:after="40"/>
              <w:jc w:val="right"/>
            </w:pPr>
            <w:r/>
            <w:r>
              <w:rPr>
                <w:b w:val="0"/>
                <w:sz w:val="18"/>
              </w:rPr>
              <w:t>7,000</w:t>
            </w:r>
          </w:p>
        </w:tc>
      </w:tr>
    </w:tbl>
    <w:p>
      <w:pPr>
        <w:spacing w:after="80"/>
      </w:pPr>
    </w:p>
    <w:p>
      <w:pPr>
        <w:pStyle w:val="Heading2"/>
        <w:spacing w:before="240" w:after="80"/>
      </w:pPr>
      <w:r>
        <w:rPr>
          <w:color w:val="7B3A8F"/>
          <w:sz w:val="25"/>
        </w:rPr>
        <w:t>4.2 Per-user behavioural assumptions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4320"/>
            <w:shd w:val="clear" w:color="auto" w:fill="3F0E4C"/>
          </w:tcPr>
          <w:p>
            <w:pPr>
              <w:spacing w:before="40" w:after="40"/>
            </w:pPr>
            <w:r/>
            <w:r>
              <w:rPr>
                <w:b/>
                <w:color w:val="FFFFFF"/>
                <w:sz w:val="18"/>
              </w:rPr>
              <w:t>Assumption</w:t>
            </w:r>
          </w:p>
        </w:tc>
        <w:tc>
          <w:tcPr>
            <w:tcW w:type="dxa" w:w="2880"/>
            <w:shd w:val="clear" w:color="auto" w:fill="3F0E4C"/>
          </w:tcPr>
          <w:p>
            <w:pPr>
              <w:spacing w:before="40" w:after="40"/>
            </w:pPr>
            <w:r/>
            <w:r>
              <w:rPr>
                <w:b/>
                <w:color w:val="FFFFFF"/>
                <w:sz w:val="18"/>
              </w:rPr>
              <w:t>Value</w:t>
            </w:r>
          </w:p>
        </w:tc>
        <w:tc>
          <w:tcPr>
            <w:tcW w:type="dxa" w:w="2520"/>
            <w:shd w:val="clear" w:color="auto" w:fill="3F0E4C"/>
          </w:tcPr>
          <w:p>
            <w:pPr>
              <w:spacing w:before="40" w:after="40"/>
            </w:pPr>
            <w:r/>
            <w:r>
              <w:rPr>
                <w:b/>
                <w:color w:val="FFFFFF"/>
                <w:sz w:val="18"/>
              </w:rPr>
              <w:t>Drives</w:t>
            </w:r>
          </w:p>
        </w:tc>
      </w:tr>
      <w:tr>
        <w:tc>
          <w:tcPr>
            <w:tcW w:type="dxa" w:w="4320"/>
          </w:tcPr>
          <w:p>
            <w:pPr>
              <w:spacing w:before="40" w:after="40"/>
            </w:pPr>
            <w:r/>
            <w:r>
              <w:rPr>
                <w:b w:val="0"/>
                <w:sz w:val="18"/>
              </w:rPr>
              <w:t>Product searches per user per month</w:t>
            </w:r>
          </w:p>
        </w:tc>
        <w:tc>
          <w:tcPr>
            <w:tcW w:type="dxa" w:w="2880"/>
          </w:tcPr>
          <w:p>
            <w:pPr>
              <w:spacing w:before="40" w:after="40"/>
            </w:pPr>
            <w:r/>
            <w:r>
              <w:rPr>
                <w:b w:val="0"/>
                <w:sz w:val="18"/>
              </w:rPr>
              <w:t>8</w:t>
            </w:r>
          </w:p>
        </w:tc>
        <w:tc>
          <w:tcPr>
            <w:tcW w:type="dxa" w:w="2520"/>
          </w:tcPr>
          <w:p>
            <w:pPr>
              <w:spacing w:before="40" w:after="40"/>
            </w:pPr>
            <w:r/>
            <w:r>
              <w:rPr>
                <w:b w:val="0"/>
                <w:sz w:val="18"/>
              </w:rPr>
              <w:t>SerpApi search calls</w:t>
            </w:r>
          </w:p>
        </w:tc>
      </w:tr>
      <w:tr>
        <w:tc>
          <w:tcPr>
            <w:tcW w:type="dxa" w:w="4320"/>
            <w:shd w:val="clear" w:color="auto" w:fill="F5EFE4"/>
          </w:tcPr>
          <w:p>
            <w:pPr>
              <w:spacing w:before="40" w:after="40"/>
            </w:pPr>
            <w:r/>
            <w:r>
              <w:rPr>
                <w:b w:val="0"/>
                <w:sz w:val="18"/>
              </w:rPr>
              <w:t>Search cache hit rate</w:t>
            </w:r>
          </w:p>
        </w:tc>
        <w:tc>
          <w:tcPr>
            <w:tcW w:type="dxa" w:w="2880"/>
            <w:shd w:val="clear" w:color="auto" w:fill="F5EFE4"/>
          </w:tcPr>
          <w:p>
            <w:pPr>
              <w:spacing w:before="40" w:after="40"/>
            </w:pPr>
            <w:r/>
            <w:r>
              <w:rPr>
                <w:b w:val="0"/>
                <w:sz w:val="18"/>
              </w:rPr>
              <w:t>50% at S1, 60% at S2, 70% at S3</w:t>
            </w:r>
          </w:p>
        </w:tc>
        <w:tc>
          <w:tcPr>
            <w:tcW w:type="dxa" w:w="2520"/>
            <w:shd w:val="clear" w:color="auto" w:fill="F5EFE4"/>
          </w:tcPr>
          <w:p>
            <w:pPr>
              <w:spacing w:before="40" w:after="40"/>
            </w:pPr>
            <w:r/>
            <w:r>
              <w:rPr>
                <w:b w:val="0"/>
                <w:sz w:val="18"/>
              </w:rPr>
              <w:t>SerpApi search calls</w:t>
            </w:r>
          </w:p>
        </w:tc>
      </w:tr>
      <w:tr>
        <w:tc>
          <w:tcPr>
            <w:tcW w:type="dxa" w:w="4320"/>
          </w:tcPr>
          <w:p>
            <w:pPr>
              <w:spacing w:before="40" w:after="40"/>
            </w:pPr>
            <w:r/>
            <w:r>
              <w:rPr>
                <w:b w:val="0"/>
                <w:sz w:val="18"/>
              </w:rPr>
              <w:t>Outbound merchant clicks per user per month</w:t>
            </w:r>
          </w:p>
        </w:tc>
        <w:tc>
          <w:tcPr>
            <w:tcW w:type="dxa" w:w="2880"/>
          </w:tcPr>
          <w:p>
            <w:pPr>
              <w:spacing w:before="40" w:after="40"/>
            </w:pPr>
            <w:r/>
            <w:r>
              <w:rPr>
                <w:b w:val="0"/>
                <w:sz w:val="18"/>
              </w:rPr>
              <w:t>1.5</w:t>
            </w:r>
          </w:p>
        </w:tc>
        <w:tc>
          <w:tcPr>
            <w:tcW w:type="dxa" w:w="2520"/>
          </w:tcPr>
          <w:p>
            <w:pPr>
              <w:spacing w:before="40" w:after="40"/>
            </w:pPr>
            <w:r/>
            <w:r>
              <w:rPr>
                <w:b w:val="0"/>
                <w:sz w:val="18"/>
              </w:rPr>
              <w:t>SerpApi merchant-URL calls</w:t>
            </w:r>
          </w:p>
        </w:tc>
      </w:tr>
      <w:tr>
        <w:tc>
          <w:tcPr>
            <w:tcW w:type="dxa" w:w="4320"/>
            <w:shd w:val="clear" w:color="auto" w:fill="F5EFE4"/>
          </w:tcPr>
          <w:p>
            <w:pPr>
              <w:spacing w:before="40" w:after="40"/>
            </w:pPr>
            <w:r/>
            <w:r>
              <w:rPr>
                <w:b w:val="0"/>
                <w:sz w:val="18"/>
              </w:rPr>
              <w:t>Overnight affiliate backfill</w:t>
            </w:r>
          </w:p>
        </w:tc>
        <w:tc>
          <w:tcPr>
            <w:tcW w:type="dxa" w:w="2880"/>
            <w:shd w:val="clear" w:color="auto" w:fill="F5EFE4"/>
          </w:tcPr>
          <w:p>
            <w:pPr>
              <w:spacing w:before="40" w:after="40"/>
            </w:pPr>
            <w:r/>
            <w:r>
              <w:rPr>
                <w:b w:val="0"/>
                <w:sz w:val="18"/>
              </w:rPr>
              <w:t>~30% of click volume</w:t>
            </w:r>
          </w:p>
        </w:tc>
        <w:tc>
          <w:tcPr>
            <w:tcW w:type="dxa" w:w="2520"/>
            <w:shd w:val="clear" w:color="auto" w:fill="F5EFE4"/>
          </w:tcPr>
          <w:p>
            <w:pPr>
              <w:spacing w:before="40" w:after="40"/>
            </w:pPr>
            <w:r/>
            <w:r>
              <w:rPr>
                <w:b w:val="0"/>
                <w:sz w:val="18"/>
              </w:rPr>
              <w:t>SerpApi merchant-URL calls</w:t>
            </w:r>
          </w:p>
        </w:tc>
      </w:tr>
      <w:tr>
        <w:tc>
          <w:tcPr>
            <w:tcW w:type="dxa" w:w="4320"/>
          </w:tcPr>
          <w:p>
            <w:pPr>
              <w:spacing w:before="40" w:after="40"/>
            </w:pPr>
            <w:r/>
            <w:r>
              <w:rPr>
                <w:b w:val="0"/>
                <w:sz w:val="18"/>
              </w:rPr>
              <w:t>OTP messages per user per month</w:t>
            </w:r>
          </w:p>
        </w:tc>
        <w:tc>
          <w:tcPr>
            <w:tcW w:type="dxa" w:w="2880"/>
          </w:tcPr>
          <w:p>
            <w:pPr>
              <w:spacing w:before="40" w:after="40"/>
            </w:pPr>
            <w:r/>
            <w:r>
              <w:rPr>
                <w:b w:val="0"/>
                <w:sz w:val="18"/>
              </w:rPr>
              <w:t>~5, blended</w:t>
            </w:r>
          </w:p>
        </w:tc>
        <w:tc>
          <w:tcPr>
            <w:tcW w:type="dxa" w:w="2520"/>
          </w:tcPr>
          <w:p>
            <w:pPr>
              <w:spacing w:before="40" w:after="40"/>
            </w:pPr>
            <w:r/>
            <w:r>
              <w:rPr>
                <w:b w:val="0"/>
                <w:sz w:val="18"/>
              </w:rPr>
              <w:t>SMS spend</w:t>
            </w:r>
          </w:p>
        </w:tc>
      </w:tr>
      <w:tr>
        <w:tc>
          <w:tcPr>
            <w:tcW w:type="dxa" w:w="4320"/>
            <w:shd w:val="clear" w:color="auto" w:fill="F5EFE4"/>
          </w:tcPr>
          <w:p>
            <w:pPr>
              <w:spacing w:before="40" w:after="40"/>
            </w:pPr>
            <w:r/>
            <w:r>
              <w:rPr>
                <w:b w:val="0"/>
                <w:sz w:val="18"/>
              </w:rPr>
              <w:t>Transactional emails per user per month</w:t>
            </w:r>
          </w:p>
        </w:tc>
        <w:tc>
          <w:tcPr>
            <w:tcW w:type="dxa" w:w="2880"/>
            <w:shd w:val="clear" w:color="auto" w:fill="F5EFE4"/>
          </w:tcPr>
          <w:p>
            <w:pPr>
              <w:spacing w:before="40" w:after="40"/>
            </w:pPr>
            <w:r/>
            <w:r>
              <w:rPr>
                <w:b w:val="0"/>
                <w:sz w:val="18"/>
              </w:rPr>
              <w:t>30</w:t>
            </w:r>
          </w:p>
        </w:tc>
        <w:tc>
          <w:tcPr>
            <w:tcW w:type="dxa" w:w="2520"/>
            <w:shd w:val="clear" w:color="auto" w:fill="F5EFE4"/>
          </w:tcPr>
          <w:p>
            <w:pPr>
              <w:spacing w:before="40" w:after="40"/>
            </w:pPr>
            <w:r/>
            <w:r>
              <w:rPr>
                <w:b w:val="0"/>
                <w:sz w:val="18"/>
              </w:rPr>
              <w:t>Email volume</w:t>
            </w:r>
          </w:p>
        </w:tc>
      </w:tr>
      <w:tr>
        <w:tc>
          <w:tcPr>
            <w:tcW w:type="dxa" w:w="4320"/>
          </w:tcPr>
          <w:p>
            <w:pPr>
              <w:spacing w:before="40" w:after="40"/>
            </w:pPr>
            <w:r/>
            <w:r>
              <w:rPr>
                <w:b w:val="0"/>
                <w:sz w:val="18"/>
              </w:rPr>
              <w:t>User media uploaded per user per month</w:t>
            </w:r>
          </w:p>
        </w:tc>
        <w:tc>
          <w:tcPr>
            <w:tcW w:type="dxa" w:w="2880"/>
          </w:tcPr>
          <w:p>
            <w:pPr>
              <w:spacing w:before="40" w:after="40"/>
            </w:pPr>
            <w:r/>
            <w:r>
              <w:rPr>
                <w:b w:val="0"/>
                <w:sz w:val="18"/>
              </w:rPr>
              <w:t>~3 MB</w:t>
            </w:r>
          </w:p>
        </w:tc>
        <w:tc>
          <w:tcPr>
            <w:tcW w:type="dxa" w:w="2520"/>
          </w:tcPr>
          <w:p>
            <w:pPr>
              <w:spacing w:before="40" w:after="40"/>
            </w:pPr>
            <w:r/>
            <w:r>
              <w:rPr>
                <w:b w:val="0"/>
                <w:sz w:val="18"/>
              </w:rPr>
              <w:t>Cloudinary storage</w:t>
            </w:r>
          </w:p>
        </w:tc>
      </w:tr>
      <w:tr>
        <w:tc>
          <w:tcPr>
            <w:tcW w:type="dxa" w:w="4320"/>
            <w:shd w:val="clear" w:color="auto" w:fill="F5EFE4"/>
          </w:tcPr>
          <w:p>
            <w:pPr>
              <w:spacing w:before="40" w:after="40"/>
            </w:pPr>
            <w:r/>
            <w:r>
              <w:rPr>
                <w:b w:val="0"/>
                <w:sz w:val="18"/>
              </w:rPr>
              <w:t>User media delivered per user per month</w:t>
            </w:r>
          </w:p>
        </w:tc>
        <w:tc>
          <w:tcPr>
            <w:tcW w:type="dxa" w:w="2880"/>
            <w:shd w:val="clear" w:color="auto" w:fill="F5EFE4"/>
          </w:tcPr>
          <w:p>
            <w:pPr>
              <w:spacing w:before="40" w:after="40"/>
            </w:pPr>
            <w:r/>
            <w:r>
              <w:rPr>
                <w:b w:val="0"/>
                <w:sz w:val="18"/>
              </w:rPr>
              <w:t>~60 MB</w:t>
            </w:r>
          </w:p>
        </w:tc>
        <w:tc>
          <w:tcPr>
            <w:tcW w:type="dxa" w:w="2520"/>
            <w:shd w:val="clear" w:color="auto" w:fill="F5EFE4"/>
          </w:tcPr>
          <w:p>
            <w:pPr>
              <w:spacing w:before="40" w:after="40"/>
            </w:pPr>
            <w:r/>
            <w:r>
              <w:rPr>
                <w:b w:val="0"/>
                <w:sz w:val="18"/>
              </w:rPr>
              <w:t>Cloudinary bandwidth</w:t>
            </w:r>
          </w:p>
        </w:tc>
      </w:tr>
      <w:tr>
        <w:tc>
          <w:tcPr>
            <w:tcW w:type="dxa" w:w="4320"/>
          </w:tcPr>
          <w:p>
            <w:pPr>
              <w:spacing w:before="40" w:after="40"/>
            </w:pPr>
            <w:r/>
            <w:r>
              <w:rPr>
                <w:b w:val="0"/>
                <w:sz w:val="18"/>
              </w:rPr>
              <w:t>Push notifications per user per month</w:t>
            </w:r>
          </w:p>
        </w:tc>
        <w:tc>
          <w:tcPr>
            <w:tcW w:type="dxa" w:w="2880"/>
          </w:tcPr>
          <w:p>
            <w:pPr>
              <w:spacing w:before="40" w:after="40"/>
            </w:pPr>
            <w:r/>
            <w:r>
              <w:rPr>
                <w:b w:val="0"/>
                <w:sz w:val="18"/>
              </w:rPr>
              <w:t>40</w:t>
            </w:r>
          </w:p>
        </w:tc>
        <w:tc>
          <w:tcPr>
            <w:tcW w:type="dxa" w:w="2520"/>
          </w:tcPr>
          <w:p>
            <w:pPr>
              <w:spacing w:before="40" w:after="40"/>
            </w:pPr>
            <w:r/>
            <w:r>
              <w:rPr>
                <w:b w:val="0"/>
                <w:sz w:val="18"/>
              </w:rPr>
              <w:t>Nil — FCM is free</w:t>
            </w:r>
          </w:p>
        </w:tc>
      </w:tr>
    </w:tbl>
    <w:p>
      <w:pPr>
        <w:spacing w:after="80"/>
      </w:pPr>
    </w:p>
    <w:p>
      <w:pPr>
        <w:spacing w:after="160"/>
        <w:ind w:left="259"/>
      </w:pPr>
      <w:r>
        <w:rPr>
          <w:i/>
          <w:color w:val="6A647E"/>
          <w:sz w:val="17"/>
        </w:rPr>
        <w:t>The media figures are lower than typical for a social product because product imagery is hotlinked from merchant origins rather than hosted (§3.3). Only user-generated content — avatars, memory photos and videos, invitation uploads and compiled reels — passes through Cloudinary.</w:t>
      </w:r>
    </w:p>
    <w:p>
      <w:pPr>
        <w:pStyle w:val="Heading2"/>
        <w:spacing w:before="240" w:after="80"/>
      </w:pPr>
      <w:r>
        <w:rPr>
          <w:color w:val="7B3A8F"/>
          <w:sz w:val="25"/>
        </w:rPr>
        <w:t>4.3 Commercial and technical assumptions</w:t>
      </w:r>
    </w:p>
    <w:p>
      <w:pPr>
        <w:pStyle w:val="ListBullet"/>
        <w:spacing w:after="60"/>
      </w:pPr>
      <w:r>
        <w:rPr>
          <w:sz w:val="20"/>
        </w:rPr>
        <w:t>Exchange rate ₹95.30 = $1.00, stated as an assumption. Roughly 80–90% of this budget is USD-denominated, so rupee weakness raises the bill with no change in usage.</w:t>
      </w:r>
    </w:p>
    <w:p>
      <w:pPr>
        <w:pStyle w:val="ListBullet"/>
        <w:spacing w:after="60"/>
      </w:pPr>
      <w:r>
        <w:rPr>
          <w:sz w:val="20"/>
        </w:rPr>
        <w:t>VPS costs use Hostinger renewal prices, not the two-year promotional rates. Promotional pricing would reduce the VPS line by roughly half during the initial term only, and is not a sustainable basis for a run-rate.</w:t>
      </w:r>
    </w:p>
    <w:p>
      <w:pPr>
        <w:pStyle w:val="ListBullet"/>
        <w:spacing w:after="60"/>
      </w:pPr>
      <w:r>
        <w:rPr>
          <w:sz w:val="20"/>
        </w:rPr>
        <w:t>MongoDB Atlas clusters are provisioned in the Mumbai region for latency. Atlas prices are list prices; the Mumbai region runs marginally above the headline rate.</w:t>
      </w:r>
    </w:p>
    <w:p>
      <w:pPr>
        <w:pStyle w:val="ListBullet"/>
        <w:spacing w:after="60"/>
      </w:pPr>
      <w:r>
        <w:rPr>
          <w:sz w:val="20"/>
        </w:rPr>
        <w:t>Cloudinary usage is modelled in credits, where one credit covers 1 GB of storage, 1 GB of delivered bandwidth, or 1,000 transformations. Video delivery is credited at 2 GB per credit on paid plans.</w:t>
      </w:r>
    </w:p>
    <w:p>
      <w:pPr>
        <w:pStyle w:val="ListBullet"/>
        <w:spacing w:after="60"/>
      </w:pPr>
      <w:r>
        <w:rPr>
          <w:sz w:val="20"/>
        </w:rPr>
        <w:t>Redis, log storage and the admin panel run on the application VPS and carry no separate charge; their cost is the VPS capacity they consume, which is reflected in the plan sizing.</w:t>
      </w:r>
    </w:p>
    <w:p>
      <w:pPr>
        <w:pStyle w:val="ListBullet"/>
        <w:spacing w:after="60"/>
      </w:pPr>
      <w:r>
        <w:rPr>
          <w:sz w:val="20"/>
        </w:rPr>
        <w:t>Staging runs on its own smaller VPS and is assumed always-on for simplicity.</w:t>
      </w:r>
    </w:p>
    <w:p>
      <w:pPr>
        <w:pStyle w:val="ListBullet"/>
        <w:spacing w:after="60"/>
      </w:pPr>
      <w:r>
        <w:rPr>
          <w:sz w:val="20"/>
        </w:rPr>
        <w:t>SerpApi plans are prepaid monthly buckets with no pay-as-you-go option and no roll-over of unused searches, so the tier must be sized for the peak month.</w:t>
      </w:r>
    </w:p>
    <w:p>
      <w:pPr>
        <w:pStyle w:val="ListBullet"/>
        <w:spacing w:after="60"/>
      </w:pPr>
      <w:r>
        <w:rPr>
          <w:sz w:val="20"/>
        </w:rPr>
        <w:t>No promotional credits, free trials or introductory discounts are relied upon anywhere in the estimate.</w:t>
      </w:r>
    </w:p>
    <w:p>
      <w:r>
        <w:br w:type="page"/>
      </w:r>
    </w:p>
    <w:p>
      <w:pPr>
        <w:pStyle w:val="Heading1"/>
        <w:spacing w:before="320" w:after="120"/>
      </w:pPr>
      <w:r>
        <w:rPr>
          <w:color w:val="3F0E4C"/>
          <w:sz w:val="32"/>
        </w:rPr>
        <w:t>5. Cost Categories in Detail</w:t>
      </w:r>
    </w:p>
    <w:p>
      <w:pPr>
        <w:pStyle w:val="Heading2"/>
        <w:spacing w:before="240" w:after="80"/>
      </w:pPr>
      <w:r>
        <w:rPr>
          <w:color w:val="7B3A8F"/>
          <w:sz w:val="25"/>
        </w:rPr>
        <w:t>5.1 Server hosting — Hostinger VPS</w:t>
      </w:r>
    </w:p>
    <w:p>
      <w:pPr>
        <w:spacing w:after="120"/>
      </w:pPr>
      <w:r>
        <w:rPr>
          <w:b w:val="0"/>
          <w:i w:val="0"/>
          <w:sz w:val="20"/>
        </w:rPr>
        <w:t>The backend is a long-running process: it holds Socket.IO connections, database and Redis connection pools, and drains in-flight jobs on shutdown. A VPS suits this shape well and is markedly cheaper than equivalent cloud compute.</w:t>
      </w:r>
    </w:p>
    <w:p>
      <w:pPr>
        <w:spacing w:after="120"/>
      </w:pPr>
      <w:r>
        <w:rPr>
          <w:b w:val="0"/>
          <w:i w:val="0"/>
          <w:sz w:val="20"/>
        </w:rPr>
        <w:t>Hostinger's published plans, with promotional and renewal pricing:</w:t>
      </w:r>
    </w:p>
    <w:tbl>
      <w:tblPr>
        <w:tblStyle w:val="TableGrid"/>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1152"/>
            <w:shd w:val="clear" w:color="auto" w:fill="3F0E4C"/>
          </w:tcPr>
          <w:p>
            <w:pPr>
              <w:spacing w:before="40" w:after="40"/>
            </w:pPr>
            <w:r/>
            <w:r>
              <w:rPr>
                <w:b/>
                <w:color w:val="FFFFFF"/>
                <w:sz w:val="18"/>
              </w:rPr>
              <w:t>Plan</w:t>
            </w:r>
          </w:p>
        </w:tc>
        <w:tc>
          <w:tcPr>
            <w:tcW w:type="dxa" w:w="792"/>
            <w:shd w:val="clear" w:color="auto" w:fill="3F0E4C"/>
          </w:tcPr>
          <w:p>
            <w:pPr>
              <w:spacing w:before="40" w:after="40"/>
            </w:pPr>
            <w:r/>
            <w:r>
              <w:rPr>
                <w:b/>
                <w:color w:val="FFFFFF"/>
                <w:sz w:val="18"/>
              </w:rPr>
              <w:t>vCPU</w:t>
            </w:r>
          </w:p>
        </w:tc>
        <w:tc>
          <w:tcPr>
            <w:tcW w:type="dxa" w:w="1008"/>
            <w:shd w:val="clear" w:color="auto" w:fill="3F0E4C"/>
          </w:tcPr>
          <w:p>
            <w:pPr>
              <w:spacing w:before="40" w:after="40"/>
            </w:pPr>
            <w:r/>
            <w:r>
              <w:rPr>
                <w:b/>
                <w:color w:val="FFFFFF"/>
                <w:sz w:val="18"/>
              </w:rPr>
              <w:t>RAM</w:t>
            </w:r>
          </w:p>
        </w:tc>
        <w:tc>
          <w:tcPr>
            <w:tcW w:type="dxa" w:w="1584"/>
            <w:shd w:val="clear" w:color="auto" w:fill="3F0E4C"/>
          </w:tcPr>
          <w:p>
            <w:pPr>
              <w:spacing w:before="40" w:after="40"/>
            </w:pPr>
            <w:r/>
            <w:r>
              <w:rPr>
                <w:b/>
                <w:color w:val="FFFFFF"/>
                <w:sz w:val="18"/>
              </w:rPr>
              <w:t>NVMe storage</w:t>
            </w:r>
          </w:p>
        </w:tc>
        <w:tc>
          <w:tcPr>
            <w:tcW w:type="dxa" w:w="1368"/>
            <w:shd w:val="clear" w:color="auto" w:fill="3F0E4C"/>
          </w:tcPr>
          <w:p>
            <w:pPr>
              <w:spacing w:before="40" w:after="40"/>
            </w:pPr>
            <w:r/>
            <w:r>
              <w:rPr>
                <w:b/>
                <w:color w:val="FFFFFF"/>
                <w:sz w:val="18"/>
              </w:rPr>
              <w:t>Bandwidth</w:t>
            </w:r>
          </w:p>
        </w:tc>
        <w:tc>
          <w:tcPr>
            <w:tcW w:type="dxa" w:w="1800"/>
            <w:shd w:val="clear" w:color="auto" w:fill="3F0E4C"/>
          </w:tcPr>
          <w:p>
            <w:pPr>
              <w:spacing w:before="40" w:after="40"/>
            </w:pPr>
            <w:r/>
            <w:r>
              <w:rPr>
                <w:b/>
                <w:color w:val="FFFFFF"/>
                <w:sz w:val="18"/>
              </w:rPr>
              <w:t>Promotional</w:t>
            </w:r>
          </w:p>
        </w:tc>
        <w:tc>
          <w:tcPr>
            <w:tcW w:type="dxa" w:w="1800"/>
            <w:shd w:val="clear" w:color="auto" w:fill="3F0E4C"/>
          </w:tcPr>
          <w:p>
            <w:pPr>
              <w:spacing w:before="40" w:after="40"/>
            </w:pPr>
            <w:r/>
            <w:r>
              <w:rPr>
                <w:b/>
                <w:color w:val="FFFFFF"/>
                <w:sz w:val="18"/>
              </w:rPr>
              <w:t>Renewal</w:t>
            </w:r>
          </w:p>
        </w:tc>
      </w:tr>
      <w:tr>
        <w:tc>
          <w:tcPr>
            <w:tcW w:type="dxa" w:w="1152"/>
          </w:tcPr>
          <w:p>
            <w:pPr>
              <w:spacing w:before="40" w:after="40"/>
            </w:pPr>
            <w:r/>
            <w:r>
              <w:rPr>
                <w:b w:val="0"/>
                <w:sz w:val="18"/>
              </w:rPr>
              <w:t>KVM 1</w:t>
            </w:r>
          </w:p>
        </w:tc>
        <w:tc>
          <w:tcPr>
            <w:tcW w:type="dxa" w:w="792"/>
          </w:tcPr>
          <w:p>
            <w:pPr>
              <w:spacing w:before="40" w:after="40"/>
              <w:jc w:val="right"/>
            </w:pPr>
            <w:r/>
            <w:r>
              <w:rPr>
                <w:b w:val="0"/>
                <w:sz w:val="18"/>
              </w:rPr>
              <w:t>1</w:t>
            </w:r>
          </w:p>
        </w:tc>
        <w:tc>
          <w:tcPr>
            <w:tcW w:type="dxa" w:w="1008"/>
          </w:tcPr>
          <w:p>
            <w:pPr>
              <w:spacing w:before="40" w:after="40"/>
              <w:jc w:val="right"/>
            </w:pPr>
            <w:r/>
            <w:r>
              <w:rPr>
                <w:b w:val="0"/>
                <w:sz w:val="18"/>
              </w:rPr>
              <w:t>4 GB</w:t>
            </w:r>
          </w:p>
        </w:tc>
        <w:tc>
          <w:tcPr>
            <w:tcW w:type="dxa" w:w="1584"/>
          </w:tcPr>
          <w:p>
            <w:pPr>
              <w:spacing w:before="40" w:after="40"/>
              <w:jc w:val="right"/>
            </w:pPr>
            <w:r/>
            <w:r>
              <w:rPr>
                <w:b w:val="0"/>
                <w:sz w:val="18"/>
              </w:rPr>
              <w:t>50 GB</w:t>
            </w:r>
          </w:p>
        </w:tc>
        <w:tc>
          <w:tcPr>
            <w:tcW w:type="dxa" w:w="1368"/>
          </w:tcPr>
          <w:p>
            <w:pPr>
              <w:spacing w:before="40" w:after="40"/>
              <w:jc w:val="right"/>
            </w:pPr>
            <w:r/>
            <w:r>
              <w:rPr>
                <w:b w:val="0"/>
                <w:sz w:val="18"/>
              </w:rPr>
              <w:t>4 TB</w:t>
            </w:r>
          </w:p>
        </w:tc>
        <w:tc>
          <w:tcPr>
            <w:tcW w:type="dxa" w:w="1800"/>
          </w:tcPr>
          <w:p>
            <w:pPr>
              <w:spacing w:before="40" w:after="40"/>
              <w:jc w:val="right"/>
            </w:pPr>
            <w:r/>
            <w:r>
              <w:rPr>
                <w:b w:val="0"/>
                <w:sz w:val="18"/>
              </w:rPr>
              <w:t>₹599/mo</w:t>
            </w:r>
          </w:p>
        </w:tc>
        <w:tc>
          <w:tcPr>
            <w:tcW w:type="dxa" w:w="1800"/>
          </w:tcPr>
          <w:p>
            <w:pPr>
              <w:spacing w:before="40" w:after="40"/>
              <w:jc w:val="right"/>
            </w:pPr>
            <w:r/>
            <w:r>
              <w:rPr>
                <w:b w:val="0"/>
                <w:sz w:val="18"/>
              </w:rPr>
              <w:t>₹999/mo</w:t>
            </w:r>
          </w:p>
        </w:tc>
      </w:tr>
      <w:tr>
        <w:tc>
          <w:tcPr>
            <w:tcW w:type="dxa" w:w="1152"/>
            <w:shd w:val="clear" w:color="auto" w:fill="F5EFE4"/>
          </w:tcPr>
          <w:p>
            <w:pPr>
              <w:spacing w:before="40" w:after="40"/>
            </w:pPr>
            <w:r/>
            <w:r>
              <w:rPr>
                <w:b w:val="0"/>
                <w:sz w:val="18"/>
              </w:rPr>
              <w:t>KVM 2</w:t>
            </w:r>
          </w:p>
        </w:tc>
        <w:tc>
          <w:tcPr>
            <w:tcW w:type="dxa" w:w="792"/>
            <w:shd w:val="clear" w:color="auto" w:fill="F5EFE4"/>
          </w:tcPr>
          <w:p>
            <w:pPr>
              <w:spacing w:before="40" w:after="40"/>
              <w:jc w:val="right"/>
            </w:pPr>
            <w:r/>
            <w:r>
              <w:rPr>
                <w:b w:val="0"/>
                <w:sz w:val="18"/>
              </w:rPr>
              <w:t>2</w:t>
            </w:r>
          </w:p>
        </w:tc>
        <w:tc>
          <w:tcPr>
            <w:tcW w:type="dxa" w:w="1008"/>
            <w:shd w:val="clear" w:color="auto" w:fill="F5EFE4"/>
          </w:tcPr>
          <w:p>
            <w:pPr>
              <w:spacing w:before="40" w:after="40"/>
              <w:jc w:val="right"/>
            </w:pPr>
            <w:r/>
            <w:r>
              <w:rPr>
                <w:b w:val="0"/>
                <w:sz w:val="18"/>
              </w:rPr>
              <w:t>8 GB</w:t>
            </w:r>
          </w:p>
        </w:tc>
        <w:tc>
          <w:tcPr>
            <w:tcW w:type="dxa" w:w="1584"/>
            <w:shd w:val="clear" w:color="auto" w:fill="F5EFE4"/>
          </w:tcPr>
          <w:p>
            <w:pPr>
              <w:spacing w:before="40" w:after="40"/>
              <w:jc w:val="right"/>
            </w:pPr>
            <w:r/>
            <w:r>
              <w:rPr>
                <w:b w:val="0"/>
                <w:sz w:val="18"/>
              </w:rPr>
              <w:t>100 GB</w:t>
            </w:r>
          </w:p>
        </w:tc>
        <w:tc>
          <w:tcPr>
            <w:tcW w:type="dxa" w:w="1368"/>
            <w:shd w:val="clear" w:color="auto" w:fill="F5EFE4"/>
          </w:tcPr>
          <w:p>
            <w:pPr>
              <w:spacing w:before="40" w:after="40"/>
              <w:jc w:val="right"/>
            </w:pPr>
            <w:r/>
            <w:r>
              <w:rPr>
                <w:b w:val="0"/>
                <w:sz w:val="18"/>
              </w:rPr>
              <w:t>8 TB</w:t>
            </w:r>
          </w:p>
        </w:tc>
        <w:tc>
          <w:tcPr>
            <w:tcW w:type="dxa" w:w="1800"/>
            <w:shd w:val="clear" w:color="auto" w:fill="F5EFE4"/>
          </w:tcPr>
          <w:p>
            <w:pPr>
              <w:spacing w:before="40" w:after="40"/>
              <w:jc w:val="right"/>
            </w:pPr>
            <w:r/>
            <w:r>
              <w:rPr>
                <w:b w:val="0"/>
                <w:sz w:val="18"/>
              </w:rPr>
              <w:t>₹779/mo</w:t>
            </w:r>
          </w:p>
        </w:tc>
        <w:tc>
          <w:tcPr>
            <w:tcW w:type="dxa" w:w="1800"/>
            <w:shd w:val="clear" w:color="auto" w:fill="F5EFE4"/>
          </w:tcPr>
          <w:p>
            <w:pPr>
              <w:spacing w:before="40" w:after="40"/>
              <w:jc w:val="right"/>
            </w:pPr>
            <w:r/>
            <w:r>
              <w:rPr>
                <w:b w:val="0"/>
                <w:sz w:val="18"/>
              </w:rPr>
              <w:t>₹1,199/mo</w:t>
            </w:r>
          </w:p>
        </w:tc>
      </w:tr>
      <w:tr>
        <w:tc>
          <w:tcPr>
            <w:tcW w:type="dxa" w:w="1152"/>
          </w:tcPr>
          <w:p>
            <w:pPr>
              <w:spacing w:before="40" w:after="40"/>
            </w:pPr>
            <w:r/>
            <w:r>
              <w:rPr>
                <w:b w:val="0"/>
                <w:sz w:val="18"/>
              </w:rPr>
              <w:t>KVM 4</w:t>
            </w:r>
          </w:p>
        </w:tc>
        <w:tc>
          <w:tcPr>
            <w:tcW w:type="dxa" w:w="792"/>
          </w:tcPr>
          <w:p>
            <w:pPr>
              <w:spacing w:before="40" w:after="40"/>
              <w:jc w:val="right"/>
            </w:pPr>
            <w:r/>
            <w:r>
              <w:rPr>
                <w:b w:val="0"/>
                <w:sz w:val="18"/>
              </w:rPr>
              <w:t>4</w:t>
            </w:r>
          </w:p>
        </w:tc>
        <w:tc>
          <w:tcPr>
            <w:tcW w:type="dxa" w:w="1008"/>
          </w:tcPr>
          <w:p>
            <w:pPr>
              <w:spacing w:before="40" w:after="40"/>
              <w:jc w:val="right"/>
            </w:pPr>
            <w:r/>
            <w:r>
              <w:rPr>
                <w:b w:val="0"/>
                <w:sz w:val="18"/>
              </w:rPr>
              <w:t>16 GB</w:t>
            </w:r>
          </w:p>
        </w:tc>
        <w:tc>
          <w:tcPr>
            <w:tcW w:type="dxa" w:w="1584"/>
          </w:tcPr>
          <w:p>
            <w:pPr>
              <w:spacing w:before="40" w:after="40"/>
              <w:jc w:val="right"/>
            </w:pPr>
            <w:r/>
            <w:r>
              <w:rPr>
                <w:b w:val="0"/>
                <w:sz w:val="18"/>
              </w:rPr>
              <w:t>200 GB</w:t>
            </w:r>
          </w:p>
        </w:tc>
        <w:tc>
          <w:tcPr>
            <w:tcW w:type="dxa" w:w="1368"/>
          </w:tcPr>
          <w:p>
            <w:pPr>
              <w:spacing w:before="40" w:after="40"/>
              <w:jc w:val="right"/>
            </w:pPr>
            <w:r/>
            <w:r>
              <w:rPr>
                <w:b w:val="0"/>
                <w:sz w:val="18"/>
              </w:rPr>
              <w:t>16 TB</w:t>
            </w:r>
          </w:p>
        </w:tc>
        <w:tc>
          <w:tcPr>
            <w:tcW w:type="dxa" w:w="1800"/>
          </w:tcPr>
          <w:p>
            <w:pPr>
              <w:spacing w:before="40" w:after="40"/>
              <w:jc w:val="right"/>
            </w:pPr>
            <w:r/>
            <w:r>
              <w:rPr>
                <w:b w:val="0"/>
                <w:sz w:val="18"/>
              </w:rPr>
              <w:t>₹1,099/mo</w:t>
            </w:r>
          </w:p>
        </w:tc>
        <w:tc>
          <w:tcPr>
            <w:tcW w:type="dxa" w:w="1800"/>
          </w:tcPr>
          <w:p>
            <w:pPr>
              <w:spacing w:before="40" w:after="40"/>
              <w:jc w:val="right"/>
            </w:pPr>
            <w:r/>
            <w:r>
              <w:rPr>
                <w:b w:val="0"/>
                <w:sz w:val="18"/>
              </w:rPr>
              <w:t>₹2,399/mo</w:t>
            </w:r>
          </w:p>
        </w:tc>
      </w:tr>
      <w:tr>
        <w:tc>
          <w:tcPr>
            <w:tcW w:type="dxa" w:w="1152"/>
            <w:shd w:val="clear" w:color="auto" w:fill="F5EFE4"/>
          </w:tcPr>
          <w:p>
            <w:pPr>
              <w:spacing w:before="40" w:after="40"/>
            </w:pPr>
            <w:r/>
            <w:r>
              <w:rPr>
                <w:b w:val="0"/>
                <w:sz w:val="18"/>
              </w:rPr>
              <w:t>KVM 8</w:t>
            </w:r>
          </w:p>
        </w:tc>
        <w:tc>
          <w:tcPr>
            <w:tcW w:type="dxa" w:w="792"/>
            <w:shd w:val="clear" w:color="auto" w:fill="F5EFE4"/>
          </w:tcPr>
          <w:p>
            <w:pPr>
              <w:spacing w:before="40" w:after="40"/>
              <w:jc w:val="right"/>
            </w:pPr>
            <w:r/>
            <w:r>
              <w:rPr>
                <w:b w:val="0"/>
                <w:sz w:val="18"/>
              </w:rPr>
              <w:t>8</w:t>
            </w:r>
          </w:p>
        </w:tc>
        <w:tc>
          <w:tcPr>
            <w:tcW w:type="dxa" w:w="1008"/>
            <w:shd w:val="clear" w:color="auto" w:fill="F5EFE4"/>
          </w:tcPr>
          <w:p>
            <w:pPr>
              <w:spacing w:before="40" w:after="40"/>
              <w:jc w:val="right"/>
            </w:pPr>
            <w:r/>
            <w:r>
              <w:rPr>
                <w:b w:val="0"/>
                <w:sz w:val="18"/>
              </w:rPr>
              <w:t>32 GB</w:t>
            </w:r>
          </w:p>
        </w:tc>
        <w:tc>
          <w:tcPr>
            <w:tcW w:type="dxa" w:w="1584"/>
            <w:shd w:val="clear" w:color="auto" w:fill="F5EFE4"/>
          </w:tcPr>
          <w:p>
            <w:pPr>
              <w:spacing w:before="40" w:after="40"/>
              <w:jc w:val="right"/>
            </w:pPr>
            <w:r/>
            <w:r>
              <w:rPr>
                <w:b w:val="0"/>
                <w:sz w:val="18"/>
              </w:rPr>
              <w:t>400 GB</w:t>
            </w:r>
          </w:p>
        </w:tc>
        <w:tc>
          <w:tcPr>
            <w:tcW w:type="dxa" w:w="1368"/>
            <w:shd w:val="clear" w:color="auto" w:fill="F5EFE4"/>
          </w:tcPr>
          <w:p>
            <w:pPr>
              <w:spacing w:before="40" w:after="40"/>
              <w:jc w:val="right"/>
            </w:pPr>
            <w:r/>
            <w:r>
              <w:rPr>
                <w:b w:val="0"/>
                <w:sz w:val="18"/>
              </w:rPr>
              <w:t>32 TB</w:t>
            </w:r>
          </w:p>
        </w:tc>
        <w:tc>
          <w:tcPr>
            <w:tcW w:type="dxa" w:w="1800"/>
            <w:shd w:val="clear" w:color="auto" w:fill="F5EFE4"/>
          </w:tcPr>
          <w:p>
            <w:pPr>
              <w:spacing w:before="40" w:after="40"/>
              <w:jc w:val="right"/>
            </w:pPr>
            <w:r/>
            <w:r>
              <w:rPr>
                <w:b w:val="0"/>
                <w:sz w:val="18"/>
              </w:rPr>
              <w:t>₹2,199/mo</w:t>
            </w:r>
          </w:p>
        </w:tc>
        <w:tc>
          <w:tcPr>
            <w:tcW w:type="dxa" w:w="1800"/>
            <w:shd w:val="clear" w:color="auto" w:fill="F5EFE4"/>
          </w:tcPr>
          <w:p>
            <w:pPr>
              <w:spacing w:before="40" w:after="40"/>
              <w:jc w:val="right"/>
            </w:pPr>
            <w:r/>
            <w:r>
              <w:rPr>
                <w:b w:val="0"/>
                <w:sz w:val="18"/>
              </w:rPr>
              <w:t>₹4,399/mo</w:t>
            </w:r>
          </w:p>
        </w:tc>
      </w:tr>
    </w:tbl>
    <w:p>
      <w:pPr>
        <w:spacing w:after="80"/>
      </w:pPr>
    </w:p>
    <w:p>
      <w:pPr>
        <w:spacing w:before="120" w:after="200"/>
        <w:ind w:left="216"/>
      </w:pPr>
      <w:r>
        <w:rPr>
          <w:b/>
          <w:color w:val="C0392B"/>
          <w:sz w:val="19"/>
        </w:rPr>
        <w:t>Promotional prices require payment upfront for up to two years and apply to the initial term only. All budgets in this document use renewal pricing, which is 65–100% higher. Paying upfront for the first two years is still worth doing — it simply cannot be assumed to continue.</w:t>
      </w:r>
    </w:p>
    <w:p>
      <w:pPr>
        <w:spacing w:after="120"/>
      </w:pPr>
      <w:r>
        <w:rPr>
          <w:b w:val="0"/>
          <w:i w:val="0"/>
          <w:sz w:val="20"/>
        </w:rPr>
        <w:t>Fleet sizing by scenario:</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008"/>
            <w:shd w:val="clear" w:color="auto" w:fill="3F0E4C"/>
          </w:tcPr>
          <w:p>
            <w:pPr>
              <w:spacing w:before="40" w:after="40"/>
            </w:pPr>
            <w:r/>
            <w:r>
              <w:rPr>
                <w:b/>
                <w:color w:val="FFFFFF"/>
                <w:sz w:val="18"/>
              </w:rPr>
              <w:t>Scenario</w:t>
            </w:r>
          </w:p>
        </w:tc>
        <w:tc>
          <w:tcPr>
            <w:tcW w:type="dxa" w:w="1656"/>
            <w:shd w:val="clear" w:color="auto" w:fill="3F0E4C"/>
          </w:tcPr>
          <w:p>
            <w:pPr>
              <w:spacing w:before="40" w:after="40"/>
            </w:pPr>
            <w:r/>
            <w:r>
              <w:rPr>
                <w:b/>
                <w:color w:val="FFFFFF"/>
                <w:sz w:val="18"/>
              </w:rPr>
              <w:t>Servers</w:t>
            </w:r>
          </w:p>
        </w:tc>
        <w:tc>
          <w:tcPr>
            <w:tcW w:type="dxa" w:w="4896"/>
            <w:shd w:val="clear" w:color="auto" w:fill="3F0E4C"/>
          </w:tcPr>
          <w:p>
            <w:pPr>
              <w:spacing w:before="40" w:after="40"/>
            </w:pPr>
            <w:r/>
            <w:r>
              <w:rPr>
                <w:b/>
                <w:color w:val="FFFFFF"/>
                <w:sz w:val="18"/>
              </w:rPr>
              <w:t>Purpose</w:t>
            </w:r>
          </w:p>
        </w:tc>
        <w:tc>
          <w:tcPr>
            <w:tcW w:type="dxa" w:w="1440"/>
            <w:shd w:val="clear" w:color="auto" w:fill="3F0E4C"/>
          </w:tcPr>
          <w:p>
            <w:pPr>
              <w:spacing w:before="40" w:after="40"/>
            </w:pPr>
            <w:r/>
            <w:r>
              <w:rPr>
                <w:b/>
                <w:color w:val="FFFFFF"/>
                <w:sz w:val="18"/>
              </w:rPr>
              <w:t>Monthly</w:t>
            </w:r>
          </w:p>
        </w:tc>
      </w:tr>
      <w:tr>
        <w:tc>
          <w:tcPr>
            <w:tcW w:type="dxa" w:w="1008"/>
          </w:tcPr>
          <w:p>
            <w:pPr>
              <w:spacing w:before="40" w:after="40"/>
            </w:pPr>
            <w:r/>
            <w:r>
              <w:rPr>
                <w:b w:val="0"/>
                <w:sz w:val="18"/>
              </w:rPr>
              <w:t>S1</w:t>
            </w:r>
          </w:p>
        </w:tc>
        <w:tc>
          <w:tcPr>
            <w:tcW w:type="dxa" w:w="1656"/>
          </w:tcPr>
          <w:p>
            <w:pPr>
              <w:spacing w:before="40" w:after="40"/>
            </w:pPr>
            <w:r/>
            <w:r>
              <w:rPr>
                <w:b w:val="0"/>
                <w:sz w:val="18"/>
              </w:rPr>
              <w:t>1 × KVM 2</w:t>
            </w:r>
          </w:p>
        </w:tc>
        <w:tc>
          <w:tcPr>
            <w:tcW w:type="dxa" w:w="4896"/>
          </w:tcPr>
          <w:p>
            <w:pPr>
              <w:spacing w:before="40" w:after="40"/>
            </w:pPr>
            <w:r/>
            <w:r>
              <w:rPr>
                <w:b w:val="0"/>
                <w:sz w:val="18"/>
              </w:rPr>
              <w:t>API, workers, Redis, Nginx, admin panel — all co-located</w:t>
            </w:r>
          </w:p>
        </w:tc>
        <w:tc>
          <w:tcPr>
            <w:tcW w:type="dxa" w:w="1440"/>
          </w:tcPr>
          <w:p>
            <w:pPr>
              <w:spacing w:before="40" w:after="40"/>
              <w:jc w:val="right"/>
            </w:pPr>
            <w:r/>
            <w:r>
              <w:rPr>
                <w:b w:val="0"/>
                <w:sz w:val="18"/>
              </w:rPr>
              <w:t>₹1,199</w:t>
            </w:r>
          </w:p>
        </w:tc>
      </w:tr>
      <w:tr>
        <w:tc>
          <w:tcPr>
            <w:tcW w:type="dxa" w:w="1008"/>
            <w:shd w:val="clear" w:color="auto" w:fill="F5EFE4"/>
          </w:tcPr>
          <w:p>
            <w:pPr>
              <w:spacing w:before="40" w:after="40"/>
            </w:pPr>
            <w:r/>
            <w:r>
              <w:rPr>
                <w:b w:val="0"/>
                <w:sz w:val="18"/>
              </w:rPr>
              <w:t>S1</w:t>
            </w:r>
          </w:p>
        </w:tc>
        <w:tc>
          <w:tcPr>
            <w:tcW w:type="dxa" w:w="1656"/>
            <w:shd w:val="clear" w:color="auto" w:fill="F5EFE4"/>
          </w:tcPr>
          <w:p>
            <w:pPr>
              <w:spacing w:before="40" w:after="40"/>
            </w:pPr>
            <w:r/>
            <w:r>
              <w:rPr>
                <w:b w:val="0"/>
                <w:sz w:val="18"/>
              </w:rPr>
              <w:t>Backup add-on</w:t>
            </w:r>
          </w:p>
        </w:tc>
        <w:tc>
          <w:tcPr>
            <w:tcW w:type="dxa" w:w="4896"/>
            <w:shd w:val="clear" w:color="auto" w:fill="F5EFE4"/>
          </w:tcPr>
          <w:p>
            <w:pPr>
              <w:spacing w:before="40" w:after="40"/>
            </w:pPr>
            <w:r/>
            <w:r>
              <w:rPr>
                <w:b w:val="0"/>
                <w:sz w:val="18"/>
              </w:rPr>
              <w:t>Automated daily snapshots</w:t>
            </w:r>
          </w:p>
        </w:tc>
        <w:tc>
          <w:tcPr>
            <w:tcW w:type="dxa" w:w="1440"/>
            <w:shd w:val="clear" w:color="auto" w:fill="F5EFE4"/>
          </w:tcPr>
          <w:p>
            <w:pPr>
              <w:spacing w:before="40" w:after="40"/>
              <w:jc w:val="right"/>
            </w:pPr>
            <w:r/>
            <w:r>
              <w:rPr>
                <w:b w:val="0"/>
                <w:sz w:val="18"/>
              </w:rPr>
              <w:t>₹250</w:t>
            </w:r>
          </w:p>
        </w:tc>
      </w:tr>
      <w:tr>
        <w:tc>
          <w:tcPr>
            <w:tcW w:type="dxa" w:w="1008"/>
          </w:tcPr>
          <w:p>
            <w:pPr>
              <w:spacing w:before="40" w:after="40"/>
            </w:pPr>
            <w:r/>
            <w:r>
              <w:rPr>
                <w:b w:val="0"/>
                <w:sz w:val="18"/>
              </w:rPr>
              <w:t>S2</w:t>
            </w:r>
          </w:p>
        </w:tc>
        <w:tc>
          <w:tcPr>
            <w:tcW w:type="dxa" w:w="1656"/>
          </w:tcPr>
          <w:p>
            <w:pPr>
              <w:spacing w:before="40" w:after="40"/>
            </w:pPr>
            <w:r/>
            <w:r>
              <w:rPr>
                <w:b w:val="0"/>
                <w:sz w:val="18"/>
              </w:rPr>
              <w:t>2 × KVM 4</w:t>
            </w:r>
          </w:p>
        </w:tc>
        <w:tc>
          <w:tcPr>
            <w:tcW w:type="dxa" w:w="4896"/>
          </w:tcPr>
          <w:p>
            <w:pPr>
              <w:spacing w:before="40" w:after="40"/>
            </w:pPr>
            <w:r/>
            <w:r>
              <w:rPr>
                <w:b w:val="0"/>
                <w:sz w:val="18"/>
              </w:rPr>
              <w:t>One node for API and Redis; one for workers and reel encoding</w:t>
            </w:r>
          </w:p>
        </w:tc>
        <w:tc>
          <w:tcPr>
            <w:tcW w:type="dxa" w:w="1440"/>
          </w:tcPr>
          <w:p>
            <w:pPr>
              <w:spacing w:before="40" w:after="40"/>
              <w:jc w:val="right"/>
            </w:pPr>
            <w:r/>
            <w:r>
              <w:rPr>
                <w:b w:val="0"/>
                <w:sz w:val="18"/>
              </w:rPr>
              <w:t>₹4,800</w:t>
            </w:r>
          </w:p>
        </w:tc>
      </w:tr>
      <w:tr>
        <w:tc>
          <w:tcPr>
            <w:tcW w:type="dxa" w:w="1008"/>
            <w:shd w:val="clear" w:color="auto" w:fill="F5EFE4"/>
          </w:tcPr>
          <w:p>
            <w:pPr>
              <w:spacing w:before="40" w:after="40"/>
            </w:pPr>
            <w:r/>
            <w:r>
              <w:rPr>
                <w:b w:val="0"/>
                <w:sz w:val="18"/>
              </w:rPr>
              <w:t>S2</w:t>
            </w:r>
          </w:p>
        </w:tc>
        <w:tc>
          <w:tcPr>
            <w:tcW w:type="dxa" w:w="1656"/>
            <w:shd w:val="clear" w:color="auto" w:fill="F5EFE4"/>
          </w:tcPr>
          <w:p>
            <w:pPr>
              <w:spacing w:before="40" w:after="40"/>
            </w:pPr>
            <w:r/>
            <w:r>
              <w:rPr>
                <w:b w:val="0"/>
                <w:sz w:val="18"/>
              </w:rPr>
              <w:t>Backup add-on</w:t>
            </w:r>
          </w:p>
        </w:tc>
        <w:tc>
          <w:tcPr>
            <w:tcW w:type="dxa" w:w="4896"/>
            <w:shd w:val="clear" w:color="auto" w:fill="F5EFE4"/>
          </w:tcPr>
          <w:p>
            <w:pPr>
              <w:spacing w:before="40" w:after="40"/>
            </w:pPr>
            <w:r/>
            <w:r>
              <w:rPr>
                <w:b w:val="0"/>
                <w:sz w:val="18"/>
              </w:rPr>
              <w:t>Automated daily snapshots</w:t>
            </w:r>
          </w:p>
        </w:tc>
        <w:tc>
          <w:tcPr>
            <w:tcW w:type="dxa" w:w="1440"/>
            <w:shd w:val="clear" w:color="auto" w:fill="F5EFE4"/>
          </w:tcPr>
          <w:p>
            <w:pPr>
              <w:spacing w:before="40" w:after="40"/>
              <w:jc w:val="right"/>
            </w:pPr>
            <w:r/>
            <w:r>
              <w:rPr>
                <w:b w:val="0"/>
                <w:sz w:val="18"/>
              </w:rPr>
              <w:t>₹500</w:t>
            </w:r>
          </w:p>
        </w:tc>
      </w:tr>
      <w:tr>
        <w:tc>
          <w:tcPr>
            <w:tcW w:type="dxa" w:w="1008"/>
          </w:tcPr>
          <w:p>
            <w:pPr>
              <w:spacing w:before="40" w:after="40"/>
            </w:pPr>
            <w:r/>
            <w:r>
              <w:rPr>
                <w:b w:val="0"/>
                <w:sz w:val="18"/>
              </w:rPr>
              <w:t>S3</w:t>
            </w:r>
          </w:p>
        </w:tc>
        <w:tc>
          <w:tcPr>
            <w:tcW w:type="dxa" w:w="1656"/>
          </w:tcPr>
          <w:p>
            <w:pPr>
              <w:spacing w:before="40" w:after="40"/>
            </w:pPr>
            <w:r/>
            <w:r>
              <w:rPr>
                <w:b w:val="0"/>
                <w:sz w:val="18"/>
              </w:rPr>
              <w:t>2 × KVM 8</w:t>
            </w:r>
          </w:p>
        </w:tc>
        <w:tc>
          <w:tcPr>
            <w:tcW w:type="dxa" w:w="4896"/>
          </w:tcPr>
          <w:p>
            <w:pPr>
              <w:spacing w:before="40" w:after="40"/>
            </w:pPr>
            <w:r/>
            <w:r>
              <w:rPr>
                <w:b w:val="0"/>
                <w:sz w:val="18"/>
              </w:rPr>
              <w:t>API tier</w:t>
            </w:r>
          </w:p>
        </w:tc>
        <w:tc>
          <w:tcPr>
            <w:tcW w:type="dxa" w:w="1440"/>
          </w:tcPr>
          <w:p>
            <w:pPr>
              <w:spacing w:before="40" w:after="40"/>
              <w:jc w:val="right"/>
            </w:pPr>
            <w:r/>
            <w:r>
              <w:rPr>
                <w:b w:val="0"/>
                <w:sz w:val="18"/>
              </w:rPr>
              <w:t>₹8,798</w:t>
            </w:r>
          </w:p>
        </w:tc>
      </w:tr>
      <w:tr>
        <w:tc>
          <w:tcPr>
            <w:tcW w:type="dxa" w:w="1008"/>
            <w:shd w:val="clear" w:color="auto" w:fill="F5EFE4"/>
          </w:tcPr>
          <w:p>
            <w:pPr>
              <w:spacing w:before="40" w:after="40"/>
            </w:pPr>
            <w:r/>
            <w:r>
              <w:rPr>
                <w:b w:val="0"/>
                <w:sz w:val="18"/>
              </w:rPr>
              <w:t>S3</w:t>
            </w:r>
          </w:p>
        </w:tc>
        <w:tc>
          <w:tcPr>
            <w:tcW w:type="dxa" w:w="1656"/>
            <w:shd w:val="clear" w:color="auto" w:fill="F5EFE4"/>
          </w:tcPr>
          <w:p>
            <w:pPr>
              <w:spacing w:before="40" w:after="40"/>
            </w:pPr>
            <w:r/>
            <w:r>
              <w:rPr>
                <w:b w:val="0"/>
                <w:sz w:val="18"/>
              </w:rPr>
              <w:t>1 × KVM 8</w:t>
            </w:r>
          </w:p>
        </w:tc>
        <w:tc>
          <w:tcPr>
            <w:tcW w:type="dxa" w:w="4896"/>
            <w:shd w:val="clear" w:color="auto" w:fill="F5EFE4"/>
          </w:tcPr>
          <w:p>
            <w:pPr>
              <w:spacing w:before="40" w:after="40"/>
            </w:pPr>
            <w:r/>
            <w:r>
              <w:rPr>
                <w:b w:val="0"/>
                <w:sz w:val="18"/>
              </w:rPr>
              <w:t>Queue workers and Redis</w:t>
            </w:r>
          </w:p>
        </w:tc>
        <w:tc>
          <w:tcPr>
            <w:tcW w:type="dxa" w:w="1440"/>
            <w:shd w:val="clear" w:color="auto" w:fill="F5EFE4"/>
          </w:tcPr>
          <w:p>
            <w:pPr>
              <w:spacing w:before="40" w:after="40"/>
              <w:jc w:val="right"/>
            </w:pPr>
            <w:r/>
            <w:r>
              <w:rPr>
                <w:b w:val="0"/>
                <w:sz w:val="18"/>
              </w:rPr>
              <w:t>₹4,399</w:t>
            </w:r>
          </w:p>
        </w:tc>
      </w:tr>
      <w:tr>
        <w:tc>
          <w:tcPr>
            <w:tcW w:type="dxa" w:w="1008"/>
          </w:tcPr>
          <w:p>
            <w:pPr>
              <w:spacing w:before="40" w:after="40"/>
            </w:pPr>
            <w:r/>
            <w:r>
              <w:rPr>
                <w:b w:val="0"/>
                <w:sz w:val="18"/>
              </w:rPr>
              <w:t>S3</w:t>
            </w:r>
          </w:p>
        </w:tc>
        <w:tc>
          <w:tcPr>
            <w:tcW w:type="dxa" w:w="1656"/>
          </w:tcPr>
          <w:p>
            <w:pPr>
              <w:spacing w:before="40" w:after="40"/>
            </w:pPr>
            <w:r/>
            <w:r>
              <w:rPr>
                <w:b w:val="0"/>
                <w:sz w:val="18"/>
              </w:rPr>
              <w:t>2 × KVM 4</w:t>
            </w:r>
          </w:p>
        </w:tc>
        <w:tc>
          <w:tcPr>
            <w:tcW w:type="dxa" w:w="4896"/>
          </w:tcPr>
          <w:p>
            <w:pPr>
              <w:spacing w:before="40" w:after="40"/>
            </w:pPr>
            <w:r/>
            <w:r>
              <w:rPr>
                <w:b w:val="0"/>
                <w:sz w:val="18"/>
              </w:rPr>
              <w:t>Reel encoding — isolated CPU pool</w:t>
            </w:r>
          </w:p>
        </w:tc>
        <w:tc>
          <w:tcPr>
            <w:tcW w:type="dxa" w:w="1440"/>
          </w:tcPr>
          <w:p>
            <w:pPr>
              <w:spacing w:before="40" w:after="40"/>
              <w:jc w:val="right"/>
            </w:pPr>
            <w:r/>
            <w:r>
              <w:rPr>
                <w:b w:val="0"/>
                <w:sz w:val="18"/>
              </w:rPr>
              <w:t>₹4,798</w:t>
            </w:r>
          </w:p>
        </w:tc>
      </w:tr>
      <w:tr>
        <w:tc>
          <w:tcPr>
            <w:tcW w:type="dxa" w:w="1008"/>
            <w:shd w:val="clear" w:color="auto" w:fill="F5EFE4"/>
          </w:tcPr>
          <w:p>
            <w:pPr>
              <w:spacing w:before="40" w:after="40"/>
            </w:pPr>
            <w:r/>
            <w:r>
              <w:rPr>
                <w:b w:val="0"/>
                <w:sz w:val="18"/>
              </w:rPr>
              <w:t>S3</w:t>
            </w:r>
          </w:p>
        </w:tc>
        <w:tc>
          <w:tcPr>
            <w:tcW w:type="dxa" w:w="1656"/>
            <w:shd w:val="clear" w:color="auto" w:fill="F5EFE4"/>
          </w:tcPr>
          <w:p>
            <w:pPr>
              <w:spacing w:before="40" w:after="40"/>
            </w:pPr>
            <w:r/>
            <w:r>
              <w:rPr>
                <w:b w:val="0"/>
                <w:sz w:val="18"/>
              </w:rPr>
              <w:t>2 × KVM 2</w:t>
            </w:r>
          </w:p>
        </w:tc>
        <w:tc>
          <w:tcPr>
            <w:tcW w:type="dxa" w:w="4896"/>
            <w:shd w:val="clear" w:color="auto" w:fill="F5EFE4"/>
          </w:tcPr>
          <w:p>
            <w:pPr>
              <w:spacing w:before="40" w:after="40"/>
            </w:pPr>
            <w:r/>
            <w:r>
              <w:rPr>
                <w:b w:val="0"/>
                <w:sz w:val="18"/>
              </w:rPr>
              <w:t>Nginx / HAProxy load balancers</w:t>
            </w:r>
          </w:p>
        </w:tc>
        <w:tc>
          <w:tcPr>
            <w:tcW w:type="dxa" w:w="1440"/>
            <w:shd w:val="clear" w:color="auto" w:fill="F5EFE4"/>
          </w:tcPr>
          <w:p>
            <w:pPr>
              <w:spacing w:before="40" w:after="40"/>
              <w:jc w:val="right"/>
            </w:pPr>
            <w:r/>
            <w:r>
              <w:rPr>
                <w:b w:val="0"/>
                <w:sz w:val="18"/>
              </w:rPr>
              <w:t>₹2,398</w:t>
            </w:r>
          </w:p>
        </w:tc>
      </w:tr>
      <w:tr>
        <w:tc>
          <w:tcPr>
            <w:tcW w:type="dxa" w:w="1008"/>
          </w:tcPr>
          <w:p>
            <w:pPr>
              <w:spacing w:before="40" w:after="40"/>
            </w:pPr>
            <w:r/>
            <w:r>
              <w:rPr>
                <w:b w:val="0"/>
                <w:sz w:val="18"/>
              </w:rPr>
              <w:t>S3</w:t>
            </w:r>
          </w:p>
        </w:tc>
        <w:tc>
          <w:tcPr>
            <w:tcW w:type="dxa" w:w="1656"/>
          </w:tcPr>
          <w:p>
            <w:pPr>
              <w:spacing w:before="40" w:after="40"/>
            </w:pPr>
            <w:r/>
            <w:r>
              <w:rPr>
                <w:b w:val="0"/>
                <w:sz w:val="18"/>
              </w:rPr>
              <w:t>Backup add-on</w:t>
            </w:r>
          </w:p>
        </w:tc>
        <w:tc>
          <w:tcPr>
            <w:tcW w:type="dxa" w:w="4896"/>
          </w:tcPr>
          <w:p>
            <w:pPr>
              <w:spacing w:before="40" w:after="40"/>
            </w:pPr>
            <w:r/>
            <w:r>
              <w:rPr>
                <w:b w:val="0"/>
                <w:sz w:val="18"/>
              </w:rPr>
              <w:t>Automated daily snapshots</w:t>
            </w:r>
          </w:p>
        </w:tc>
        <w:tc>
          <w:tcPr>
            <w:tcW w:type="dxa" w:w="1440"/>
          </w:tcPr>
          <w:p>
            <w:pPr>
              <w:spacing w:before="40" w:after="40"/>
              <w:jc w:val="right"/>
            </w:pPr>
            <w:r/>
            <w:r>
              <w:rPr>
                <w:b w:val="0"/>
                <w:sz w:val="18"/>
              </w:rPr>
              <w:t>₹1,000</w:t>
            </w:r>
          </w:p>
        </w:tc>
      </w:tr>
    </w:tbl>
    <w:p>
      <w:pPr>
        <w:spacing w:after="80"/>
      </w:pPr>
    </w:p>
    <w:p>
      <w:pPr>
        <w:spacing w:after="120"/>
      </w:pPr>
      <w:r>
        <w:rPr>
          <w:b/>
          <w:i w:val="0"/>
          <w:sz w:val="20"/>
        </w:rPr>
        <w:t>Two points the client should be aware of when choosing VPS over managed cloud:</w:t>
      </w:r>
    </w:p>
    <w:p>
      <w:pPr>
        <w:pStyle w:val="ListBullet"/>
        <w:spacing w:after="60"/>
      </w:pPr>
      <w:r>
        <w:rPr>
          <w:sz w:val="20"/>
        </w:rPr>
        <w:t>Bandwidth is included and generous — 4 to 32 TB per plan — so server traffic is not a separate cost line. This is a genuine saving over metered cloud egress.</w:t>
      </w:r>
    </w:p>
    <w:p>
      <w:pPr>
        <w:pStyle w:val="ListBullet"/>
        <w:spacing w:after="60"/>
      </w:pPr>
      <w:r>
        <w:rPr>
          <w:sz w:val="20"/>
        </w:rPr>
        <w:t>Operational responsibility transfers to the team. Patching, Redis persistence and failover, log rotation, certificate renewal and restore testing are all ours. Hostinger provides the machine, not the operations. This is the real price of the lower invoice, and it should be resourced deliberately rather than discovered during an incident.</w:t>
      </w:r>
    </w:p>
    <w:p>
      <w:pPr>
        <w:pStyle w:val="Heading2"/>
        <w:spacing w:before="240" w:after="80"/>
      </w:pPr>
      <w:r>
        <w:rPr>
          <w:color w:val="7B3A8F"/>
          <w:sz w:val="25"/>
        </w:rPr>
        <w:t>5.2 Database — MongoDB Atlas</w:t>
      </w:r>
    </w:p>
    <w:p>
      <w:pPr>
        <w:spacing w:after="120"/>
      </w:pPr>
      <w:r>
        <w:rPr>
          <w:b w:val="0"/>
          <w:i w:val="0"/>
          <w:sz w:val="20"/>
        </w:rPr>
        <w:t>A replica set is mandatory because the gifting flows use multi-document transactions. Atlas dedicated tiers include a three-node replica set, automated backups and failover in the cluster price, which is why it is used rather than a self-installed database.</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008"/>
            <w:shd w:val="clear" w:color="auto" w:fill="3F0E4C"/>
          </w:tcPr>
          <w:p>
            <w:pPr>
              <w:spacing w:before="40" w:after="40"/>
            </w:pPr>
            <w:r/>
            <w:r>
              <w:rPr>
                <w:b/>
                <w:color w:val="FFFFFF"/>
                <w:sz w:val="18"/>
              </w:rPr>
              <w:t>Scenario</w:t>
            </w:r>
          </w:p>
        </w:tc>
        <w:tc>
          <w:tcPr>
            <w:tcW w:type="dxa" w:w="1008"/>
            <w:shd w:val="clear" w:color="auto" w:fill="3F0E4C"/>
          </w:tcPr>
          <w:p>
            <w:pPr>
              <w:spacing w:before="40" w:after="40"/>
            </w:pPr>
            <w:r/>
            <w:r>
              <w:rPr>
                <w:b/>
                <w:color w:val="FFFFFF"/>
                <w:sz w:val="18"/>
              </w:rPr>
              <w:t>Tier</w:t>
            </w:r>
          </w:p>
        </w:tc>
        <w:tc>
          <w:tcPr>
            <w:tcW w:type="dxa" w:w="2736"/>
            <w:shd w:val="clear" w:color="auto" w:fill="3F0E4C"/>
          </w:tcPr>
          <w:p>
            <w:pPr>
              <w:spacing w:before="40" w:after="40"/>
            </w:pPr>
            <w:r/>
            <w:r>
              <w:rPr>
                <w:b/>
                <w:color w:val="FFFFFF"/>
                <w:sz w:val="18"/>
              </w:rPr>
              <w:t>Capacity</w:t>
            </w:r>
          </w:p>
        </w:tc>
        <w:tc>
          <w:tcPr>
            <w:tcW w:type="dxa" w:w="1656"/>
            <w:shd w:val="clear" w:color="auto" w:fill="3F0E4C"/>
          </w:tcPr>
          <w:p>
            <w:pPr>
              <w:spacing w:before="40" w:after="40"/>
            </w:pPr>
            <w:r/>
            <w:r>
              <w:rPr>
                <w:b/>
                <w:color w:val="FFFFFF"/>
                <w:sz w:val="18"/>
              </w:rPr>
              <w:t>Cluster</w:t>
            </w:r>
          </w:p>
        </w:tc>
        <w:tc>
          <w:tcPr>
            <w:tcW w:type="dxa" w:w="1512"/>
            <w:shd w:val="clear" w:color="auto" w:fill="3F0E4C"/>
          </w:tcPr>
          <w:p>
            <w:pPr>
              <w:spacing w:before="40" w:after="40"/>
            </w:pPr>
            <w:r/>
            <w:r>
              <w:rPr>
                <w:b/>
                <w:color w:val="FFFFFF"/>
                <w:sz w:val="18"/>
              </w:rPr>
              <w:t>Backup</w:t>
            </w:r>
          </w:p>
        </w:tc>
        <w:tc>
          <w:tcPr>
            <w:tcW w:type="dxa" w:w="1728"/>
            <w:shd w:val="clear" w:color="auto" w:fill="3F0E4C"/>
          </w:tcPr>
          <w:p>
            <w:pPr>
              <w:spacing w:before="40" w:after="40"/>
            </w:pPr>
            <w:r/>
            <w:r>
              <w:rPr>
                <w:b/>
                <w:color w:val="FFFFFF"/>
                <w:sz w:val="18"/>
              </w:rPr>
              <w:t>Total / month</w:t>
            </w:r>
          </w:p>
        </w:tc>
      </w:tr>
      <w:tr>
        <w:tc>
          <w:tcPr>
            <w:tcW w:type="dxa" w:w="1008"/>
          </w:tcPr>
          <w:p>
            <w:pPr>
              <w:spacing w:before="40" w:after="40"/>
            </w:pPr>
            <w:r/>
            <w:r>
              <w:rPr>
                <w:b w:val="0"/>
                <w:sz w:val="18"/>
              </w:rPr>
              <w:t>S1</w:t>
            </w:r>
          </w:p>
        </w:tc>
        <w:tc>
          <w:tcPr>
            <w:tcW w:type="dxa" w:w="1008"/>
          </w:tcPr>
          <w:p>
            <w:pPr>
              <w:spacing w:before="40" w:after="40"/>
            </w:pPr>
            <w:r/>
            <w:r>
              <w:rPr>
                <w:b w:val="0"/>
                <w:sz w:val="18"/>
              </w:rPr>
              <w:t>M10</w:t>
            </w:r>
          </w:p>
        </w:tc>
        <w:tc>
          <w:tcPr>
            <w:tcW w:type="dxa" w:w="2736"/>
          </w:tcPr>
          <w:p>
            <w:pPr>
              <w:spacing w:before="40" w:after="40"/>
            </w:pPr>
            <w:r/>
            <w:r>
              <w:rPr>
                <w:b w:val="0"/>
                <w:sz w:val="18"/>
              </w:rPr>
              <w:t>2 GB RAM, 10 GB storage</w:t>
            </w:r>
          </w:p>
        </w:tc>
        <w:tc>
          <w:tcPr>
            <w:tcW w:type="dxa" w:w="1656"/>
          </w:tcPr>
          <w:p>
            <w:pPr>
              <w:spacing w:before="40" w:after="40"/>
              <w:jc w:val="right"/>
            </w:pPr>
            <w:r/>
            <w:r>
              <w:rPr>
                <w:b w:val="0"/>
                <w:sz w:val="18"/>
              </w:rPr>
              <w:t>₹5,718</w:t>
            </w:r>
          </w:p>
        </w:tc>
        <w:tc>
          <w:tcPr>
            <w:tcW w:type="dxa" w:w="1512"/>
          </w:tcPr>
          <w:p>
            <w:pPr>
              <w:spacing w:before="40" w:after="40"/>
              <w:jc w:val="right"/>
            </w:pPr>
            <w:r/>
            <w:r>
              <w:rPr>
                <w:b w:val="0"/>
                <w:sz w:val="18"/>
              </w:rPr>
              <w:t>₹477</w:t>
            </w:r>
          </w:p>
        </w:tc>
        <w:tc>
          <w:tcPr>
            <w:tcW w:type="dxa" w:w="1728"/>
          </w:tcPr>
          <w:p>
            <w:pPr>
              <w:spacing w:before="40" w:after="40"/>
              <w:jc w:val="right"/>
            </w:pPr>
            <w:r/>
            <w:r>
              <w:rPr>
                <w:b w:val="0"/>
                <w:sz w:val="18"/>
              </w:rPr>
              <w:t>₹6,195</w:t>
            </w:r>
          </w:p>
        </w:tc>
      </w:tr>
      <w:tr>
        <w:tc>
          <w:tcPr>
            <w:tcW w:type="dxa" w:w="1008"/>
            <w:shd w:val="clear" w:color="auto" w:fill="F5EFE4"/>
          </w:tcPr>
          <w:p>
            <w:pPr>
              <w:spacing w:before="40" w:after="40"/>
            </w:pPr>
            <w:r/>
            <w:r>
              <w:rPr>
                <w:b w:val="0"/>
                <w:sz w:val="18"/>
              </w:rPr>
              <w:t>S2</w:t>
            </w:r>
          </w:p>
        </w:tc>
        <w:tc>
          <w:tcPr>
            <w:tcW w:type="dxa" w:w="1008"/>
            <w:shd w:val="clear" w:color="auto" w:fill="F5EFE4"/>
          </w:tcPr>
          <w:p>
            <w:pPr>
              <w:spacing w:before="40" w:after="40"/>
            </w:pPr>
            <w:r/>
            <w:r>
              <w:rPr>
                <w:b w:val="0"/>
                <w:sz w:val="18"/>
              </w:rPr>
              <w:t>M20</w:t>
            </w:r>
          </w:p>
        </w:tc>
        <w:tc>
          <w:tcPr>
            <w:tcW w:type="dxa" w:w="2736"/>
            <w:shd w:val="clear" w:color="auto" w:fill="F5EFE4"/>
          </w:tcPr>
          <w:p>
            <w:pPr>
              <w:spacing w:before="40" w:after="40"/>
            </w:pPr>
            <w:r/>
            <w:r>
              <w:rPr>
                <w:b w:val="0"/>
                <w:sz w:val="18"/>
              </w:rPr>
              <w:t>4 GB RAM, 20 GB storage</w:t>
            </w:r>
          </w:p>
        </w:tc>
        <w:tc>
          <w:tcPr>
            <w:tcW w:type="dxa" w:w="1656"/>
            <w:shd w:val="clear" w:color="auto" w:fill="F5EFE4"/>
          </w:tcPr>
          <w:p>
            <w:pPr>
              <w:spacing w:before="40" w:after="40"/>
              <w:jc w:val="right"/>
            </w:pPr>
            <w:r/>
            <w:r>
              <w:rPr>
                <w:b w:val="0"/>
                <w:sz w:val="18"/>
              </w:rPr>
              <w:t>₹14,295</w:t>
            </w:r>
          </w:p>
        </w:tc>
        <w:tc>
          <w:tcPr>
            <w:tcW w:type="dxa" w:w="1512"/>
            <w:shd w:val="clear" w:color="auto" w:fill="F5EFE4"/>
          </w:tcPr>
          <w:p>
            <w:pPr>
              <w:spacing w:before="40" w:after="40"/>
              <w:jc w:val="right"/>
            </w:pPr>
            <w:r/>
            <w:r>
              <w:rPr>
                <w:b w:val="0"/>
                <w:sz w:val="18"/>
              </w:rPr>
              <w:t>₹1,430</w:t>
            </w:r>
          </w:p>
        </w:tc>
        <w:tc>
          <w:tcPr>
            <w:tcW w:type="dxa" w:w="1728"/>
            <w:shd w:val="clear" w:color="auto" w:fill="F5EFE4"/>
          </w:tcPr>
          <w:p>
            <w:pPr>
              <w:spacing w:before="40" w:after="40"/>
              <w:jc w:val="right"/>
            </w:pPr>
            <w:r/>
            <w:r>
              <w:rPr>
                <w:b w:val="0"/>
                <w:sz w:val="18"/>
              </w:rPr>
              <w:t>₹15,725</w:t>
            </w:r>
          </w:p>
        </w:tc>
      </w:tr>
      <w:tr>
        <w:tc>
          <w:tcPr>
            <w:tcW w:type="dxa" w:w="1008"/>
          </w:tcPr>
          <w:p>
            <w:pPr>
              <w:spacing w:before="40" w:after="40"/>
            </w:pPr>
            <w:r/>
            <w:r>
              <w:rPr>
                <w:b w:val="0"/>
                <w:sz w:val="18"/>
              </w:rPr>
              <w:t>S3</w:t>
            </w:r>
          </w:p>
        </w:tc>
        <w:tc>
          <w:tcPr>
            <w:tcW w:type="dxa" w:w="1008"/>
          </w:tcPr>
          <w:p>
            <w:pPr>
              <w:spacing w:before="40" w:after="40"/>
            </w:pPr>
            <w:r/>
            <w:r>
              <w:rPr>
                <w:b w:val="0"/>
                <w:sz w:val="18"/>
              </w:rPr>
              <w:t>M30</w:t>
            </w:r>
          </w:p>
        </w:tc>
        <w:tc>
          <w:tcPr>
            <w:tcW w:type="dxa" w:w="2736"/>
          </w:tcPr>
          <w:p>
            <w:pPr>
              <w:spacing w:before="40" w:after="40"/>
            </w:pPr>
            <w:r/>
            <w:r>
              <w:rPr>
                <w:b w:val="0"/>
                <w:sz w:val="18"/>
              </w:rPr>
              <w:t>8 GB RAM, 40 GB storage</w:t>
            </w:r>
          </w:p>
        </w:tc>
        <w:tc>
          <w:tcPr>
            <w:tcW w:type="dxa" w:w="1656"/>
          </w:tcPr>
          <w:p>
            <w:pPr>
              <w:spacing w:before="40" w:after="40"/>
              <w:jc w:val="right"/>
            </w:pPr>
            <w:r/>
            <w:r>
              <w:rPr>
                <w:b w:val="0"/>
                <w:sz w:val="18"/>
              </w:rPr>
              <w:t>₹38,120</w:t>
            </w:r>
          </w:p>
        </w:tc>
        <w:tc>
          <w:tcPr>
            <w:tcW w:type="dxa" w:w="1512"/>
          </w:tcPr>
          <w:p>
            <w:pPr>
              <w:spacing w:before="40" w:after="40"/>
              <w:jc w:val="right"/>
            </w:pPr>
            <w:r/>
            <w:r>
              <w:rPr>
                <w:b w:val="0"/>
                <w:sz w:val="18"/>
              </w:rPr>
              <w:t>₹3,812</w:t>
            </w:r>
          </w:p>
        </w:tc>
        <w:tc>
          <w:tcPr>
            <w:tcW w:type="dxa" w:w="1728"/>
          </w:tcPr>
          <w:p>
            <w:pPr>
              <w:spacing w:before="40" w:after="40"/>
              <w:jc w:val="right"/>
            </w:pPr>
            <w:r/>
            <w:r>
              <w:rPr>
                <w:b w:val="0"/>
                <w:sz w:val="18"/>
              </w:rPr>
              <w:t>₹41,932</w:t>
            </w:r>
          </w:p>
        </w:tc>
      </w:tr>
    </w:tbl>
    <w:p>
      <w:pPr>
        <w:spacing w:after="80"/>
      </w:pPr>
    </w:p>
    <w:p>
      <w:pPr>
        <w:spacing w:after="120"/>
      </w:pPr>
      <w:r>
        <w:rPr>
          <w:b w:val="0"/>
          <w:i w:val="0"/>
          <w:sz w:val="20"/>
        </w:rPr>
        <w:t>Two behaviours already built into the system keep this line down. Raw analytics events and in-app notifications both expire automatically after 180 days, bounding the two highest-volume collections. Soft-deleted accounts are anonymised after a 30-day grace period rather than retained indefinitely.</w:t>
      </w:r>
    </w:p>
    <w:p>
      <w:pPr>
        <w:spacing w:after="160"/>
        <w:ind w:left="259"/>
      </w:pPr>
      <w:r>
        <w:rPr>
          <w:i/>
          <w:color w:val="6A647E"/>
          <w:sz w:val="17"/>
        </w:rPr>
        <w:t>Atlas bills in US dollars. Data transfer out of Atlas and any future Atlas Search nodes are charged separately and are not included above.</w:t>
      </w:r>
    </w:p>
    <w:p>
      <w:pPr>
        <w:pStyle w:val="Heading2"/>
        <w:spacing w:before="240" w:after="80"/>
      </w:pPr>
      <w:r>
        <w:rPr>
          <w:color w:val="7B3A8F"/>
          <w:sz w:val="25"/>
        </w:rPr>
        <w:t>5.3 Cache, queues and real-time — self-hosted Redis</w:t>
      </w:r>
    </w:p>
    <w:p>
      <w:pPr>
        <w:spacing w:after="120"/>
      </w:pPr>
      <w:r>
        <w:rPr>
          <w:b w:val="0"/>
          <w:i w:val="0"/>
          <w:sz w:val="20"/>
        </w:rPr>
        <w:t>Redis runs in a container on the application VPS and carries no licence or service charge. Its cost is the VPS memory and CPU it occupies, which is already reflected in the plan sizing above — hence the ₹0 line in §6.</w:t>
      </w:r>
    </w:p>
    <w:p>
      <w:pPr>
        <w:spacing w:before="120" w:after="200"/>
        <w:ind w:left="216"/>
      </w:pPr>
      <w:r>
        <w:rPr>
          <w:b/>
          <w:color w:val="C0392B"/>
          <w:sz w:val="19"/>
        </w:rPr>
        <w:t>This is the one place where the low-cost architecture accepts real risk. Redis holds the job queues; if the node is lost without persistence configured, queued notifications, analytics roll-ups and pending reel compiles are lost with it. Append-only persistence must be enabled and the data directory included in the VPS backup schedule. At S3 the estimate places Redis on its own node for this reason.</w:t>
      </w:r>
    </w:p>
    <w:p>
      <w:pPr>
        <w:pStyle w:val="Heading2"/>
        <w:spacing w:before="240" w:after="80"/>
      </w:pPr>
      <w:r>
        <w:rPr>
          <w:color w:val="7B3A8F"/>
          <w:sz w:val="25"/>
        </w:rPr>
        <w:t>5.4 Media storage and delivery — Cloudinary</w:t>
      </w:r>
    </w:p>
    <w:p>
      <w:pPr>
        <w:spacing w:after="120"/>
      </w:pPr>
      <w:r>
        <w:rPr>
          <w:b w:val="0"/>
          <w:i w:val="0"/>
          <w:sz w:val="20"/>
        </w:rPr>
        <w:t>Cloudinary handles storage, transformation and CDN delivery of all user-generated media: avatars, memory photos and videos, invitation uploads (the app accepts GIF, MP4 and PDF as well as stills) and compiled reel outputs.</w:t>
      </w:r>
    </w:p>
    <w:p>
      <w:pPr>
        <w:pStyle w:val="Heading3"/>
        <w:spacing w:before="200" w:after="60"/>
      </w:pPr>
      <w:r>
        <w:rPr>
          <w:color w:val="1E1B3A"/>
          <w:sz w:val="22"/>
        </w:rPr>
        <w:t>How Cloudinary bills</w:t>
      </w:r>
    </w:p>
    <w:p>
      <w:pPr>
        <w:spacing w:after="120"/>
      </w:pPr>
      <w:r>
        <w:rPr>
          <w:b w:val="0"/>
          <w:i w:val="0"/>
          <w:sz w:val="20"/>
        </w:rPr>
        <w:t>Cloudinary does not price storage and bandwidth separately. It sells credits, and one credit buys any one of the following:</w:t>
      </w:r>
    </w:p>
    <w:tbl>
      <w:tblPr>
        <w:tblStyle w:val="TableGrid"/>
        <w:tblW w:type="auto" w:w="0"/>
        <w:jc w:val="center"/>
        <w:tblLayout w:type="fixed"/>
        <w:tblLook w:firstColumn="1" w:firstRow="1" w:lastColumn="0" w:lastRow="0" w:noHBand="0" w:noVBand="1" w:val="04A0"/>
      </w:tblPr>
      <w:tblGrid>
        <w:gridCol w:w="4968"/>
        <w:gridCol w:w="4968"/>
      </w:tblGrid>
      <w:tr>
        <w:tc>
          <w:tcPr>
            <w:tcW w:type="dxa" w:w="5184"/>
            <w:shd w:val="clear" w:color="auto" w:fill="3F0E4C"/>
          </w:tcPr>
          <w:p>
            <w:pPr>
              <w:spacing w:before="40" w:after="40"/>
            </w:pPr>
            <w:r/>
            <w:r>
              <w:rPr>
                <w:b/>
                <w:color w:val="FFFFFF"/>
                <w:sz w:val="18"/>
              </w:rPr>
              <w:t>One credit covers</w:t>
            </w:r>
          </w:p>
        </w:tc>
        <w:tc>
          <w:tcPr>
            <w:tcW w:type="dxa" w:w="4464"/>
            <w:shd w:val="clear" w:color="auto" w:fill="3F0E4C"/>
          </w:tcPr>
          <w:p>
            <w:pPr>
              <w:spacing w:before="40" w:after="40"/>
            </w:pPr>
            <w:r/>
            <w:r>
              <w:rPr>
                <w:b/>
                <w:color w:val="FFFFFF"/>
                <w:sz w:val="18"/>
              </w:rPr>
              <w:t>Unit</w:t>
            </w:r>
          </w:p>
        </w:tc>
      </w:tr>
      <w:tr>
        <w:tc>
          <w:tcPr>
            <w:tcW w:type="dxa" w:w="5184"/>
          </w:tcPr>
          <w:p>
            <w:pPr>
              <w:spacing w:before="40" w:after="40"/>
            </w:pPr>
            <w:r/>
            <w:r>
              <w:rPr>
                <w:b w:val="0"/>
                <w:sz w:val="18"/>
              </w:rPr>
              <w:t>Managed storage</w:t>
            </w:r>
          </w:p>
        </w:tc>
        <w:tc>
          <w:tcPr>
            <w:tcW w:type="dxa" w:w="4464"/>
          </w:tcPr>
          <w:p>
            <w:pPr>
              <w:spacing w:before="40" w:after="40"/>
            </w:pPr>
            <w:r/>
            <w:r>
              <w:rPr>
                <w:b w:val="0"/>
                <w:sz w:val="18"/>
              </w:rPr>
              <w:t>1 GB</w:t>
            </w:r>
          </w:p>
        </w:tc>
      </w:tr>
      <w:tr>
        <w:tc>
          <w:tcPr>
            <w:tcW w:type="dxa" w:w="5184"/>
            <w:shd w:val="clear" w:color="auto" w:fill="F5EFE4"/>
          </w:tcPr>
          <w:p>
            <w:pPr>
              <w:spacing w:before="40" w:after="40"/>
            </w:pPr>
            <w:r/>
            <w:r>
              <w:rPr>
                <w:b w:val="0"/>
                <w:sz w:val="18"/>
              </w:rPr>
              <w:t>Delivered bandwidth (images)</w:t>
            </w:r>
          </w:p>
        </w:tc>
        <w:tc>
          <w:tcPr>
            <w:tcW w:type="dxa" w:w="4464"/>
            <w:shd w:val="clear" w:color="auto" w:fill="F5EFE4"/>
          </w:tcPr>
          <w:p>
            <w:pPr>
              <w:spacing w:before="40" w:after="40"/>
            </w:pPr>
            <w:r/>
            <w:r>
              <w:rPr>
                <w:b w:val="0"/>
                <w:sz w:val="18"/>
              </w:rPr>
              <w:t>1 GB</w:t>
            </w:r>
          </w:p>
        </w:tc>
      </w:tr>
      <w:tr>
        <w:tc>
          <w:tcPr>
            <w:tcW w:type="dxa" w:w="5184"/>
          </w:tcPr>
          <w:p>
            <w:pPr>
              <w:spacing w:before="40" w:after="40"/>
            </w:pPr>
            <w:r/>
            <w:r>
              <w:rPr>
                <w:b w:val="0"/>
                <w:sz w:val="18"/>
              </w:rPr>
              <w:t>Delivered bandwidth (video, paid plans)</w:t>
            </w:r>
          </w:p>
        </w:tc>
        <w:tc>
          <w:tcPr>
            <w:tcW w:type="dxa" w:w="4464"/>
          </w:tcPr>
          <w:p>
            <w:pPr>
              <w:spacing w:before="40" w:after="40"/>
            </w:pPr>
            <w:r/>
            <w:r>
              <w:rPr>
                <w:b w:val="0"/>
                <w:sz w:val="18"/>
              </w:rPr>
              <w:t>2 GB — credited at 2:1</w:t>
            </w:r>
          </w:p>
        </w:tc>
      </w:tr>
      <w:tr>
        <w:tc>
          <w:tcPr>
            <w:tcW w:type="dxa" w:w="5184"/>
            <w:shd w:val="clear" w:color="auto" w:fill="F5EFE4"/>
          </w:tcPr>
          <w:p>
            <w:pPr>
              <w:spacing w:before="40" w:after="40"/>
            </w:pPr>
            <w:r/>
            <w:r>
              <w:rPr>
                <w:b w:val="0"/>
                <w:sz w:val="18"/>
              </w:rPr>
              <w:t>Transformations</w:t>
            </w:r>
          </w:p>
        </w:tc>
        <w:tc>
          <w:tcPr>
            <w:tcW w:type="dxa" w:w="4464"/>
            <w:shd w:val="clear" w:color="auto" w:fill="F5EFE4"/>
          </w:tcPr>
          <w:p>
            <w:pPr>
              <w:spacing w:before="40" w:after="40"/>
            </w:pPr>
            <w:r/>
            <w:r>
              <w:rPr>
                <w:b w:val="0"/>
                <w:sz w:val="18"/>
              </w:rPr>
              <w:t>1,000</w:t>
            </w:r>
          </w:p>
        </w:tc>
      </w:tr>
      <w:tr>
        <w:tc>
          <w:tcPr>
            <w:tcW w:type="dxa" w:w="5184"/>
          </w:tcPr>
          <w:p>
            <w:pPr>
              <w:spacing w:before="40" w:after="40"/>
            </w:pPr>
            <w:r/>
            <w:r>
              <w:rPr>
                <w:b w:val="0"/>
                <w:sz w:val="18"/>
              </w:rPr>
              <w:t>Video processing</w:t>
            </w:r>
          </w:p>
        </w:tc>
        <w:tc>
          <w:tcPr>
            <w:tcW w:type="dxa" w:w="4464"/>
          </w:tcPr>
          <w:p>
            <w:pPr>
              <w:spacing w:before="40" w:after="40"/>
            </w:pPr>
            <w:r/>
            <w:r>
              <w:rPr>
                <w:b w:val="0"/>
                <w:sz w:val="18"/>
              </w:rPr>
              <w:t>500 SD seconds or 250 HD seconds</w:t>
            </w:r>
          </w:p>
        </w:tc>
      </w:tr>
    </w:tbl>
    <w:p>
      <w:pPr>
        <w:spacing w:after="80"/>
      </w:pP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728"/>
            <w:shd w:val="clear" w:color="auto" w:fill="3F0E4C"/>
          </w:tcPr>
          <w:p>
            <w:pPr>
              <w:spacing w:before="40" w:after="40"/>
            </w:pPr>
            <w:r/>
            <w:r>
              <w:rPr>
                <w:b/>
                <w:color w:val="FFFFFF"/>
                <w:sz w:val="18"/>
              </w:rPr>
              <w:t>Plan</w:t>
            </w:r>
          </w:p>
        </w:tc>
        <w:tc>
          <w:tcPr>
            <w:tcW w:type="dxa" w:w="2160"/>
            <w:shd w:val="clear" w:color="auto" w:fill="3F0E4C"/>
          </w:tcPr>
          <w:p>
            <w:pPr>
              <w:spacing w:before="40" w:after="40"/>
            </w:pPr>
            <w:r/>
            <w:r>
              <w:rPr>
                <w:b/>
                <w:color w:val="FFFFFF"/>
                <w:sz w:val="18"/>
              </w:rPr>
              <w:t>Credits / month</w:t>
            </w:r>
          </w:p>
        </w:tc>
        <w:tc>
          <w:tcPr>
            <w:tcW w:type="dxa" w:w="3168"/>
            <w:shd w:val="clear" w:color="auto" w:fill="3F0E4C"/>
          </w:tcPr>
          <w:p>
            <w:pPr>
              <w:spacing w:before="40" w:after="40"/>
            </w:pPr>
            <w:r/>
            <w:r>
              <w:rPr>
                <w:b/>
                <w:color w:val="FFFFFF"/>
                <w:sz w:val="18"/>
              </w:rPr>
              <w:t>Price (USD)</w:t>
            </w:r>
          </w:p>
        </w:tc>
        <w:tc>
          <w:tcPr>
            <w:tcW w:type="dxa" w:w="2592"/>
            <w:shd w:val="clear" w:color="auto" w:fill="3F0E4C"/>
          </w:tcPr>
          <w:p>
            <w:pPr>
              <w:spacing w:before="40" w:after="40"/>
            </w:pPr>
            <w:r/>
            <w:r>
              <w:rPr>
                <w:b/>
                <w:color w:val="FFFFFF"/>
                <w:sz w:val="18"/>
              </w:rPr>
              <w:t>Price (INR)</w:t>
            </w:r>
          </w:p>
        </w:tc>
      </w:tr>
      <w:tr>
        <w:tc>
          <w:tcPr>
            <w:tcW w:type="dxa" w:w="1728"/>
          </w:tcPr>
          <w:p>
            <w:pPr>
              <w:spacing w:before="40" w:after="40"/>
            </w:pPr>
            <w:r/>
            <w:r>
              <w:rPr>
                <w:b w:val="0"/>
                <w:sz w:val="18"/>
              </w:rPr>
              <w:t>Free</w:t>
            </w:r>
          </w:p>
        </w:tc>
        <w:tc>
          <w:tcPr>
            <w:tcW w:type="dxa" w:w="2160"/>
          </w:tcPr>
          <w:p>
            <w:pPr>
              <w:spacing w:before="40" w:after="40"/>
              <w:jc w:val="right"/>
            </w:pPr>
            <w:r/>
            <w:r>
              <w:rPr>
                <w:b w:val="0"/>
                <w:sz w:val="18"/>
              </w:rPr>
              <w:t>25</w:t>
            </w:r>
          </w:p>
        </w:tc>
        <w:tc>
          <w:tcPr>
            <w:tcW w:type="dxa" w:w="3168"/>
          </w:tcPr>
          <w:p>
            <w:pPr>
              <w:spacing w:before="40" w:after="40"/>
            </w:pPr>
            <w:r/>
            <w:r>
              <w:rPr>
                <w:b w:val="0"/>
                <w:sz w:val="18"/>
              </w:rPr>
              <w:t>—</w:t>
            </w:r>
          </w:p>
        </w:tc>
        <w:tc>
          <w:tcPr>
            <w:tcW w:type="dxa" w:w="2592"/>
          </w:tcPr>
          <w:p>
            <w:pPr>
              <w:spacing w:before="40" w:after="40"/>
              <w:jc w:val="right"/>
            </w:pPr>
            <w:r/>
            <w:r>
              <w:rPr>
                <w:b w:val="0"/>
                <w:sz w:val="18"/>
              </w:rPr>
              <w:t>₹0</w:t>
            </w:r>
          </w:p>
        </w:tc>
      </w:tr>
      <w:tr>
        <w:tc>
          <w:tcPr>
            <w:tcW w:type="dxa" w:w="1728"/>
            <w:shd w:val="clear" w:color="auto" w:fill="F5EFE4"/>
          </w:tcPr>
          <w:p>
            <w:pPr>
              <w:spacing w:before="40" w:after="40"/>
            </w:pPr>
            <w:r/>
            <w:r>
              <w:rPr>
                <w:b w:val="0"/>
                <w:sz w:val="18"/>
              </w:rPr>
              <w:t>Plus</w:t>
            </w:r>
          </w:p>
        </w:tc>
        <w:tc>
          <w:tcPr>
            <w:tcW w:type="dxa" w:w="2160"/>
            <w:shd w:val="clear" w:color="auto" w:fill="F5EFE4"/>
          </w:tcPr>
          <w:p>
            <w:pPr>
              <w:spacing w:before="40" w:after="40"/>
              <w:jc w:val="right"/>
            </w:pPr>
            <w:r/>
            <w:r>
              <w:rPr>
                <w:b w:val="0"/>
                <w:sz w:val="18"/>
              </w:rPr>
              <w:t>225</w:t>
            </w:r>
          </w:p>
        </w:tc>
        <w:tc>
          <w:tcPr>
            <w:tcW w:type="dxa" w:w="3168"/>
            <w:shd w:val="clear" w:color="auto" w:fill="F5EFE4"/>
          </w:tcPr>
          <w:p>
            <w:pPr>
              <w:spacing w:before="40" w:after="40"/>
            </w:pPr>
            <w:r/>
            <w:r>
              <w:rPr>
                <w:b w:val="0"/>
                <w:sz w:val="18"/>
              </w:rPr>
              <w:t>$99 monthly / $89 annual</w:t>
            </w:r>
          </w:p>
        </w:tc>
        <w:tc>
          <w:tcPr>
            <w:tcW w:type="dxa" w:w="2592"/>
            <w:shd w:val="clear" w:color="auto" w:fill="F5EFE4"/>
          </w:tcPr>
          <w:p>
            <w:pPr>
              <w:spacing w:before="40" w:after="40"/>
              <w:jc w:val="right"/>
            </w:pPr>
            <w:r/>
            <w:r>
              <w:rPr>
                <w:b w:val="0"/>
                <w:sz w:val="18"/>
              </w:rPr>
              <w:t>₹9,435</w:t>
            </w:r>
          </w:p>
        </w:tc>
      </w:tr>
      <w:tr>
        <w:tc>
          <w:tcPr>
            <w:tcW w:type="dxa" w:w="1728"/>
          </w:tcPr>
          <w:p>
            <w:pPr>
              <w:spacing w:before="40" w:after="40"/>
            </w:pPr>
            <w:r/>
            <w:r>
              <w:rPr>
                <w:b w:val="0"/>
                <w:sz w:val="18"/>
              </w:rPr>
              <w:t>Advanced</w:t>
            </w:r>
          </w:p>
        </w:tc>
        <w:tc>
          <w:tcPr>
            <w:tcW w:type="dxa" w:w="2160"/>
          </w:tcPr>
          <w:p>
            <w:pPr>
              <w:spacing w:before="40" w:after="40"/>
              <w:jc w:val="right"/>
            </w:pPr>
            <w:r/>
            <w:r>
              <w:rPr>
                <w:b w:val="0"/>
                <w:sz w:val="18"/>
              </w:rPr>
              <w:t>600</w:t>
            </w:r>
          </w:p>
        </w:tc>
        <w:tc>
          <w:tcPr>
            <w:tcW w:type="dxa" w:w="3168"/>
          </w:tcPr>
          <w:p>
            <w:pPr>
              <w:spacing w:before="40" w:after="40"/>
            </w:pPr>
            <w:r/>
            <w:r>
              <w:rPr>
                <w:b w:val="0"/>
                <w:sz w:val="18"/>
              </w:rPr>
              <w:t>$249 monthly / $224 annual</w:t>
            </w:r>
          </w:p>
        </w:tc>
        <w:tc>
          <w:tcPr>
            <w:tcW w:type="dxa" w:w="2592"/>
          </w:tcPr>
          <w:p>
            <w:pPr>
              <w:spacing w:before="40" w:after="40"/>
              <w:jc w:val="right"/>
            </w:pPr>
            <w:r/>
            <w:r>
              <w:rPr>
                <w:b w:val="0"/>
                <w:sz w:val="18"/>
              </w:rPr>
              <w:t>₹23,730</w:t>
            </w:r>
          </w:p>
        </w:tc>
      </w:tr>
      <w:tr>
        <w:tc>
          <w:tcPr>
            <w:tcW w:type="dxa" w:w="1728"/>
            <w:shd w:val="clear" w:color="auto" w:fill="F5EFE4"/>
          </w:tcPr>
          <w:p>
            <w:pPr>
              <w:spacing w:before="40" w:after="40"/>
            </w:pPr>
            <w:r/>
            <w:r>
              <w:rPr>
                <w:b w:val="0"/>
                <w:sz w:val="18"/>
              </w:rPr>
              <w:t>Enterprise</w:t>
            </w:r>
          </w:p>
        </w:tc>
        <w:tc>
          <w:tcPr>
            <w:tcW w:type="dxa" w:w="2160"/>
            <w:shd w:val="clear" w:color="auto" w:fill="F5EFE4"/>
          </w:tcPr>
          <w:p>
            <w:pPr>
              <w:spacing w:before="40" w:after="40"/>
              <w:jc w:val="right"/>
            </w:pPr>
            <w:r/>
            <w:r>
              <w:rPr>
                <w:b w:val="0"/>
                <w:sz w:val="18"/>
              </w:rPr>
              <w:t>Custom</w:t>
            </w:r>
          </w:p>
        </w:tc>
        <w:tc>
          <w:tcPr>
            <w:tcW w:type="dxa" w:w="3168"/>
            <w:shd w:val="clear" w:color="auto" w:fill="F5EFE4"/>
          </w:tcPr>
          <w:p>
            <w:pPr>
              <w:spacing w:before="40" w:after="40"/>
            </w:pPr>
            <w:r/>
            <w:r>
              <w:rPr>
                <w:b w:val="0"/>
                <w:sz w:val="18"/>
              </w:rPr>
              <w:t>Negotiated</w:t>
            </w:r>
          </w:p>
        </w:tc>
        <w:tc>
          <w:tcPr>
            <w:tcW w:type="dxa" w:w="2592"/>
            <w:shd w:val="clear" w:color="auto" w:fill="F5EFE4"/>
          </w:tcPr>
          <w:p>
            <w:pPr>
              <w:spacing w:before="40" w:after="40"/>
              <w:jc w:val="right"/>
            </w:pPr>
            <w:r/>
            <w:r>
              <w:rPr>
                <w:b w:val="0"/>
                <w:sz w:val="18"/>
              </w:rPr>
              <w:t>Volume-based</w:t>
            </w:r>
          </w:p>
        </w:tc>
      </w:tr>
    </w:tbl>
    <w:p>
      <w:pPr>
        <w:spacing w:after="80"/>
      </w:pPr>
    </w:p>
    <w:p>
      <w:pPr>
        <w:pStyle w:val="Heading3"/>
        <w:spacing w:before="200" w:after="60"/>
      </w:pPr>
      <w:r>
        <w:rPr>
          <w:color w:val="1E1B3A"/>
          <w:sz w:val="22"/>
        </w:rPr>
        <w:t>Modelled consumption</w:t>
      </w:r>
    </w:p>
    <w:tbl>
      <w:tblPr>
        <w:tblStyle w:val="TableGrid"/>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936"/>
            <w:shd w:val="clear" w:color="auto" w:fill="3F0E4C"/>
          </w:tcPr>
          <w:p>
            <w:pPr>
              <w:spacing w:before="40" w:after="40"/>
            </w:pPr>
            <w:r/>
            <w:r>
              <w:rPr>
                <w:b/>
                <w:color w:val="FFFFFF"/>
                <w:sz w:val="18"/>
              </w:rPr>
              <w:t>Scenario</w:t>
            </w:r>
          </w:p>
        </w:tc>
        <w:tc>
          <w:tcPr>
            <w:tcW w:type="dxa" w:w="1152"/>
            <w:shd w:val="clear" w:color="auto" w:fill="3F0E4C"/>
          </w:tcPr>
          <w:p>
            <w:pPr>
              <w:spacing w:before="40" w:after="40"/>
            </w:pPr>
            <w:r/>
            <w:r>
              <w:rPr>
                <w:b/>
                <w:color w:val="FFFFFF"/>
                <w:sz w:val="18"/>
              </w:rPr>
              <w:t>Stored</w:t>
            </w:r>
          </w:p>
        </w:tc>
        <w:tc>
          <w:tcPr>
            <w:tcW w:type="dxa" w:w="1224"/>
            <w:shd w:val="clear" w:color="auto" w:fill="3F0E4C"/>
          </w:tcPr>
          <w:p>
            <w:pPr>
              <w:spacing w:before="40" w:after="40"/>
            </w:pPr>
            <w:r/>
            <w:r>
              <w:rPr>
                <w:b/>
                <w:color w:val="FFFFFF"/>
                <w:sz w:val="18"/>
              </w:rPr>
              <w:t>Delivered</w:t>
            </w:r>
          </w:p>
        </w:tc>
        <w:tc>
          <w:tcPr>
            <w:tcW w:type="dxa" w:w="1872"/>
            <w:shd w:val="clear" w:color="auto" w:fill="3F0E4C"/>
          </w:tcPr>
          <w:p>
            <w:pPr>
              <w:spacing w:before="40" w:after="40"/>
            </w:pPr>
            <w:r/>
            <w:r>
              <w:rPr>
                <w:b/>
                <w:color w:val="FFFFFF"/>
                <w:sz w:val="18"/>
              </w:rPr>
              <w:t>Transformations</w:t>
            </w:r>
          </w:p>
        </w:tc>
        <w:tc>
          <w:tcPr>
            <w:tcW w:type="dxa" w:w="1152"/>
            <w:shd w:val="clear" w:color="auto" w:fill="3F0E4C"/>
          </w:tcPr>
          <w:p>
            <w:pPr>
              <w:spacing w:before="40" w:after="40"/>
            </w:pPr>
            <w:r/>
            <w:r>
              <w:rPr>
                <w:b/>
                <w:color w:val="FFFFFF"/>
                <w:sz w:val="18"/>
              </w:rPr>
              <w:t>Credits</w:t>
            </w:r>
          </w:p>
        </w:tc>
        <w:tc>
          <w:tcPr>
            <w:tcW w:type="dxa" w:w="1584"/>
            <w:shd w:val="clear" w:color="auto" w:fill="3F0E4C"/>
          </w:tcPr>
          <w:p>
            <w:pPr>
              <w:spacing w:before="40" w:after="40"/>
            </w:pPr>
            <w:r/>
            <w:r>
              <w:rPr>
                <w:b/>
                <w:color w:val="FFFFFF"/>
                <w:sz w:val="18"/>
              </w:rPr>
              <w:t>Plan</w:t>
            </w:r>
          </w:p>
        </w:tc>
        <w:tc>
          <w:tcPr>
            <w:tcW w:type="dxa" w:w="1728"/>
            <w:shd w:val="clear" w:color="auto" w:fill="3F0E4C"/>
          </w:tcPr>
          <w:p>
            <w:pPr>
              <w:spacing w:before="40" w:after="40"/>
            </w:pPr>
            <w:r/>
            <w:r>
              <w:rPr>
                <w:b/>
                <w:color w:val="FFFFFF"/>
                <w:sz w:val="18"/>
              </w:rPr>
              <w:t>Monthly</w:t>
            </w:r>
          </w:p>
        </w:tc>
      </w:tr>
      <w:tr>
        <w:tc>
          <w:tcPr>
            <w:tcW w:type="dxa" w:w="936"/>
          </w:tcPr>
          <w:p>
            <w:pPr>
              <w:spacing w:before="40" w:after="40"/>
            </w:pPr>
            <w:r/>
            <w:r>
              <w:rPr>
                <w:b w:val="0"/>
                <w:sz w:val="18"/>
              </w:rPr>
              <w:t>S1</w:t>
            </w:r>
          </w:p>
        </w:tc>
        <w:tc>
          <w:tcPr>
            <w:tcW w:type="dxa" w:w="1152"/>
          </w:tcPr>
          <w:p>
            <w:pPr>
              <w:spacing w:before="40" w:after="40"/>
              <w:jc w:val="right"/>
            </w:pPr>
            <w:r/>
            <w:r>
              <w:rPr>
                <w:b w:val="0"/>
                <w:sz w:val="18"/>
              </w:rPr>
              <w:t>15 GB</w:t>
            </w:r>
          </w:p>
        </w:tc>
        <w:tc>
          <w:tcPr>
            <w:tcW w:type="dxa" w:w="1224"/>
          </w:tcPr>
          <w:p>
            <w:pPr>
              <w:spacing w:before="40" w:after="40"/>
              <w:jc w:val="right"/>
            </w:pPr>
            <w:r/>
            <w:r>
              <w:rPr>
                <w:b w:val="0"/>
                <w:sz w:val="18"/>
              </w:rPr>
              <w:t>60 GB</w:t>
            </w:r>
          </w:p>
        </w:tc>
        <w:tc>
          <w:tcPr>
            <w:tcW w:type="dxa" w:w="1872"/>
          </w:tcPr>
          <w:p>
            <w:pPr>
              <w:spacing w:before="40" w:after="40"/>
              <w:jc w:val="right"/>
            </w:pPr>
            <w:r/>
            <w:r>
              <w:rPr>
                <w:b w:val="0"/>
                <w:sz w:val="18"/>
              </w:rPr>
              <w:t>~30,000</w:t>
            </w:r>
          </w:p>
        </w:tc>
        <w:tc>
          <w:tcPr>
            <w:tcW w:type="dxa" w:w="1152"/>
          </w:tcPr>
          <w:p>
            <w:pPr>
              <w:spacing w:before="40" w:after="40"/>
              <w:jc w:val="right"/>
            </w:pPr>
            <w:r/>
            <w:r>
              <w:rPr>
                <w:b w:val="0"/>
                <w:sz w:val="18"/>
              </w:rPr>
              <w:t>~90</w:t>
            </w:r>
          </w:p>
        </w:tc>
        <w:tc>
          <w:tcPr>
            <w:tcW w:type="dxa" w:w="1584"/>
          </w:tcPr>
          <w:p>
            <w:pPr>
              <w:spacing w:before="40" w:after="40"/>
            </w:pPr>
            <w:r/>
            <w:r>
              <w:rPr>
                <w:b w:val="0"/>
                <w:sz w:val="18"/>
              </w:rPr>
              <w:t>Plus</w:t>
            </w:r>
          </w:p>
        </w:tc>
        <w:tc>
          <w:tcPr>
            <w:tcW w:type="dxa" w:w="1728"/>
          </w:tcPr>
          <w:p>
            <w:pPr>
              <w:spacing w:before="40" w:after="40"/>
              <w:jc w:val="right"/>
            </w:pPr>
            <w:r/>
            <w:r>
              <w:rPr>
                <w:b w:val="0"/>
                <w:sz w:val="18"/>
              </w:rPr>
              <w:t>₹9,435</w:t>
            </w:r>
          </w:p>
        </w:tc>
      </w:tr>
      <w:tr>
        <w:tc>
          <w:tcPr>
            <w:tcW w:type="dxa" w:w="936"/>
            <w:shd w:val="clear" w:color="auto" w:fill="F5EFE4"/>
          </w:tcPr>
          <w:p>
            <w:pPr>
              <w:spacing w:before="40" w:after="40"/>
            </w:pPr>
            <w:r/>
            <w:r>
              <w:rPr>
                <w:b w:val="0"/>
                <w:sz w:val="18"/>
              </w:rPr>
              <w:t>S2</w:t>
            </w:r>
          </w:p>
        </w:tc>
        <w:tc>
          <w:tcPr>
            <w:tcW w:type="dxa" w:w="1152"/>
            <w:shd w:val="clear" w:color="auto" w:fill="F5EFE4"/>
          </w:tcPr>
          <w:p>
            <w:pPr>
              <w:spacing w:before="40" w:after="40"/>
              <w:jc w:val="right"/>
            </w:pPr>
            <w:r/>
            <w:r>
              <w:rPr>
                <w:b w:val="0"/>
                <w:sz w:val="18"/>
              </w:rPr>
              <w:t>360 GB</w:t>
            </w:r>
          </w:p>
        </w:tc>
        <w:tc>
          <w:tcPr>
            <w:tcW w:type="dxa" w:w="1224"/>
            <w:shd w:val="clear" w:color="auto" w:fill="F5EFE4"/>
          </w:tcPr>
          <w:p>
            <w:pPr>
              <w:spacing w:before="40" w:after="40"/>
              <w:jc w:val="right"/>
            </w:pPr>
            <w:r/>
            <w:r>
              <w:rPr>
                <w:b w:val="0"/>
                <w:sz w:val="18"/>
              </w:rPr>
              <w:t>600 GB</w:t>
            </w:r>
          </w:p>
        </w:tc>
        <w:tc>
          <w:tcPr>
            <w:tcW w:type="dxa" w:w="1872"/>
            <w:shd w:val="clear" w:color="auto" w:fill="F5EFE4"/>
          </w:tcPr>
          <w:p>
            <w:pPr>
              <w:spacing w:before="40" w:after="40"/>
              <w:jc w:val="right"/>
            </w:pPr>
            <w:r/>
            <w:r>
              <w:rPr>
                <w:b w:val="0"/>
                <w:sz w:val="18"/>
              </w:rPr>
              <w:t>~300,000</w:t>
            </w:r>
          </w:p>
        </w:tc>
        <w:tc>
          <w:tcPr>
            <w:tcW w:type="dxa" w:w="1152"/>
            <w:shd w:val="clear" w:color="auto" w:fill="F5EFE4"/>
          </w:tcPr>
          <w:p>
            <w:pPr>
              <w:spacing w:before="40" w:after="40"/>
              <w:jc w:val="right"/>
            </w:pPr>
            <w:r/>
            <w:r>
              <w:rPr>
                <w:b w:val="0"/>
                <w:sz w:val="18"/>
              </w:rPr>
              <w:t>~1,110</w:t>
            </w:r>
          </w:p>
        </w:tc>
        <w:tc>
          <w:tcPr>
            <w:tcW w:type="dxa" w:w="1584"/>
            <w:shd w:val="clear" w:color="auto" w:fill="F5EFE4"/>
          </w:tcPr>
          <w:p>
            <w:pPr>
              <w:spacing w:before="40" w:after="40"/>
            </w:pPr>
            <w:r/>
            <w:r>
              <w:rPr>
                <w:b w:val="0"/>
                <w:sz w:val="18"/>
              </w:rPr>
              <w:t>Enterprise</w:t>
            </w:r>
          </w:p>
        </w:tc>
        <w:tc>
          <w:tcPr>
            <w:tcW w:type="dxa" w:w="1728"/>
            <w:shd w:val="clear" w:color="auto" w:fill="F5EFE4"/>
          </w:tcPr>
          <w:p>
            <w:pPr>
              <w:spacing w:before="40" w:after="40"/>
              <w:jc w:val="right"/>
            </w:pPr>
            <w:r/>
            <w:r>
              <w:rPr>
                <w:b w:val="0"/>
                <w:sz w:val="18"/>
              </w:rPr>
              <w:t>₹38,120</w:t>
            </w:r>
          </w:p>
        </w:tc>
      </w:tr>
      <w:tr>
        <w:tc>
          <w:tcPr>
            <w:tcW w:type="dxa" w:w="936"/>
          </w:tcPr>
          <w:p>
            <w:pPr>
              <w:spacing w:before="40" w:after="40"/>
            </w:pPr>
            <w:r/>
            <w:r>
              <w:rPr>
                <w:b w:val="0"/>
                <w:sz w:val="18"/>
              </w:rPr>
              <w:t>S3</w:t>
            </w:r>
          </w:p>
        </w:tc>
        <w:tc>
          <w:tcPr>
            <w:tcW w:type="dxa" w:w="1152"/>
          </w:tcPr>
          <w:p>
            <w:pPr>
              <w:spacing w:before="40" w:after="40"/>
              <w:jc w:val="right"/>
            </w:pPr>
            <w:r/>
            <w:r>
              <w:rPr>
                <w:b w:val="0"/>
                <w:sz w:val="18"/>
              </w:rPr>
              <w:t>1.8 TB</w:t>
            </w:r>
          </w:p>
        </w:tc>
        <w:tc>
          <w:tcPr>
            <w:tcW w:type="dxa" w:w="1224"/>
          </w:tcPr>
          <w:p>
            <w:pPr>
              <w:spacing w:before="40" w:after="40"/>
              <w:jc w:val="right"/>
            </w:pPr>
            <w:r/>
            <w:r>
              <w:rPr>
                <w:b w:val="0"/>
                <w:sz w:val="18"/>
              </w:rPr>
              <w:t>3 TB</w:t>
            </w:r>
          </w:p>
        </w:tc>
        <w:tc>
          <w:tcPr>
            <w:tcW w:type="dxa" w:w="1872"/>
          </w:tcPr>
          <w:p>
            <w:pPr>
              <w:spacing w:before="40" w:after="40"/>
              <w:jc w:val="right"/>
            </w:pPr>
            <w:r/>
            <w:r>
              <w:rPr>
                <w:b w:val="0"/>
                <w:sz w:val="18"/>
              </w:rPr>
              <w:t>~1.5 million</w:t>
            </w:r>
          </w:p>
        </w:tc>
        <w:tc>
          <w:tcPr>
            <w:tcW w:type="dxa" w:w="1152"/>
          </w:tcPr>
          <w:p>
            <w:pPr>
              <w:spacing w:before="40" w:after="40"/>
              <w:jc w:val="right"/>
            </w:pPr>
            <w:r/>
            <w:r>
              <w:rPr>
                <w:b w:val="0"/>
                <w:sz w:val="18"/>
              </w:rPr>
              <w:t>~5,550</w:t>
            </w:r>
          </w:p>
        </w:tc>
        <w:tc>
          <w:tcPr>
            <w:tcW w:type="dxa" w:w="1584"/>
          </w:tcPr>
          <w:p>
            <w:pPr>
              <w:spacing w:before="40" w:after="40"/>
            </w:pPr>
            <w:r/>
            <w:r>
              <w:rPr>
                <w:b w:val="0"/>
                <w:sz w:val="18"/>
              </w:rPr>
              <w:t>Enterprise</w:t>
            </w:r>
          </w:p>
        </w:tc>
        <w:tc>
          <w:tcPr>
            <w:tcW w:type="dxa" w:w="1728"/>
          </w:tcPr>
          <w:p>
            <w:pPr>
              <w:spacing w:before="40" w:after="40"/>
              <w:jc w:val="right"/>
            </w:pPr>
            <w:r/>
            <w:r>
              <w:rPr>
                <w:b w:val="0"/>
                <w:sz w:val="18"/>
              </w:rPr>
              <w:t>₹133,420</w:t>
            </w:r>
          </w:p>
        </w:tc>
      </w:tr>
    </w:tbl>
    <w:p>
      <w:pPr>
        <w:spacing w:after="80"/>
      </w:pPr>
    </w:p>
    <w:p>
      <w:pPr>
        <w:spacing w:after="160"/>
        <w:ind w:left="259"/>
      </w:pPr>
      <w:r>
        <w:rPr>
          <w:i/>
          <w:color w:val="6A647E"/>
          <w:sz w:val="17"/>
        </w:rPr>
        <w:t>S2 and S3 exceed the largest published self-service plan and require an Enterprise agreement. The figures above assume a negotiated rate of roughly $0.25–$0.36 per credit against the $0.415 implied by the Advanced plan. These two lines carry the widest uncertainty in the document and should be confirmed with Cloudinary before the growth phase begins.</w:t>
      </w:r>
    </w:p>
    <w:p>
      <w:pPr>
        <w:spacing w:before="120" w:after="200"/>
        <w:ind w:left="216"/>
      </w:pPr>
      <w:r>
        <w:rPr>
          <w:b/>
          <w:color w:val="C0392B"/>
          <w:sz w:val="19"/>
        </w:rPr>
        <w:t>Critical operational warning: on the Free, Plus and Advanced plans Cloudinary does not bill for overage. It warns, and then disables the account. Exceeding the credit allowance does not produce a larger invoice — it takes all media in the app offline. Usage alerting at 70% and 85% of the allowance is essential, and the plan must be upgraded before the ceiling is reached, not after.</w:t>
      </w:r>
    </w:p>
    <w:p>
      <w:pPr>
        <w:pStyle w:val="Heading3"/>
        <w:spacing w:before="200" w:after="60"/>
      </w:pPr>
      <w:r>
        <w:rPr>
          <w:color w:val="1E1B3A"/>
          <w:sz w:val="22"/>
        </w:rPr>
        <w:t>Keeping this line down</w:t>
      </w:r>
    </w:p>
    <w:p>
      <w:pPr>
        <w:pStyle w:val="ListBullet"/>
        <w:spacing w:after="60"/>
      </w:pPr>
      <w:r>
        <w:rPr>
          <w:sz w:val="20"/>
        </w:rPr>
        <w:t>Deliver with automatic format and quality selection so images are served as WebP or AVIF at an appropriate quality. This routinely halves delivered bytes and is a delivery-parameter change, not a redesign.</w:t>
      </w:r>
    </w:p>
    <w:p>
      <w:pPr>
        <w:pStyle w:val="ListBullet"/>
        <w:spacing w:after="60"/>
      </w:pPr>
      <w:r>
        <w:rPr>
          <w:sz w:val="20"/>
        </w:rPr>
        <w:t>Cap reel output resolution and bitrate. Reels are the largest objects the platform produces and are watched on mobile screens where high bitrates are wasted.</w:t>
      </w:r>
    </w:p>
    <w:p>
      <w:pPr>
        <w:pStyle w:val="ListBullet"/>
        <w:spacing w:after="60"/>
      </w:pPr>
      <w:r>
        <w:rPr>
          <w:sz w:val="20"/>
        </w:rPr>
        <w:t>Prune storage deliberately. Storage credits are charged on everything ever uploaded. Memory capsules are intended to be kept, but abandoned drafts, superseded avatars and orphaned derivatives are not, and they accumulate silently.</w:t>
      </w:r>
    </w:p>
    <w:p>
      <w:pPr>
        <w:pStyle w:val="ListBullet"/>
        <w:spacing w:after="60"/>
      </w:pPr>
      <w:r>
        <w:rPr>
          <w:sz w:val="20"/>
        </w:rPr>
        <w:t>Use a small number of named transformation presets. Every distinct transformation URL creates and stores a new derivative, so uncontrolled on-the-fly resizing inflates both the transformation and the storage line.</w:t>
      </w:r>
    </w:p>
    <w:p>
      <w:r>
        <w:br w:type="page"/>
      </w:r>
    </w:p>
    <w:p>
      <w:pPr>
        <w:pStyle w:val="Heading2"/>
        <w:spacing w:before="240" w:after="80"/>
      </w:pPr>
      <w:r>
        <w:rPr>
          <w:color w:val="7B3A8F"/>
          <w:sz w:val="25"/>
        </w:rPr>
        <w:t>5.5 Product catalogue and monetisation — SerpApi and Cuelinks</w:t>
      </w:r>
    </w:p>
    <w:p>
      <w:pPr>
        <w:spacing w:after="120"/>
      </w:pPr>
      <w:r>
        <w:rPr>
          <w:b w:val="0"/>
          <w:i w:val="0"/>
          <w:sz w:val="20"/>
        </w:rPr>
        <w:t>This is the largest recurring cost in the business, and the system's architecture was shaped around it.</w:t>
      </w:r>
    </w:p>
    <w:p>
      <w:pPr>
        <w:pStyle w:val="Heading3"/>
        <w:spacing w:before="200" w:after="60"/>
      </w:pPr>
      <w:r>
        <w:rPr>
          <w:color w:val="1E1B3A"/>
          <w:sz w:val="22"/>
        </w:rPr>
        <w:t>The cost split</w:t>
      </w:r>
    </w:p>
    <w:p>
      <w:pPr>
        <w:spacing w:after="120"/>
      </w:pPr>
      <w:r>
        <w:rPr>
          <w:b w:val="0"/>
          <w:i w:val="0"/>
          <w:sz w:val="20"/>
        </w:rPr>
        <w:t>SerpApi charges per API call, and the two services used do different jobs: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304"/>
            <w:shd w:val="clear" w:color="auto" w:fill="3F0E4C"/>
          </w:tcPr>
          <w:p>
            <w:pPr>
              <w:spacing w:before="40" w:after="40"/>
            </w:pPr>
            <w:r/>
            <w:r>
              <w:rPr>
                <w:b/>
                <w:color w:val="FFFFFF"/>
                <w:sz w:val="18"/>
              </w:rPr>
              <w:t>Service</w:t>
            </w:r>
          </w:p>
        </w:tc>
        <w:tc>
          <w:tcPr>
            <w:tcW w:type="dxa" w:w="5184"/>
            <w:shd w:val="clear" w:color="auto" w:fill="3F0E4C"/>
          </w:tcPr>
          <w:p>
            <w:pPr>
              <w:spacing w:before="40" w:after="40"/>
            </w:pPr>
            <w:r/>
            <w:r>
              <w:rPr>
                <w:b/>
                <w:color w:val="FFFFFF"/>
                <w:sz w:val="18"/>
              </w:rPr>
              <w:t>What it returns</w:t>
            </w:r>
          </w:p>
        </w:tc>
        <w:tc>
          <w:tcPr>
            <w:tcW w:type="dxa" w:w="2160"/>
            <w:shd w:val="clear" w:color="auto" w:fill="3F0E4C"/>
          </w:tcPr>
          <w:p>
            <w:pPr>
              <w:spacing w:before="40" w:after="40"/>
            </w:pPr>
            <w:r/>
            <w:r>
              <w:rPr>
                <w:b/>
                <w:color w:val="FFFFFF"/>
                <w:sz w:val="18"/>
              </w:rPr>
              <w:t>Billed as</w:t>
            </w:r>
          </w:p>
        </w:tc>
      </w:tr>
      <w:tr>
        <w:tc>
          <w:tcPr>
            <w:tcW w:type="dxa" w:w="2304"/>
          </w:tcPr>
          <w:p>
            <w:pPr>
              <w:spacing w:before="40" w:after="40"/>
            </w:pPr>
            <w:r/>
            <w:r>
              <w:rPr>
                <w:b w:val="0"/>
                <w:sz w:val="18"/>
              </w:rPr>
              <w:t>Shopping search</w:t>
            </w:r>
          </w:p>
        </w:tc>
        <w:tc>
          <w:tcPr>
            <w:tcW w:type="dxa" w:w="5184"/>
          </w:tcPr>
          <w:p>
            <w:pPr>
              <w:spacing w:before="40" w:after="40"/>
            </w:pPr>
            <w:r/>
            <w:r>
              <w:rPr>
                <w:b w:val="0"/>
                <w:sz w:val="18"/>
              </w:rPr>
              <w:t>About 40 results — title, price, image, merchant name, rating</w:t>
            </w:r>
          </w:p>
        </w:tc>
        <w:tc>
          <w:tcPr>
            <w:tcW w:type="dxa" w:w="2160"/>
          </w:tcPr>
          <w:p>
            <w:pPr>
              <w:spacing w:before="40" w:after="40"/>
            </w:pPr>
            <w:r/>
            <w:r>
              <w:rPr>
                <w:b w:val="0"/>
                <w:sz w:val="18"/>
              </w:rPr>
              <w:t>1 call per search</w:t>
            </w:r>
          </w:p>
        </w:tc>
      </w:tr>
      <w:tr>
        <w:tc>
          <w:tcPr>
            <w:tcW w:type="dxa" w:w="2304"/>
            <w:shd w:val="clear" w:color="auto" w:fill="F5EFE4"/>
          </w:tcPr>
          <w:p>
            <w:pPr>
              <w:spacing w:before="40" w:after="40"/>
            </w:pPr>
            <w:r/>
            <w:r>
              <w:rPr>
                <w:b w:val="0"/>
                <w:sz w:val="18"/>
              </w:rPr>
              <w:t>Merchant-URL lookup</w:t>
            </w:r>
          </w:p>
        </w:tc>
        <w:tc>
          <w:tcPr>
            <w:tcW w:type="dxa" w:w="5184"/>
            <w:shd w:val="clear" w:color="auto" w:fill="F5EFE4"/>
          </w:tcPr>
          <w:p>
            <w:pPr>
              <w:spacing w:before="40" w:after="40"/>
            </w:pPr>
            <w:r/>
            <w:r>
              <w:rPr>
                <w:b w:val="0"/>
                <w:sz w:val="18"/>
              </w:rPr>
              <w:t>The merchant's own product URL — the only link an affiliate network can monetise</w:t>
            </w:r>
          </w:p>
        </w:tc>
        <w:tc>
          <w:tcPr>
            <w:tcW w:type="dxa" w:w="2160"/>
            <w:shd w:val="clear" w:color="auto" w:fill="F5EFE4"/>
          </w:tcPr>
          <w:p>
            <w:pPr>
              <w:spacing w:before="40" w:after="40"/>
            </w:pPr>
            <w:r/>
            <w:r>
              <w:rPr>
                <w:b w:val="0"/>
                <w:sz w:val="18"/>
              </w:rPr>
              <w:t>1 call per product</w:t>
            </w:r>
          </w:p>
        </w:tc>
      </w:tr>
    </w:tbl>
    <w:p>
      <w:pPr>
        <w:spacing w:after="80"/>
      </w:pPr>
    </w:p>
    <w:p>
      <w:pPr>
        <w:spacing w:after="120"/>
      </w:pPr>
      <w:r>
        <w:rPr>
          <w:b w:val="0"/>
          <w:i w:val="0"/>
          <w:sz w:val="20"/>
        </w:rPr>
        <w:t>A search result's link points at Google's own page, which no affiliate network can monetise. Resolving every result on every search would cost roughly 40 SerpApi calls plus 40 Cuelinks calls per page of results, for products nobody asked for.</w:t>
      </w:r>
    </w:p>
    <w:p>
      <w:pPr>
        <w:spacing w:after="120"/>
      </w:pPr>
      <w:r>
        <w:rPr>
          <w:b w:val="0"/>
          <w:i w:val="0"/>
          <w:sz w:val="20"/>
        </w:rPr>
        <w:t>Monetisation is therefore lazy. A search costs one call. The merchant URL and tracked affiliate link are resolved at the moment a user clicks, cached permanently against that product, and backfilled overnight only for products someone actually saved. Measured on the live system, the first click takes about two seconds and two vendor calls; every subsequent click is served from cache in 12 milliseconds. Search results are additionally cached for 15 minutes, and may be served up to 24 hours stale if the vendor is unavailable.</w:t>
      </w:r>
    </w:p>
    <w:p>
      <w:pPr>
        <w:spacing w:before="120" w:after="200"/>
        <w:ind w:left="216"/>
      </w:pPr>
      <w:r>
        <w:rPr>
          <w:b/>
          <w:color w:val="C0392B"/>
          <w:sz w:val="19"/>
        </w:rPr>
        <w:t>This single design decision is worth roughly an order of magnitude on the largest line in the budget. It should be treated as a commercial control, not an implementation detail.</w:t>
      </w:r>
    </w:p>
    <w:p>
      <w:pPr>
        <w:pStyle w:val="Heading3"/>
        <w:spacing w:before="200" w:after="60"/>
      </w:pPr>
      <w:r>
        <w:rPr>
          <w:color w:val="1E1B3A"/>
          <w:sz w:val="22"/>
        </w:rPr>
        <w:t>Modelled call volume and plan</w:t>
      </w:r>
    </w:p>
    <w:tbl>
      <w:tblPr>
        <w:tblStyle w:val="TableGrid"/>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864"/>
            <w:shd w:val="clear" w:color="auto" w:fill="3F0E4C"/>
          </w:tcPr>
          <w:p>
            <w:pPr>
              <w:spacing w:before="40" w:after="40"/>
            </w:pPr>
            <w:r/>
            <w:r>
              <w:rPr>
                <w:b/>
                <w:color w:val="FFFFFF"/>
                <w:sz w:val="18"/>
              </w:rPr>
              <w:t>Scenario</w:t>
            </w:r>
          </w:p>
        </w:tc>
        <w:tc>
          <w:tcPr>
            <w:tcW w:type="dxa" w:w="1296"/>
            <w:shd w:val="clear" w:color="auto" w:fill="3F0E4C"/>
          </w:tcPr>
          <w:p>
            <w:pPr>
              <w:spacing w:before="40" w:after="40"/>
            </w:pPr>
            <w:r/>
            <w:r>
              <w:rPr>
                <w:b/>
                <w:color w:val="FFFFFF"/>
                <w:sz w:val="18"/>
              </w:rPr>
              <w:t>Search calls</w:t>
            </w:r>
          </w:p>
        </w:tc>
        <w:tc>
          <w:tcPr>
            <w:tcW w:type="dxa" w:w="1656"/>
            <w:shd w:val="clear" w:color="auto" w:fill="3F0E4C"/>
          </w:tcPr>
          <w:p>
            <w:pPr>
              <w:spacing w:before="40" w:after="40"/>
            </w:pPr>
            <w:r/>
            <w:r>
              <w:rPr>
                <w:b/>
                <w:color w:val="FFFFFF"/>
                <w:sz w:val="18"/>
              </w:rPr>
              <w:t>Merchant lookups</w:t>
            </w:r>
          </w:p>
        </w:tc>
        <w:tc>
          <w:tcPr>
            <w:tcW w:type="dxa" w:w="1008"/>
            <w:shd w:val="clear" w:color="auto" w:fill="3F0E4C"/>
          </w:tcPr>
          <w:p>
            <w:pPr>
              <w:spacing w:before="40" w:after="40"/>
            </w:pPr>
            <w:r/>
            <w:r>
              <w:rPr>
                <w:b/>
                <w:color w:val="FFFFFF"/>
                <w:sz w:val="18"/>
              </w:rPr>
              <w:t>Backfill</w:t>
            </w:r>
          </w:p>
        </w:tc>
        <w:tc>
          <w:tcPr>
            <w:tcW w:type="dxa" w:w="1440"/>
            <w:shd w:val="clear" w:color="auto" w:fill="3F0E4C"/>
          </w:tcPr>
          <w:p>
            <w:pPr>
              <w:spacing w:before="40" w:after="40"/>
            </w:pPr>
            <w:r/>
            <w:r>
              <w:rPr>
                <w:b/>
                <w:color w:val="FFFFFF"/>
                <w:sz w:val="18"/>
              </w:rPr>
              <w:t>Total / month</w:t>
            </w:r>
          </w:p>
        </w:tc>
        <w:tc>
          <w:tcPr>
            <w:tcW w:type="dxa" w:w="1944"/>
            <w:shd w:val="clear" w:color="auto" w:fill="3F0E4C"/>
          </w:tcPr>
          <w:p>
            <w:pPr>
              <w:spacing w:before="40" w:after="40"/>
            </w:pPr>
            <w:r/>
            <w:r>
              <w:rPr>
                <w:b/>
                <w:color w:val="FFFFFF"/>
                <w:sz w:val="18"/>
              </w:rPr>
              <w:t>Plan</w:t>
            </w:r>
          </w:p>
        </w:tc>
        <w:tc>
          <w:tcPr>
            <w:tcW w:type="dxa" w:w="1440"/>
            <w:shd w:val="clear" w:color="auto" w:fill="3F0E4C"/>
          </w:tcPr>
          <w:p>
            <w:pPr>
              <w:spacing w:before="40" w:after="40"/>
            </w:pPr>
            <w:r/>
            <w:r>
              <w:rPr>
                <w:b/>
                <w:color w:val="FFFFFF"/>
                <w:sz w:val="18"/>
              </w:rPr>
              <w:t>Monthly</w:t>
            </w:r>
          </w:p>
        </w:tc>
      </w:tr>
      <w:tr>
        <w:tc>
          <w:tcPr>
            <w:tcW w:type="dxa" w:w="864"/>
          </w:tcPr>
          <w:p>
            <w:pPr>
              <w:spacing w:before="40" w:after="40"/>
            </w:pPr>
            <w:r/>
            <w:r>
              <w:rPr>
                <w:b w:val="0"/>
                <w:sz w:val="18"/>
              </w:rPr>
              <w:t>S1</w:t>
            </w:r>
          </w:p>
        </w:tc>
        <w:tc>
          <w:tcPr>
            <w:tcW w:type="dxa" w:w="1296"/>
          </w:tcPr>
          <w:p>
            <w:pPr>
              <w:spacing w:before="40" w:after="40"/>
              <w:jc w:val="right"/>
            </w:pPr>
            <w:r/>
            <w:r>
              <w:rPr>
                <w:b w:val="0"/>
                <w:sz w:val="18"/>
              </w:rPr>
              <w:t>4,000</w:t>
            </w:r>
          </w:p>
        </w:tc>
        <w:tc>
          <w:tcPr>
            <w:tcW w:type="dxa" w:w="1656"/>
          </w:tcPr>
          <w:p>
            <w:pPr>
              <w:spacing w:before="40" w:after="40"/>
              <w:jc w:val="right"/>
            </w:pPr>
            <w:r/>
            <w:r>
              <w:rPr>
                <w:b w:val="0"/>
                <w:sz w:val="18"/>
              </w:rPr>
              <w:t>1,500</w:t>
            </w:r>
          </w:p>
        </w:tc>
        <w:tc>
          <w:tcPr>
            <w:tcW w:type="dxa" w:w="1008"/>
          </w:tcPr>
          <w:p>
            <w:pPr>
              <w:spacing w:before="40" w:after="40"/>
              <w:jc w:val="right"/>
            </w:pPr>
            <w:r/>
            <w:r>
              <w:rPr>
                <w:b w:val="0"/>
                <w:sz w:val="18"/>
              </w:rPr>
              <w:t>500</w:t>
            </w:r>
          </w:p>
        </w:tc>
        <w:tc>
          <w:tcPr>
            <w:tcW w:type="dxa" w:w="1440"/>
          </w:tcPr>
          <w:p>
            <w:pPr>
              <w:spacing w:before="40" w:after="40"/>
              <w:jc w:val="right"/>
            </w:pPr>
            <w:r/>
            <w:r>
              <w:rPr>
                <w:b w:val="0"/>
                <w:sz w:val="18"/>
              </w:rPr>
              <w:t>~6,000</w:t>
            </w:r>
          </w:p>
        </w:tc>
        <w:tc>
          <w:tcPr>
            <w:tcW w:type="dxa" w:w="1944"/>
          </w:tcPr>
          <w:p>
            <w:pPr>
              <w:spacing w:before="40" w:after="40"/>
            </w:pPr>
            <w:r/>
            <w:r>
              <w:rPr>
                <w:b w:val="0"/>
                <w:sz w:val="18"/>
              </w:rPr>
              <w:t>Production ($150)</w:t>
            </w:r>
          </w:p>
        </w:tc>
        <w:tc>
          <w:tcPr>
            <w:tcW w:type="dxa" w:w="1440"/>
          </w:tcPr>
          <w:p>
            <w:pPr>
              <w:spacing w:before="40" w:after="40"/>
              <w:jc w:val="right"/>
            </w:pPr>
            <w:r/>
            <w:r>
              <w:rPr>
                <w:b w:val="0"/>
                <w:sz w:val="18"/>
              </w:rPr>
              <w:t>₹14,295</w:t>
            </w:r>
          </w:p>
        </w:tc>
      </w:tr>
      <w:tr>
        <w:tc>
          <w:tcPr>
            <w:tcW w:type="dxa" w:w="864"/>
            <w:shd w:val="clear" w:color="auto" w:fill="F5EFE4"/>
          </w:tcPr>
          <w:p>
            <w:pPr>
              <w:spacing w:before="40" w:after="40"/>
            </w:pPr>
            <w:r/>
            <w:r>
              <w:rPr>
                <w:b w:val="0"/>
                <w:sz w:val="18"/>
              </w:rPr>
              <w:t>S2</w:t>
            </w:r>
          </w:p>
        </w:tc>
        <w:tc>
          <w:tcPr>
            <w:tcW w:type="dxa" w:w="1296"/>
            <w:shd w:val="clear" w:color="auto" w:fill="F5EFE4"/>
          </w:tcPr>
          <w:p>
            <w:pPr>
              <w:spacing w:before="40" w:after="40"/>
              <w:jc w:val="right"/>
            </w:pPr>
            <w:r/>
            <w:r>
              <w:rPr>
                <w:b w:val="0"/>
                <w:sz w:val="18"/>
              </w:rPr>
              <w:t>32,000</w:t>
            </w:r>
          </w:p>
        </w:tc>
        <w:tc>
          <w:tcPr>
            <w:tcW w:type="dxa" w:w="1656"/>
            <w:shd w:val="clear" w:color="auto" w:fill="F5EFE4"/>
          </w:tcPr>
          <w:p>
            <w:pPr>
              <w:spacing w:before="40" w:after="40"/>
              <w:jc w:val="right"/>
            </w:pPr>
            <w:r/>
            <w:r>
              <w:rPr>
                <w:b w:val="0"/>
                <w:sz w:val="18"/>
              </w:rPr>
              <w:t>12,000</w:t>
            </w:r>
          </w:p>
        </w:tc>
        <w:tc>
          <w:tcPr>
            <w:tcW w:type="dxa" w:w="1008"/>
            <w:shd w:val="clear" w:color="auto" w:fill="F5EFE4"/>
          </w:tcPr>
          <w:p>
            <w:pPr>
              <w:spacing w:before="40" w:after="40"/>
              <w:jc w:val="right"/>
            </w:pPr>
            <w:r/>
            <w:r>
              <w:rPr>
                <w:b w:val="0"/>
                <w:sz w:val="18"/>
              </w:rPr>
              <w:t>4,000</w:t>
            </w:r>
          </w:p>
        </w:tc>
        <w:tc>
          <w:tcPr>
            <w:tcW w:type="dxa" w:w="1440"/>
            <w:shd w:val="clear" w:color="auto" w:fill="F5EFE4"/>
          </w:tcPr>
          <w:p>
            <w:pPr>
              <w:spacing w:before="40" w:after="40"/>
              <w:jc w:val="right"/>
            </w:pPr>
            <w:r/>
            <w:r>
              <w:rPr>
                <w:b w:val="0"/>
                <w:sz w:val="18"/>
              </w:rPr>
              <w:t>~48,000</w:t>
            </w:r>
          </w:p>
        </w:tc>
        <w:tc>
          <w:tcPr>
            <w:tcW w:type="dxa" w:w="1944"/>
            <w:shd w:val="clear" w:color="auto" w:fill="F5EFE4"/>
          </w:tcPr>
          <w:p>
            <w:pPr>
              <w:spacing w:before="40" w:after="40"/>
            </w:pPr>
            <w:r/>
            <w:r>
              <w:rPr>
                <w:b w:val="0"/>
                <w:sz w:val="18"/>
              </w:rPr>
              <w:t>Searcher ($725)</w:t>
            </w:r>
          </w:p>
        </w:tc>
        <w:tc>
          <w:tcPr>
            <w:tcW w:type="dxa" w:w="1440"/>
            <w:shd w:val="clear" w:color="auto" w:fill="F5EFE4"/>
          </w:tcPr>
          <w:p>
            <w:pPr>
              <w:spacing w:before="40" w:after="40"/>
              <w:jc w:val="right"/>
            </w:pPr>
            <w:r/>
            <w:r>
              <w:rPr>
                <w:b w:val="0"/>
                <w:sz w:val="18"/>
              </w:rPr>
              <w:t>₹69,093</w:t>
            </w:r>
          </w:p>
        </w:tc>
      </w:tr>
      <w:tr>
        <w:tc>
          <w:tcPr>
            <w:tcW w:type="dxa" w:w="864"/>
          </w:tcPr>
          <w:p>
            <w:pPr>
              <w:spacing w:before="40" w:after="40"/>
            </w:pPr>
            <w:r/>
            <w:r>
              <w:rPr>
                <w:b w:val="0"/>
                <w:sz w:val="18"/>
              </w:rPr>
              <w:t>S3</w:t>
            </w:r>
          </w:p>
        </w:tc>
        <w:tc>
          <w:tcPr>
            <w:tcW w:type="dxa" w:w="1296"/>
          </w:tcPr>
          <w:p>
            <w:pPr>
              <w:spacing w:before="40" w:after="40"/>
              <w:jc w:val="right"/>
            </w:pPr>
            <w:r/>
            <w:r>
              <w:rPr>
                <w:b w:val="0"/>
                <w:sz w:val="18"/>
              </w:rPr>
              <w:t>120,000</w:t>
            </w:r>
          </w:p>
        </w:tc>
        <w:tc>
          <w:tcPr>
            <w:tcW w:type="dxa" w:w="1656"/>
          </w:tcPr>
          <w:p>
            <w:pPr>
              <w:spacing w:before="40" w:after="40"/>
              <w:jc w:val="right"/>
            </w:pPr>
            <w:r/>
            <w:r>
              <w:rPr>
                <w:b w:val="0"/>
                <w:sz w:val="18"/>
              </w:rPr>
              <w:t>60,000</w:t>
            </w:r>
          </w:p>
        </w:tc>
        <w:tc>
          <w:tcPr>
            <w:tcW w:type="dxa" w:w="1008"/>
          </w:tcPr>
          <w:p>
            <w:pPr>
              <w:spacing w:before="40" w:after="40"/>
              <w:jc w:val="right"/>
            </w:pPr>
            <w:r/>
            <w:r>
              <w:rPr>
                <w:b w:val="0"/>
                <w:sz w:val="18"/>
              </w:rPr>
              <w:t>15,000</w:t>
            </w:r>
          </w:p>
        </w:tc>
        <w:tc>
          <w:tcPr>
            <w:tcW w:type="dxa" w:w="1440"/>
          </w:tcPr>
          <w:p>
            <w:pPr>
              <w:spacing w:before="40" w:after="40"/>
              <w:jc w:val="right"/>
            </w:pPr>
            <w:r/>
            <w:r>
              <w:rPr>
                <w:b w:val="0"/>
                <w:sz w:val="18"/>
              </w:rPr>
              <w:t>~195,000</w:t>
            </w:r>
          </w:p>
        </w:tc>
        <w:tc>
          <w:tcPr>
            <w:tcW w:type="dxa" w:w="1944"/>
          </w:tcPr>
          <w:p>
            <w:pPr>
              <w:spacing w:before="40" w:after="40"/>
            </w:pPr>
            <w:r/>
            <w:r>
              <w:rPr>
                <w:b w:val="0"/>
                <w:sz w:val="18"/>
              </w:rPr>
              <w:t>Enterprise ($2,750)</w:t>
            </w:r>
          </w:p>
        </w:tc>
        <w:tc>
          <w:tcPr>
            <w:tcW w:type="dxa" w:w="1440"/>
          </w:tcPr>
          <w:p>
            <w:pPr>
              <w:spacing w:before="40" w:after="40"/>
              <w:jc w:val="right"/>
            </w:pPr>
            <w:r/>
            <w:r>
              <w:rPr>
                <w:b w:val="0"/>
                <w:sz w:val="18"/>
              </w:rPr>
              <w:t>₹262,075</w:t>
            </w:r>
          </w:p>
        </w:tc>
      </w:tr>
    </w:tbl>
    <w:p>
      <w:pPr>
        <w:spacing w:after="80"/>
      </w:pPr>
    </w:p>
    <w:p>
      <w:pPr>
        <w:spacing w:after="160"/>
        <w:ind w:left="259"/>
      </w:pPr>
      <w:r>
        <w:rPr>
          <w:i/>
          <w:color w:val="6A647E"/>
          <w:sz w:val="17"/>
        </w:rPr>
        <w:t>Published SerpApi tiers, August 2026: Free 250 searches, Starter $25, Developer $75, Production $150, Big Data $275 (30,000 searches), Searcher $725, Volume $1,475, Infrastructure $2,750, Enterprise on request. Allowances above the Big Data tier are inferred from published per-thousand rates and should be confirmed with the vendor.</w:t>
      </w:r>
    </w:p>
    <w:p>
      <w:pPr>
        <w:spacing w:before="120" w:after="200"/>
        <w:ind w:left="216"/>
      </w:pPr>
      <w:r>
        <w:rPr>
          <w:b/>
          <w:color w:val="C0392B"/>
          <w:sz w:val="19"/>
        </w:rPr>
        <w:t>Every SerpApi plan caps throughput at 20% of the monthly allowance in any one hour. A viral day cannot be absorbed by paying more after the fact — once the hourly cap is hit, searches fail. The 24-hour stale-serve cache is what stands between that and a broken product, and it is already implemented.</w:t>
      </w:r>
    </w:p>
    <w:p>
      <w:pPr>
        <w:pStyle w:val="Heading3"/>
        <w:spacing w:before="200" w:after="60"/>
      </w:pPr>
      <w:r>
        <w:rPr>
          <w:color w:val="1E1B3A"/>
          <w:sz w:val="22"/>
        </w:rPr>
        <w:t>Cuelinks</w:t>
      </w:r>
    </w:p>
    <w:p>
      <w:pPr>
        <w:spacing w:after="120"/>
      </w:pPr>
      <w:r>
        <w:rPr>
          <w:b w:val="0"/>
          <w:i w:val="0"/>
          <w:sz w:val="20"/>
        </w:rPr>
        <w:t>Cuelinks costs nothing to run. It is a publisher revenue-share arrangement: it converts merchant URLs into tracked links and reports the sales they produce, and Wishtick receives a share of the commission. There is no subscription, per-call or minimum fee. The hourly conversion-sync job settles at one API call per run.</w:t>
      </w:r>
    </w:p>
    <w:p>
      <w:pPr>
        <w:pStyle w:val="Heading2"/>
        <w:spacing w:before="240" w:after="80"/>
      </w:pPr>
      <w:r>
        <w:rPr>
          <w:color w:val="7B3A8F"/>
          <w:sz w:val="25"/>
        </w:rPr>
        <w:t>5.6 Communications — email, SMS and push</w:t>
      </w:r>
    </w:p>
    <w:p>
      <w:pPr>
        <w:pStyle w:val="Heading3"/>
        <w:spacing w:before="200" w:after="60"/>
      </w:pPr>
      <w:r>
        <w:rPr>
          <w:color w:val="1E1B3A"/>
          <w:sz w:val="22"/>
        </w:rPr>
        <w:t>Transactional email</w:t>
      </w:r>
    </w:p>
    <w:p>
      <w:pPr>
        <w:spacing w:after="120"/>
      </w:pPr>
      <w:r>
        <w:rPr>
          <w:b w:val="0"/>
          <w:i w:val="0"/>
          <w:sz w:val="20"/>
        </w:rPr>
        <w:t>Email covers account verification, password reset, event invitations, RSVP updates, the daily digest of low-signal notifications, and the thank-you note that auto-sends 24 hours after a gift is fulfilled. Templates are rendered on our own servers, so there is no per-template vendor fee.</w:t>
      </w:r>
    </w:p>
    <w:p>
      <w:pPr>
        <w:spacing w:after="120"/>
      </w:pPr>
      <w:r>
        <w:rPr>
          <w:b w:val="0"/>
          <w:i w:val="0"/>
          <w:sz w:val="20"/>
        </w:rPr>
        <w:t>The confirmed approach is to use the SMTP service included with hosting, which carries no additional charge. That is workable for the pilot. It does not survive growth, for two reasons that are worth stating plainly rather than discovering later:</w:t>
      </w:r>
    </w:p>
    <w:p>
      <w:pPr>
        <w:pStyle w:val="ListBullet"/>
        <w:spacing w:after="60"/>
      </w:pPr>
      <w:r>
        <w:rPr>
          <w:sz w:val="20"/>
        </w:rPr>
        <w:t>VPS providers commonly block outbound port 25 by default and impose hourly sending limits. Included SMTP is intended for low-volume site mail, not for tens of thousands of transactional messages.</w:t>
      </w:r>
    </w:p>
    <w:p>
      <w:pPr>
        <w:pStyle w:val="ListBullet"/>
        <w:spacing w:after="60"/>
      </w:pPr>
      <w:r>
        <w:rPr>
          <w:sz w:val="20"/>
        </w:rPr>
        <w:t>Deliverability from a general-purpose VPS IP is materially worse than from a reputation-managed sending service. Verification and OTP emails landing in spam is not a cost problem — it is a sign-up funnel problem.</w:t>
      </w:r>
    </w:p>
    <w:p>
      <w:pPr>
        <w:spacing w:after="120"/>
      </w:pPr>
      <w:r>
        <w:rPr>
          <w:b w:val="0"/>
          <w:i w:val="0"/>
          <w:sz w:val="20"/>
        </w:rPr>
        <w:t>The budget therefore carries ₹0 for email at pilot scale as specified, and introduces a dedicated transactional email service as a costed contingency from the growth phase onward. This is included in the §6 totals so the budget is not understated.</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080"/>
            <w:shd w:val="clear" w:color="auto" w:fill="3F0E4C"/>
          </w:tcPr>
          <w:p>
            <w:pPr>
              <w:spacing w:before="40" w:after="40"/>
            </w:pPr>
            <w:r/>
            <w:r>
              <w:rPr>
                <w:b/>
                <w:color w:val="FFFFFF"/>
                <w:sz w:val="18"/>
              </w:rPr>
              <w:t>Scenario</w:t>
            </w:r>
          </w:p>
        </w:tc>
        <w:tc>
          <w:tcPr>
            <w:tcW w:type="dxa" w:w="2016"/>
            <w:shd w:val="clear" w:color="auto" w:fill="3F0E4C"/>
          </w:tcPr>
          <w:p>
            <w:pPr>
              <w:spacing w:before="40" w:after="40"/>
            </w:pPr>
            <w:r/>
            <w:r>
              <w:rPr>
                <w:b/>
                <w:color w:val="FFFFFF"/>
                <w:sz w:val="18"/>
              </w:rPr>
              <w:t>Emails / month</w:t>
            </w:r>
          </w:p>
        </w:tc>
        <w:tc>
          <w:tcPr>
            <w:tcW w:type="dxa" w:w="4824"/>
            <w:shd w:val="clear" w:color="auto" w:fill="3F0E4C"/>
          </w:tcPr>
          <w:p>
            <w:pPr>
              <w:spacing w:before="40" w:after="40"/>
            </w:pPr>
            <w:r/>
            <w:r>
              <w:rPr>
                <w:b/>
                <w:color w:val="FFFFFF"/>
                <w:sz w:val="18"/>
              </w:rPr>
              <w:t>Approach</w:t>
            </w:r>
          </w:p>
        </w:tc>
        <w:tc>
          <w:tcPr>
            <w:tcW w:type="dxa" w:w="1728"/>
            <w:shd w:val="clear" w:color="auto" w:fill="3F0E4C"/>
          </w:tcPr>
          <w:p>
            <w:pPr>
              <w:spacing w:before="40" w:after="40"/>
            </w:pPr>
            <w:r/>
            <w:r>
              <w:rPr>
                <w:b/>
                <w:color w:val="FFFFFF"/>
                <w:sz w:val="18"/>
              </w:rPr>
              <w:t>Monthly</w:t>
            </w:r>
          </w:p>
        </w:tc>
      </w:tr>
      <w:tr>
        <w:tc>
          <w:tcPr>
            <w:tcW w:type="dxa" w:w="1080"/>
          </w:tcPr>
          <w:p>
            <w:pPr>
              <w:spacing w:before="40" w:after="40"/>
            </w:pPr>
            <w:r/>
            <w:r>
              <w:rPr>
                <w:b w:val="0"/>
                <w:sz w:val="18"/>
              </w:rPr>
              <w:t>S1</w:t>
            </w:r>
          </w:p>
        </w:tc>
        <w:tc>
          <w:tcPr>
            <w:tcW w:type="dxa" w:w="2016"/>
          </w:tcPr>
          <w:p>
            <w:pPr>
              <w:spacing w:before="40" w:after="40"/>
              <w:jc w:val="right"/>
            </w:pPr>
            <w:r/>
            <w:r>
              <w:rPr>
                <w:b w:val="0"/>
                <w:sz w:val="18"/>
              </w:rPr>
              <w:t>30,000</w:t>
            </w:r>
          </w:p>
        </w:tc>
        <w:tc>
          <w:tcPr>
            <w:tcW w:type="dxa" w:w="4824"/>
          </w:tcPr>
          <w:p>
            <w:pPr>
              <w:spacing w:before="40" w:after="40"/>
            </w:pPr>
            <w:r/>
            <w:r>
              <w:rPr>
                <w:b w:val="0"/>
                <w:sz w:val="18"/>
              </w:rPr>
              <w:t>SMTP included with hosting</w:t>
            </w:r>
          </w:p>
        </w:tc>
        <w:tc>
          <w:tcPr>
            <w:tcW w:type="dxa" w:w="1728"/>
          </w:tcPr>
          <w:p>
            <w:pPr>
              <w:spacing w:before="40" w:after="40"/>
              <w:jc w:val="right"/>
            </w:pPr>
            <w:r/>
            <w:r>
              <w:rPr>
                <w:b w:val="0"/>
                <w:sz w:val="18"/>
              </w:rPr>
              <w:t>₹0</w:t>
            </w:r>
          </w:p>
        </w:tc>
      </w:tr>
      <w:tr>
        <w:tc>
          <w:tcPr>
            <w:tcW w:type="dxa" w:w="1080"/>
            <w:shd w:val="clear" w:color="auto" w:fill="F5EFE4"/>
          </w:tcPr>
          <w:p>
            <w:pPr>
              <w:spacing w:before="40" w:after="40"/>
            </w:pPr>
            <w:r/>
            <w:r>
              <w:rPr>
                <w:b w:val="0"/>
                <w:sz w:val="18"/>
              </w:rPr>
              <w:t>S2</w:t>
            </w:r>
          </w:p>
        </w:tc>
        <w:tc>
          <w:tcPr>
            <w:tcW w:type="dxa" w:w="2016"/>
            <w:shd w:val="clear" w:color="auto" w:fill="F5EFE4"/>
          </w:tcPr>
          <w:p>
            <w:pPr>
              <w:spacing w:before="40" w:after="40"/>
              <w:jc w:val="right"/>
            </w:pPr>
            <w:r/>
            <w:r>
              <w:rPr>
                <w:b w:val="0"/>
                <w:sz w:val="18"/>
              </w:rPr>
              <w:t>300,000</w:t>
            </w:r>
          </w:p>
        </w:tc>
        <w:tc>
          <w:tcPr>
            <w:tcW w:type="dxa" w:w="4824"/>
            <w:shd w:val="clear" w:color="auto" w:fill="F5EFE4"/>
          </w:tcPr>
          <w:p>
            <w:pPr>
              <w:spacing w:before="40" w:after="40"/>
            </w:pPr>
            <w:r/>
            <w:r>
              <w:rPr>
                <w:b w:val="0"/>
                <w:sz w:val="18"/>
              </w:rPr>
              <w:t>Dedicated transactional email service (recommended)</w:t>
            </w:r>
          </w:p>
        </w:tc>
        <w:tc>
          <w:tcPr>
            <w:tcW w:type="dxa" w:w="1728"/>
            <w:shd w:val="clear" w:color="auto" w:fill="F5EFE4"/>
          </w:tcPr>
          <w:p>
            <w:pPr>
              <w:spacing w:before="40" w:after="40"/>
              <w:jc w:val="right"/>
            </w:pPr>
            <w:r/>
            <w:r>
              <w:rPr>
                <w:b w:val="0"/>
                <w:sz w:val="18"/>
              </w:rPr>
              <w:t>₹6,000</w:t>
            </w:r>
          </w:p>
        </w:tc>
      </w:tr>
      <w:tr>
        <w:tc>
          <w:tcPr>
            <w:tcW w:type="dxa" w:w="1080"/>
          </w:tcPr>
          <w:p>
            <w:pPr>
              <w:spacing w:before="40" w:after="40"/>
            </w:pPr>
            <w:r/>
            <w:r>
              <w:rPr>
                <w:b w:val="0"/>
                <w:sz w:val="18"/>
              </w:rPr>
              <w:t>S3</w:t>
            </w:r>
          </w:p>
        </w:tc>
        <w:tc>
          <w:tcPr>
            <w:tcW w:type="dxa" w:w="2016"/>
          </w:tcPr>
          <w:p>
            <w:pPr>
              <w:spacing w:before="40" w:after="40"/>
              <w:jc w:val="right"/>
            </w:pPr>
            <w:r/>
            <w:r>
              <w:rPr>
                <w:b w:val="0"/>
                <w:sz w:val="18"/>
              </w:rPr>
              <w:t>1,500,000</w:t>
            </w:r>
          </w:p>
        </w:tc>
        <w:tc>
          <w:tcPr>
            <w:tcW w:type="dxa" w:w="4824"/>
          </w:tcPr>
          <w:p>
            <w:pPr>
              <w:spacing w:before="40" w:after="40"/>
            </w:pPr>
            <w:r/>
            <w:r>
              <w:rPr>
                <w:b w:val="0"/>
                <w:sz w:val="18"/>
              </w:rPr>
              <w:t>Dedicated transactional email service (required)</w:t>
            </w:r>
          </w:p>
        </w:tc>
        <w:tc>
          <w:tcPr>
            <w:tcW w:type="dxa" w:w="1728"/>
          </w:tcPr>
          <w:p>
            <w:pPr>
              <w:spacing w:before="40" w:after="40"/>
              <w:jc w:val="right"/>
            </w:pPr>
            <w:r/>
            <w:r>
              <w:rPr>
                <w:b w:val="0"/>
                <w:sz w:val="18"/>
              </w:rPr>
              <w:t>₹30,000</w:t>
            </w:r>
          </w:p>
        </w:tc>
      </w:tr>
    </w:tbl>
    <w:p>
      <w:pPr>
        <w:spacing w:after="80"/>
      </w:pPr>
    </w:p>
    <w:p>
      <w:pPr>
        <w:spacing w:after="160"/>
        <w:ind w:left="259"/>
      </w:pPr>
      <w:r>
        <w:rPr>
          <w:i/>
          <w:color w:val="6A647E"/>
          <w:sz w:val="17"/>
        </w:rPr>
        <w:t>Costed at approximately ₹200 per 10,000 emails, the prevailing rate for India-billed transactional email providers. Sending domain authentication (SPF, DKIM and DMARC) is required whichever route is taken and carries no charge.</w:t>
      </w:r>
    </w:p>
    <w:p>
      <w:pPr>
        <w:pStyle w:val="Heading3"/>
        <w:spacing w:before="200" w:after="60"/>
      </w:pPr>
      <w:r>
        <w:rPr>
          <w:color w:val="1E1B3A"/>
          <w:sz w:val="22"/>
        </w:rPr>
        <w:t>Transactional SMS</w:t>
      </w:r>
    </w:p>
    <w:p>
      <w:pPr>
        <w:spacing w:after="120"/>
      </w:pPr>
      <w:r>
        <w:rPr>
          <w:b w:val="0"/>
          <w:i w:val="0"/>
          <w:sz w:val="20"/>
        </w:rPr>
        <w:t>SMS is the most expensive message Wishtick sends and the only channel with no free tier. Every phone verification and OTP login is a billed message. India's DLT regime also imposes a one-time registration cost, covered in §10.1.</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440"/>
            <w:shd w:val="clear" w:color="auto" w:fill="3F0E4C"/>
          </w:tcPr>
          <w:p>
            <w:pPr>
              <w:spacing w:before="40" w:after="40"/>
            </w:pPr>
            <w:r/>
            <w:r>
              <w:rPr>
                <w:b/>
                <w:color w:val="FFFFFF"/>
                <w:sz w:val="18"/>
              </w:rPr>
              <w:t>Scenario</w:t>
            </w:r>
          </w:p>
        </w:tc>
        <w:tc>
          <w:tcPr>
            <w:tcW w:type="dxa" w:w="2304"/>
            <w:shd w:val="clear" w:color="auto" w:fill="3F0E4C"/>
          </w:tcPr>
          <w:p>
            <w:pPr>
              <w:spacing w:before="40" w:after="40"/>
            </w:pPr>
            <w:r/>
            <w:r>
              <w:rPr>
                <w:b/>
                <w:color w:val="FFFFFF"/>
                <w:sz w:val="18"/>
              </w:rPr>
              <w:t>Messages / month</w:t>
            </w:r>
          </w:p>
        </w:tc>
        <w:tc>
          <w:tcPr>
            <w:tcW w:type="dxa" w:w="2304"/>
            <w:shd w:val="clear" w:color="auto" w:fill="3F0E4C"/>
          </w:tcPr>
          <w:p>
            <w:pPr>
              <w:spacing w:before="40" w:after="40"/>
            </w:pPr>
            <w:r/>
            <w:r>
              <w:rPr>
                <w:b/>
                <w:color w:val="FFFFFF"/>
                <w:sz w:val="18"/>
              </w:rPr>
              <w:t>Assumed rate</w:t>
            </w:r>
          </w:p>
        </w:tc>
        <w:tc>
          <w:tcPr>
            <w:tcW w:type="dxa" w:w="2160"/>
            <w:shd w:val="clear" w:color="auto" w:fill="3F0E4C"/>
          </w:tcPr>
          <w:p>
            <w:pPr>
              <w:spacing w:before="40" w:after="40"/>
            </w:pPr>
            <w:r/>
            <w:r>
              <w:rPr>
                <w:b/>
                <w:color w:val="FFFFFF"/>
                <w:sz w:val="18"/>
              </w:rPr>
              <w:t>Monthly</w:t>
            </w:r>
          </w:p>
        </w:tc>
      </w:tr>
      <w:tr>
        <w:tc>
          <w:tcPr>
            <w:tcW w:type="dxa" w:w="1440"/>
          </w:tcPr>
          <w:p>
            <w:pPr>
              <w:spacing w:before="40" w:after="40"/>
            </w:pPr>
            <w:r/>
            <w:r>
              <w:rPr>
                <w:b w:val="0"/>
                <w:sz w:val="18"/>
              </w:rPr>
              <w:t>S1</w:t>
            </w:r>
          </w:p>
        </w:tc>
        <w:tc>
          <w:tcPr>
            <w:tcW w:type="dxa" w:w="2304"/>
          </w:tcPr>
          <w:p>
            <w:pPr>
              <w:spacing w:before="40" w:after="40"/>
              <w:jc w:val="right"/>
            </w:pPr>
            <w:r/>
            <w:r>
              <w:rPr>
                <w:b w:val="0"/>
                <w:sz w:val="18"/>
              </w:rPr>
              <w:t>5,000</w:t>
            </w:r>
          </w:p>
        </w:tc>
        <w:tc>
          <w:tcPr>
            <w:tcW w:type="dxa" w:w="2304"/>
          </w:tcPr>
          <w:p>
            <w:pPr>
              <w:spacing w:before="40" w:after="40"/>
              <w:jc w:val="right"/>
            </w:pPr>
            <w:r/>
            <w:r>
              <w:rPr>
                <w:b w:val="0"/>
                <w:sz w:val="18"/>
              </w:rPr>
              <w:t>₹0.20</w:t>
            </w:r>
          </w:p>
        </w:tc>
        <w:tc>
          <w:tcPr>
            <w:tcW w:type="dxa" w:w="2160"/>
          </w:tcPr>
          <w:p>
            <w:pPr>
              <w:spacing w:before="40" w:after="40"/>
              <w:jc w:val="right"/>
            </w:pPr>
            <w:r/>
            <w:r>
              <w:rPr>
                <w:b w:val="0"/>
                <w:sz w:val="18"/>
              </w:rPr>
              <w:t>₹1,000</w:t>
            </w:r>
          </w:p>
        </w:tc>
      </w:tr>
      <w:tr>
        <w:tc>
          <w:tcPr>
            <w:tcW w:type="dxa" w:w="1440"/>
            <w:shd w:val="clear" w:color="auto" w:fill="F5EFE4"/>
          </w:tcPr>
          <w:p>
            <w:pPr>
              <w:spacing w:before="40" w:after="40"/>
            </w:pPr>
            <w:r/>
            <w:r>
              <w:rPr>
                <w:b w:val="0"/>
                <w:sz w:val="18"/>
              </w:rPr>
              <w:t>S2</w:t>
            </w:r>
          </w:p>
        </w:tc>
        <w:tc>
          <w:tcPr>
            <w:tcW w:type="dxa" w:w="2304"/>
            <w:shd w:val="clear" w:color="auto" w:fill="F5EFE4"/>
          </w:tcPr>
          <w:p>
            <w:pPr>
              <w:spacing w:before="40" w:after="40"/>
              <w:jc w:val="right"/>
            </w:pPr>
            <w:r/>
            <w:r>
              <w:rPr>
                <w:b w:val="0"/>
                <w:sz w:val="18"/>
              </w:rPr>
              <w:t>60,000</w:t>
            </w:r>
          </w:p>
        </w:tc>
        <w:tc>
          <w:tcPr>
            <w:tcW w:type="dxa" w:w="2304"/>
            <w:shd w:val="clear" w:color="auto" w:fill="F5EFE4"/>
          </w:tcPr>
          <w:p>
            <w:pPr>
              <w:spacing w:before="40" w:after="40"/>
              <w:jc w:val="right"/>
            </w:pPr>
            <w:r/>
            <w:r>
              <w:rPr>
                <w:b w:val="0"/>
                <w:sz w:val="18"/>
              </w:rPr>
              <w:t>₹0.18</w:t>
            </w:r>
          </w:p>
        </w:tc>
        <w:tc>
          <w:tcPr>
            <w:tcW w:type="dxa" w:w="2160"/>
            <w:shd w:val="clear" w:color="auto" w:fill="F5EFE4"/>
          </w:tcPr>
          <w:p>
            <w:pPr>
              <w:spacing w:before="40" w:after="40"/>
              <w:jc w:val="right"/>
            </w:pPr>
            <w:r/>
            <w:r>
              <w:rPr>
                <w:b w:val="0"/>
                <w:sz w:val="18"/>
              </w:rPr>
              <w:t>₹10,800</w:t>
            </w:r>
          </w:p>
        </w:tc>
      </w:tr>
      <w:tr>
        <w:tc>
          <w:tcPr>
            <w:tcW w:type="dxa" w:w="1440"/>
          </w:tcPr>
          <w:p>
            <w:pPr>
              <w:spacing w:before="40" w:after="40"/>
            </w:pPr>
            <w:r/>
            <w:r>
              <w:rPr>
                <w:b w:val="0"/>
                <w:sz w:val="18"/>
              </w:rPr>
              <w:t>S3</w:t>
            </w:r>
          </w:p>
        </w:tc>
        <w:tc>
          <w:tcPr>
            <w:tcW w:type="dxa" w:w="2304"/>
          </w:tcPr>
          <w:p>
            <w:pPr>
              <w:spacing w:before="40" w:after="40"/>
              <w:jc w:val="right"/>
            </w:pPr>
            <w:r/>
            <w:r>
              <w:rPr>
                <w:b w:val="0"/>
                <w:sz w:val="18"/>
              </w:rPr>
              <w:t>350,000</w:t>
            </w:r>
          </w:p>
        </w:tc>
        <w:tc>
          <w:tcPr>
            <w:tcW w:type="dxa" w:w="2304"/>
          </w:tcPr>
          <w:p>
            <w:pPr>
              <w:spacing w:before="40" w:after="40"/>
              <w:jc w:val="right"/>
            </w:pPr>
            <w:r/>
            <w:r>
              <w:rPr>
                <w:b w:val="0"/>
                <w:sz w:val="18"/>
              </w:rPr>
              <w:t>₹0.15</w:t>
            </w:r>
          </w:p>
        </w:tc>
        <w:tc>
          <w:tcPr>
            <w:tcW w:type="dxa" w:w="2160"/>
          </w:tcPr>
          <w:p>
            <w:pPr>
              <w:spacing w:before="40" w:after="40"/>
              <w:jc w:val="right"/>
            </w:pPr>
            <w:r/>
            <w:r>
              <w:rPr>
                <w:b w:val="0"/>
                <w:sz w:val="18"/>
              </w:rPr>
              <w:t>₹52,500</w:t>
            </w:r>
          </w:p>
        </w:tc>
      </w:tr>
    </w:tbl>
    <w:p>
      <w:pPr>
        <w:spacing w:after="80"/>
      </w:pPr>
    </w:p>
    <w:p>
      <w:pPr>
        <w:spacing w:after="120"/>
      </w:pPr>
      <w:r>
        <w:rPr>
          <w:b w:val="0"/>
          <w:i w:val="0"/>
          <w:sz w:val="20"/>
        </w:rPr>
        <w:t>Because SMS scales with sign-ups rather than revenue, it is worth attacking directly. Sessions already last 30 days before re-authentication, which keeps repeat OTPs rare. WhatsApp-based OTP or operator-level silent verification would reduce the remaining volume substantially at scale.</w:t>
      </w:r>
    </w:p>
    <w:p>
      <w:pPr>
        <w:spacing w:after="160"/>
        <w:ind w:left="259"/>
      </w:pPr>
      <w:r>
        <w:rPr>
          <w:i/>
          <w:color w:val="6A647E"/>
          <w:sz w:val="17"/>
        </w:rPr>
        <w:t>The SMS integration is a generic HTTP gateway, so the provider can be changed on price without code changes. Indian SMS rates are volume-negotiable and this is worth using as leverage.</w:t>
      </w:r>
    </w:p>
    <w:p>
      <w:pPr>
        <w:pStyle w:val="Heading3"/>
        <w:spacing w:before="200" w:after="60"/>
      </w:pPr>
      <w:r>
        <w:rPr>
          <w:color w:val="1E1B3A"/>
          <w:sz w:val="22"/>
        </w:rPr>
        <w:t>Push notifications</w:t>
      </w:r>
    </w:p>
    <w:p>
      <w:pPr>
        <w:spacing w:after="120"/>
      </w:pPr>
      <w:r>
        <w:rPr>
          <w:b w:val="0"/>
          <w:i w:val="0"/>
          <w:sz w:val="20"/>
        </w:rPr>
        <w:t>Firebase Cloud Messaging is free at any volume, and remains so provided no other paid Firebase product is adopted. Push is budgeted at ₹0 in every scenario and is by a wide margin the cheapest channel — routing notifications to push in preference to SMS or email is a direct saving.</w:t>
      </w:r>
    </w:p>
    <w:p>
      <w:r>
        <w:br w:type="page"/>
      </w:r>
    </w:p>
    <w:p>
      <w:pPr>
        <w:pStyle w:val="Heading2"/>
        <w:spacing w:before="240" w:after="80"/>
      </w:pPr>
      <w:r>
        <w:rPr>
          <w:color w:val="7B3A8F"/>
          <w:sz w:val="25"/>
        </w:rPr>
        <w:t>5.7 Monitoring, logging and error tracking</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448"/>
            <w:shd w:val="clear" w:color="auto" w:fill="3F0E4C"/>
          </w:tcPr>
          <w:p>
            <w:pPr>
              <w:spacing w:before="40" w:after="40"/>
            </w:pPr>
            <w:r/>
            <w:r>
              <w:rPr>
                <w:b/>
                <w:color w:val="FFFFFF"/>
                <w:sz w:val="18"/>
              </w:rPr>
              <w:t>Item</w:t>
            </w:r>
          </w:p>
        </w:tc>
        <w:tc>
          <w:tcPr>
            <w:tcW w:type="dxa" w:w="1080"/>
            <w:shd w:val="clear" w:color="auto" w:fill="3F0E4C"/>
          </w:tcPr>
          <w:p>
            <w:pPr>
              <w:spacing w:before="40" w:after="40"/>
            </w:pPr>
            <w:r/>
            <w:r>
              <w:rPr>
                <w:b/>
                <w:color w:val="FFFFFF"/>
                <w:sz w:val="18"/>
              </w:rPr>
              <w:t>S1</w:t>
            </w:r>
          </w:p>
        </w:tc>
        <w:tc>
          <w:tcPr>
            <w:tcW w:type="dxa" w:w="1080"/>
            <w:shd w:val="clear" w:color="auto" w:fill="3F0E4C"/>
          </w:tcPr>
          <w:p>
            <w:pPr>
              <w:spacing w:before="40" w:after="40"/>
            </w:pPr>
            <w:r/>
            <w:r>
              <w:rPr>
                <w:b/>
                <w:color w:val="FFFFFF"/>
                <w:sz w:val="18"/>
              </w:rPr>
              <w:t>S2</w:t>
            </w:r>
          </w:p>
        </w:tc>
        <w:tc>
          <w:tcPr>
            <w:tcW w:type="dxa" w:w="1080"/>
            <w:shd w:val="clear" w:color="auto" w:fill="3F0E4C"/>
          </w:tcPr>
          <w:p>
            <w:pPr>
              <w:spacing w:before="40" w:after="40"/>
            </w:pPr>
            <w:r/>
            <w:r>
              <w:rPr>
                <w:b/>
                <w:color w:val="FFFFFF"/>
                <w:sz w:val="18"/>
              </w:rPr>
              <w:t>S3</w:t>
            </w:r>
          </w:p>
        </w:tc>
        <w:tc>
          <w:tcPr>
            <w:tcW w:type="dxa" w:w="3960"/>
            <w:shd w:val="clear" w:color="auto" w:fill="3F0E4C"/>
          </w:tcPr>
          <w:p>
            <w:pPr>
              <w:spacing w:before="40" w:after="40"/>
            </w:pPr>
            <w:r/>
            <w:r>
              <w:rPr>
                <w:b/>
                <w:color w:val="FFFFFF"/>
                <w:sz w:val="18"/>
              </w:rPr>
              <w:t>Notes</w:t>
            </w:r>
          </w:p>
        </w:tc>
      </w:tr>
      <w:tr>
        <w:tc>
          <w:tcPr>
            <w:tcW w:type="dxa" w:w="2448"/>
          </w:tcPr>
          <w:p>
            <w:pPr>
              <w:spacing w:before="40" w:after="40"/>
            </w:pPr>
            <w:r/>
            <w:r>
              <w:rPr>
                <w:b w:val="0"/>
                <w:sz w:val="18"/>
              </w:rPr>
              <w:t>Error tracking (Sentry)</w:t>
            </w:r>
          </w:p>
        </w:tc>
        <w:tc>
          <w:tcPr>
            <w:tcW w:type="dxa" w:w="1080"/>
          </w:tcPr>
          <w:p>
            <w:pPr>
              <w:spacing w:before="40" w:after="40"/>
              <w:jc w:val="right"/>
            </w:pPr>
            <w:r/>
            <w:r>
              <w:rPr>
                <w:b w:val="0"/>
                <w:sz w:val="18"/>
              </w:rPr>
              <w:t>₹2,478</w:t>
            </w:r>
          </w:p>
        </w:tc>
        <w:tc>
          <w:tcPr>
            <w:tcW w:type="dxa" w:w="1080"/>
          </w:tcPr>
          <w:p>
            <w:pPr>
              <w:spacing w:before="40" w:after="40"/>
              <w:jc w:val="right"/>
            </w:pPr>
            <w:r/>
            <w:r>
              <w:rPr>
                <w:b w:val="0"/>
                <w:sz w:val="18"/>
              </w:rPr>
              <w:t>₹4,765</w:t>
            </w:r>
          </w:p>
        </w:tc>
        <w:tc>
          <w:tcPr>
            <w:tcW w:type="dxa" w:w="1080"/>
          </w:tcPr>
          <w:p>
            <w:pPr>
              <w:spacing w:before="40" w:after="40"/>
              <w:jc w:val="right"/>
            </w:pPr>
            <w:r/>
            <w:r>
              <w:rPr>
                <w:b w:val="0"/>
                <w:sz w:val="18"/>
              </w:rPr>
              <w:t>₹14,295</w:t>
            </w:r>
          </w:p>
        </w:tc>
        <w:tc>
          <w:tcPr>
            <w:tcW w:type="dxa" w:w="3960"/>
          </w:tcPr>
          <w:p>
            <w:pPr>
              <w:spacing w:before="40" w:after="40"/>
            </w:pPr>
            <w:r/>
            <w:r>
              <w:rPr>
                <w:b w:val="0"/>
                <w:sz w:val="18"/>
              </w:rPr>
              <w:t>Team plan at $26/month with 50,000 errors included; overage is tiered</w:t>
            </w:r>
          </w:p>
        </w:tc>
      </w:tr>
      <w:tr>
        <w:tc>
          <w:tcPr>
            <w:tcW w:type="dxa" w:w="2448"/>
            <w:shd w:val="clear" w:color="auto" w:fill="F5EFE4"/>
          </w:tcPr>
          <w:p>
            <w:pPr>
              <w:spacing w:before="40" w:after="40"/>
            </w:pPr>
            <w:r/>
            <w:r>
              <w:rPr>
                <w:b w:val="0"/>
                <w:sz w:val="18"/>
              </w:rPr>
              <w:t>Log aggregation</w:t>
            </w:r>
          </w:p>
        </w:tc>
        <w:tc>
          <w:tcPr>
            <w:tcW w:type="dxa" w:w="1080"/>
            <w:shd w:val="clear" w:color="auto" w:fill="F5EFE4"/>
          </w:tcPr>
          <w:p>
            <w:pPr>
              <w:spacing w:before="40" w:after="40"/>
              <w:jc w:val="right"/>
            </w:pPr>
            <w:r/>
            <w:r>
              <w:rPr>
                <w:b w:val="0"/>
                <w:sz w:val="18"/>
              </w:rPr>
              <w:t>₹0</w:t>
            </w:r>
          </w:p>
        </w:tc>
        <w:tc>
          <w:tcPr>
            <w:tcW w:type="dxa" w:w="1080"/>
            <w:shd w:val="clear" w:color="auto" w:fill="F5EFE4"/>
          </w:tcPr>
          <w:p>
            <w:pPr>
              <w:spacing w:before="40" w:after="40"/>
              <w:jc w:val="right"/>
            </w:pPr>
            <w:r/>
            <w:r>
              <w:rPr>
                <w:b w:val="0"/>
                <w:sz w:val="18"/>
              </w:rPr>
              <w:t>₹0</w:t>
            </w:r>
          </w:p>
        </w:tc>
        <w:tc>
          <w:tcPr>
            <w:tcW w:type="dxa" w:w="1080"/>
            <w:shd w:val="clear" w:color="auto" w:fill="F5EFE4"/>
          </w:tcPr>
          <w:p>
            <w:pPr>
              <w:spacing w:before="40" w:after="40"/>
              <w:jc w:val="right"/>
            </w:pPr>
            <w:r/>
            <w:r>
              <w:rPr>
                <w:b w:val="0"/>
                <w:sz w:val="18"/>
              </w:rPr>
              <w:t>₹2,500</w:t>
            </w:r>
          </w:p>
        </w:tc>
        <w:tc>
          <w:tcPr>
            <w:tcW w:type="dxa" w:w="3960"/>
            <w:shd w:val="clear" w:color="auto" w:fill="F5EFE4"/>
          </w:tcPr>
          <w:p>
            <w:pPr>
              <w:spacing w:before="40" w:after="40"/>
            </w:pPr>
            <w:r/>
            <w:r>
              <w:rPr>
                <w:b w:val="0"/>
                <w:sz w:val="18"/>
              </w:rPr>
              <w:t>Written to VPS disk at S1 and S2; a dedicated node is warranted at S3</w:t>
            </w:r>
          </w:p>
        </w:tc>
      </w:tr>
      <w:tr>
        <w:tc>
          <w:tcPr>
            <w:tcW w:type="dxa" w:w="2448"/>
          </w:tcPr>
          <w:p>
            <w:pPr>
              <w:spacing w:before="40" w:after="40"/>
            </w:pPr>
            <w:r/>
            <w:r>
              <w:rPr>
                <w:b w:val="0"/>
                <w:sz w:val="18"/>
              </w:rPr>
              <w:t>Uptime and synthetic monitoring</w:t>
            </w:r>
          </w:p>
        </w:tc>
        <w:tc>
          <w:tcPr>
            <w:tcW w:type="dxa" w:w="1080"/>
          </w:tcPr>
          <w:p>
            <w:pPr>
              <w:spacing w:before="40" w:after="40"/>
              <w:jc w:val="right"/>
            </w:pPr>
            <w:r/>
            <w:r>
              <w:rPr>
                <w:b w:val="0"/>
                <w:sz w:val="18"/>
              </w:rPr>
              <w:t>₹0</w:t>
            </w:r>
          </w:p>
        </w:tc>
        <w:tc>
          <w:tcPr>
            <w:tcW w:type="dxa" w:w="1080"/>
          </w:tcPr>
          <w:p>
            <w:pPr>
              <w:spacing w:before="40" w:after="40"/>
              <w:jc w:val="right"/>
            </w:pPr>
            <w:r/>
            <w:r>
              <w:rPr>
                <w:b w:val="0"/>
                <w:sz w:val="18"/>
              </w:rPr>
              <w:t>₹0</w:t>
            </w:r>
          </w:p>
        </w:tc>
        <w:tc>
          <w:tcPr>
            <w:tcW w:type="dxa" w:w="1080"/>
          </w:tcPr>
          <w:p>
            <w:pPr>
              <w:spacing w:before="40" w:after="40"/>
              <w:jc w:val="right"/>
            </w:pPr>
            <w:r/>
            <w:r>
              <w:rPr>
                <w:b w:val="0"/>
                <w:sz w:val="18"/>
              </w:rPr>
              <w:t>₹0</w:t>
            </w:r>
          </w:p>
        </w:tc>
        <w:tc>
          <w:tcPr>
            <w:tcW w:type="dxa" w:w="3960"/>
          </w:tcPr>
          <w:p>
            <w:pPr>
              <w:spacing w:before="40" w:after="40"/>
            </w:pPr>
            <w:r/>
            <w:r>
              <w:rPr>
                <w:b w:val="0"/>
                <w:sz w:val="18"/>
              </w:rPr>
              <w:t>Free tiers are adequate at all three scales</w:t>
            </w:r>
          </w:p>
        </w:tc>
      </w:tr>
    </w:tbl>
    <w:p>
      <w:pPr>
        <w:spacing w:after="80"/>
      </w:pPr>
    </w:p>
    <w:p>
      <w:pPr>
        <w:spacing w:after="120"/>
      </w:pPr>
      <w:r>
        <w:rPr>
          <w:b w:val="0"/>
          <w:i w:val="0"/>
          <w:sz w:val="20"/>
        </w:rPr>
        <w:t>Because logs are written to VPS disk rather than a metered cloud service, log volume costs disk rather than money — but a full disk takes the server down. Log rotation with a bounded retention window is an operational requirement here, not a nice-to-have. Sentry is self-hostable if the subscription is ever unwelcome, though at these volumes the hosted plan is cheaper than the engineering time.</w:t>
      </w:r>
    </w:p>
    <w:p>
      <w:pPr>
        <w:pStyle w:val="Heading2"/>
        <w:spacing w:before="240" w:after="80"/>
      </w:pPr>
      <w:r>
        <w:rPr>
          <w:color w:val="7B3A8F"/>
          <w:sz w:val="25"/>
        </w:rPr>
        <w:t>5.8 App-store, domain and platform fees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448"/>
            <w:shd w:val="clear" w:color="auto" w:fill="3F0E4C"/>
          </w:tcPr>
          <w:p>
            <w:pPr>
              <w:spacing w:before="40" w:after="40"/>
            </w:pPr>
            <w:r/>
            <w:r>
              <w:rPr>
                <w:b/>
                <w:color w:val="FFFFFF"/>
                <w:sz w:val="18"/>
              </w:rPr>
              <w:t>Item</w:t>
            </w:r>
          </w:p>
        </w:tc>
        <w:tc>
          <w:tcPr>
            <w:tcW w:type="dxa" w:w="1440"/>
            <w:shd w:val="clear" w:color="auto" w:fill="3F0E4C"/>
          </w:tcPr>
          <w:p>
            <w:pPr>
              <w:spacing w:before="40" w:after="40"/>
            </w:pPr>
            <w:r/>
            <w:r>
              <w:rPr>
                <w:b/>
                <w:color w:val="FFFFFF"/>
                <w:sz w:val="18"/>
              </w:rPr>
              <w:t>Frequency</w:t>
            </w:r>
          </w:p>
        </w:tc>
        <w:tc>
          <w:tcPr>
            <w:tcW w:type="dxa" w:w="1944"/>
            <w:shd w:val="clear" w:color="auto" w:fill="3F0E4C"/>
          </w:tcPr>
          <w:p>
            <w:pPr>
              <w:spacing w:before="40" w:after="40"/>
            </w:pPr>
            <w:r/>
            <w:r>
              <w:rPr>
                <w:b/>
                <w:color w:val="FFFFFF"/>
                <w:sz w:val="18"/>
              </w:rPr>
              <w:t>Cost</w:t>
            </w:r>
          </w:p>
        </w:tc>
        <w:tc>
          <w:tcPr>
            <w:tcW w:type="dxa" w:w="3816"/>
            <w:shd w:val="clear" w:color="auto" w:fill="3F0E4C"/>
          </w:tcPr>
          <w:p>
            <w:pPr>
              <w:spacing w:before="40" w:after="40"/>
            </w:pPr>
            <w:r/>
            <w:r>
              <w:rPr>
                <w:b/>
                <w:color w:val="FFFFFF"/>
                <w:sz w:val="18"/>
              </w:rPr>
              <w:t>Notes</w:t>
            </w:r>
          </w:p>
        </w:tc>
      </w:tr>
      <w:tr>
        <w:tc>
          <w:tcPr>
            <w:tcW w:type="dxa" w:w="2448"/>
          </w:tcPr>
          <w:p>
            <w:pPr>
              <w:spacing w:before="40" w:after="40"/>
            </w:pPr>
            <w:r/>
            <w:r>
              <w:rPr>
                <w:b w:val="0"/>
                <w:sz w:val="18"/>
              </w:rPr>
              <w:t>Apple Developer Program</w:t>
            </w:r>
          </w:p>
        </w:tc>
        <w:tc>
          <w:tcPr>
            <w:tcW w:type="dxa" w:w="1440"/>
          </w:tcPr>
          <w:p>
            <w:pPr>
              <w:spacing w:before="40" w:after="40"/>
            </w:pPr>
            <w:r/>
            <w:r>
              <w:rPr>
                <w:b w:val="0"/>
                <w:sz w:val="18"/>
              </w:rPr>
              <w:t>Annual</w:t>
            </w:r>
          </w:p>
        </w:tc>
        <w:tc>
          <w:tcPr>
            <w:tcW w:type="dxa" w:w="1944"/>
          </w:tcPr>
          <w:p>
            <w:pPr>
              <w:spacing w:before="40" w:after="40"/>
            </w:pPr>
            <w:r/>
            <w:r>
              <w:rPr>
                <w:b w:val="0"/>
                <w:sz w:val="18"/>
              </w:rPr>
              <w:t>$99 ≈ ₹9,435</w:t>
            </w:r>
          </w:p>
        </w:tc>
        <w:tc>
          <w:tcPr>
            <w:tcW w:type="dxa" w:w="3816"/>
          </w:tcPr>
          <w:p>
            <w:pPr>
              <w:spacing w:before="40" w:after="40"/>
            </w:pPr>
            <w:r/>
            <w:r>
              <w:rPr>
                <w:b w:val="0"/>
                <w:sz w:val="18"/>
              </w:rPr>
              <w:t>Mandatory for App Store distribution and TestFlight</w:t>
            </w:r>
          </w:p>
        </w:tc>
      </w:tr>
      <w:tr>
        <w:tc>
          <w:tcPr>
            <w:tcW w:type="dxa" w:w="2448"/>
            <w:shd w:val="clear" w:color="auto" w:fill="F5EFE4"/>
          </w:tcPr>
          <w:p>
            <w:pPr>
              <w:spacing w:before="40" w:after="40"/>
            </w:pPr>
            <w:r/>
            <w:r>
              <w:rPr>
                <w:b w:val="0"/>
                <w:sz w:val="18"/>
              </w:rPr>
              <w:t>Google Play Developer account</w:t>
            </w:r>
          </w:p>
        </w:tc>
        <w:tc>
          <w:tcPr>
            <w:tcW w:type="dxa" w:w="1440"/>
            <w:shd w:val="clear" w:color="auto" w:fill="F5EFE4"/>
          </w:tcPr>
          <w:p>
            <w:pPr>
              <w:spacing w:before="40" w:after="40"/>
            </w:pPr>
            <w:r/>
            <w:r>
              <w:rPr>
                <w:b w:val="0"/>
                <w:sz w:val="18"/>
              </w:rPr>
              <w:t>One-time</w:t>
            </w:r>
          </w:p>
        </w:tc>
        <w:tc>
          <w:tcPr>
            <w:tcW w:type="dxa" w:w="1944"/>
            <w:shd w:val="clear" w:color="auto" w:fill="F5EFE4"/>
          </w:tcPr>
          <w:p>
            <w:pPr>
              <w:spacing w:before="40" w:after="40"/>
            </w:pPr>
            <w:r/>
            <w:r>
              <w:rPr>
                <w:b w:val="0"/>
                <w:sz w:val="18"/>
              </w:rPr>
              <w:t>$25 ≈ ₹2,382</w:t>
            </w:r>
          </w:p>
        </w:tc>
        <w:tc>
          <w:tcPr>
            <w:tcW w:type="dxa" w:w="3816"/>
            <w:shd w:val="clear" w:color="auto" w:fill="F5EFE4"/>
          </w:tcPr>
          <w:p>
            <w:pPr>
              <w:spacing w:before="40" w:after="40"/>
            </w:pPr>
            <w:r/>
            <w:r>
              <w:rPr>
                <w:b w:val="0"/>
                <w:sz w:val="18"/>
              </w:rPr>
              <w:t>One-time only — excluded from the run-rate, see §10.1</w:t>
            </w:r>
          </w:p>
        </w:tc>
      </w:tr>
      <w:tr>
        <w:tc>
          <w:tcPr>
            <w:tcW w:type="dxa" w:w="2448"/>
          </w:tcPr>
          <w:p>
            <w:pPr>
              <w:spacing w:before="40" w:after="40"/>
            </w:pPr>
            <w:r/>
            <w:r>
              <w:rPr>
                <w:b w:val="0"/>
                <w:sz w:val="18"/>
              </w:rPr>
              <w:t>Domain registration</w:t>
            </w:r>
          </w:p>
        </w:tc>
        <w:tc>
          <w:tcPr>
            <w:tcW w:type="dxa" w:w="1440"/>
          </w:tcPr>
          <w:p>
            <w:pPr>
              <w:spacing w:before="40" w:after="40"/>
            </w:pPr>
            <w:r/>
            <w:r>
              <w:rPr>
                <w:b w:val="0"/>
                <w:sz w:val="18"/>
              </w:rPr>
              <w:t>Annual</w:t>
            </w:r>
          </w:p>
        </w:tc>
        <w:tc>
          <w:tcPr>
            <w:tcW w:type="dxa" w:w="1944"/>
          </w:tcPr>
          <w:p>
            <w:pPr>
              <w:spacing w:before="40" w:after="40"/>
            </w:pPr>
            <w:r/>
            <w:r>
              <w:rPr>
                <w:b w:val="0"/>
                <w:sz w:val="18"/>
              </w:rPr>
              <w:t>≈ ₹1,500</w:t>
            </w:r>
          </w:p>
        </w:tc>
        <w:tc>
          <w:tcPr>
            <w:tcW w:type="dxa" w:w="3816"/>
          </w:tcPr>
          <w:p>
            <w:pPr>
              <w:spacing w:before="40" w:after="40"/>
            </w:pPr>
            <w:r/>
            <w:r>
              <w:rPr>
                <w:b w:val="0"/>
                <w:sz w:val="18"/>
              </w:rPr>
              <w:t>Renewal rate, not first-year promotional</w:t>
            </w:r>
          </w:p>
        </w:tc>
      </w:tr>
      <w:tr>
        <w:tc>
          <w:tcPr>
            <w:tcW w:type="dxa" w:w="2448"/>
            <w:shd w:val="clear" w:color="auto" w:fill="F5EFE4"/>
          </w:tcPr>
          <w:p>
            <w:pPr>
              <w:spacing w:before="40" w:after="40"/>
            </w:pPr>
            <w:r/>
            <w:r>
              <w:rPr>
                <w:b w:val="0"/>
                <w:sz w:val="18"/>
              </w:rPr>
              <w:t>TLS certificates</w:t>
            </w:r>
          </w:p>
        </w:tc>
        <w:tc>
          <w:tcPr>
            <w:tcW w:type="dxa" w:w="1440"/>
            <w:shd w:val="clear" w:color="auto" w:fill="F5EFE4"/>
          </w:tcPr>
          <w:p>
            <w:pPr>
              <w:spacing w:before="40" w:after="40"/>
            </w:pPr>
            <w:r/>
            <w:r>
              <w:rPr>
                <w:b w:val="0"/>
                <w:sz w:val="18"/>
              </w:rPr>
              <w:t>Annual</w:t>
            </w:r>
          </w:p>
        </w:tc>
        <w:tc>
          <w:tcPr>
            <w:tcW w:type="dxa" w:w="1944"/>
            <w:shd w:val="clear" w:color="auto" w:fill="F5EFE4"/>
          </w:tcPr>
          <w:p>
            <w:pPr>
              <w:spacing w:before="40" w:after="40"/>
            </w:pPr>
            <w:r/>
            <w:r>
              <w:rPr>
                <w:b w:val="0"/>
                <w:sz w:val="18"/>
              </w:rPr>
              <w:t>₹0</w:t>
            </w:r>
          </w:p>
        </w:tc>
        <w:tc>
          <w:tcPr>
            <w:tcW w:type="dxa" w:w="3816"/>
            <w:shd w:val="clear" w:color="auto" w:fill="F5EFE4"/>
          </w:tcPr>
          <w:p>
            <w:pPr>
              <w:spacing w:before="40" w:after="40"/>
            </w:pPr>
            <w:r/>
            <w:r>
              <w:rPr>
                <w:b w:val="0"/>
                <w:sz w:val="18"/>
              </w:rPr>
              <w:t>Let's Encrypt, automatically renewed</w:t>
            </w:r>
          </w:p>
        </w:tc>
      </w:tr>
      <w:tr>
        <w:tc>
          <w:tcPr>
            <w:tcW w:type="dxa" w:w="2448"/>
          </w:tcPr>
          <w:p>
            <w:pPr>
              <w:spacing w:before="40" w:after="40"/>
            </w:pPr>
            <w:r/>
            <w:r>
              <w:rPr>
                <w:b w:val="0"/>
                <w:sz w:val="18"/>
              </w:rPr>
              <w:t>Admin panel hosting</w:t>
            </w:r>
          </w:p>
        </w:tc>
        <w:tc>
          <w:tcPr>
            <w:tcW w:type="dxa" w:w="1440"/>
          </w:tcPr>
          <w:p>
            <w:pPr>
              <w:spacing w:before="40" w:after="40"/>
            </w:pPr>
            <w:r/>
            <w:r>
              <w:rPr>
                <w:b w:val="0"/>
                <w:sz w:val="18"/>
              </w:rPr>
              <w:t>Monthly</w:t>
            </w:r>
          </w:p>
        </w:tc>
        <w:tc>
          <w:tcPr>
            <w:tcW w:type="dxa" w:w="1944"/>
          </w:tcPr>
          <w:p>
            <w:pPr>
              <w:spacing w:before="40" w:after="40"/>
            </w:pPr>
            <w:r/>
            <w:r>
              <w:rPr>
                <w:b w:val="0"/>
                <w:sz w:val="18"/>
              </w:rPr>
              <w:t>₹0</w:t>
            </w:r>
          </w:p>
        </w:tc>
        <w:tc>
          <w:tcPr>
            <w:tcW w:type="dxa" w:w="3816"/>
          </w:tcPr>
          <w:p>
            <w:pPr>
              <w:spacing w:before="40" w:after="40"/>
            </w:pPr>
            <w:r/>
            <w:r>
              <w:rPr>
                <w:b w:val="0"/>
                <w:sz w:val="18"/>
              </w:rPr>
              <w:t>Static build served by Nginx on the existing VPS</w:t>
            </w:r>
          </w:p>
        </w:tc>
      </w:tr>
    </w:tbl>
    <w:p>
      <w:pPr>
        <w:spacing w:after="80"/>
      </w:pPr>
    </w:p>
    <w:p>
      <w:pPr>
        <w:pStyle w:val="Heading2"/>
        <w:spacing w:before="240" w:after="80"/>
      </w:pPr>
      <w:r>
        <w:rPr>
          <w:color w:val="7B3A8F"/>
          <w:sz w:val="25"/>
        </w:rPr>
        <w:t>5.9 Development and delivery tooling</w:t>
      </w:r>
    </w:p>
    <w:p>
      <w:pPr>
        <w:spacing w:after="120"/>
      </w:pPr>
      <w:r>
        <w:rPr>
          <w:b w:val="0"/>
          <w:i w:val="0"/>
          <w:sz w:val="20"/>
        </w:rPr>
        <w:t>These are recurring costs the delivery process depends on. They belong in the run-rate even though they are not user-facing infrastructure.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val="clear" w:color="auto" w:fill="3F0E4C"/>
          </w:tcPr>
          <w:p>
            <w:pPr>
              <w:spacing w:before="40" w:after="40"/>
            </w:pPr>
            <w:r/>
            <w:r>
              <w:rPr>
                <w:b/>
                <w:color w:val="FFFFFF"/>
                <w:sz w:val="18"/>
              </w:rPr>
              <w:t>Item</w:t>
            </w:r>
          </w:p>
        </w:tc>
        <w:tc>
          <w:tcPr>
            <w:tcW w:type="dxa" w:w="1152"/>
            <w:shd w:val="clear" w:color="auto" w:fill="3F0E4C"/>
          </w:tcPr>
          <w:p>
            <w:pPr>
              <w:spacing w:before="40" w:after="40"/>
            </w:pPr>
            <w:r/>
            <w:r>
              <w:rPr>
                <w:b/>
                <w:color w:val="FFFFFF"/>
                <w:sz w:val="18"/>
              </w:rPr>
              <w:t>S1</w:t>
            </w:r>
          </w:p>
        </w:tc>
        <w:tc>
          <w:tcPr>
            <w:tcW w:type="dxa" w:w="1152"/>
            <w:shd w:val="clear" w:color="auto" w:fill="3F0E4C"/>
          </w:tcPr>
          <w:p>
            <w:pPr>
              <w:spacing w:before="40" w:after="40"/>
            </w:pPr>
            <w:r/>
            <w:r>
              <w:rPr>
                <w:b/>
                <w:color w:val="FFFFFF"/>
                <w:sz w:val="18"/>
              </w:rPr>
              <w:t>S2</w:t>
            </w:r>
          </w:p>
        </w:tc>
        <w:tc>
          <w:tcPr>
            <w:tcW w:type="dxa" w:w="1152"/>
            <w:shd w:val="clear" w:color="auto" w:fill="3F0E4C"/>
          </w:tcPr>
          <w:p>
            <w:pPr>
              <w:spacing w:before="40" w:after="40"/>
            </w:pPr>
            <w:r/>
            <w:r>
              <w:rPr>
                <w:b/>
                <w:color w:val="FFFFFF"/>
                <w:sz w:val="18"/>
              </w:rPr>
              <w:t>S3</w:t>
            </w:r>
          </w:p>
        </w:tc>
        <w:tc>
          <w:tcPr>
            <w:tcW w:type="dxa" w:w="4032"/>
            <w:shd w:val="clear" w:color="auto" w:fill="3F0E4C"/>
          </w:tcPr>
          <w:p>
            <w:pPr>
              <w:spacing w:before="40" w:after="40"/>
            </w:pPr>
            <w:r/>
            <w:r>
              <w:rPr>
                <w:b/>
                <w:color w:val="FFFFFF"/>
                <w:sz w:val="18"/>
              </w:rPr>
              <w:t>Why it is needed</w:t>
            </w:r>
          </w:p>
        </w:tc>
      </w:tr>
      <w:tr>
        <w:tc>
          <w:tcPr>
            <w:tcW w:type="dxa" w:w="2160"/>
          </w:tcPr>
          <w:p>
            <w:pPr>
              <w:spacing w:before="40" w:after="40"/>
            </w:pPr>
            <w:r/>
            <w:r>
              <w:rPr>
                <w:b w:val="0"/>
                <w:sz w:val="18"/>
              </w:rPr>
              <w:t>Figma design seats</w:t>
            </w:r>
          </w:p>
        </w:tc>
        <w:tc>
          <w:tcPr>
            <w:tcW w:type="dxa" w:w="1152"/>
          </w:tcPr>
          <w:p>
            <w:pPr>
              <w:spacing w:before="40" w:after="40"/>
              <w:jc w:val="right"/>
            </w:pPr>
            <w:r/>
            <w:r>
              <w:rPr>
                <w:b w:val="0"/>
                <w:sz w:val="18"/>
              </w:rPr>
              <w:t>₹3,050</w:t>
            </w:r>
          </w:p>
        </w:tc>
        <w:tc>
          <w:tcPr>
            <w:tcW w:type="dxa" w:w="1152"/>
          </w:tcPr>
          <w:p>
            <w:pPr>
              <w:spacing w:before="40" w:after="40"/>
              <w:jc w:val="right"/>
            </w:pPr>
            <w:r/>
            <w:r>
              <w:rPr>
                <w:b w:val="0"/>
                <w:sz w:val="18"/>
              </w:rPr>
              <w:t>₹4,574</w:t>
            </w:r>
          </w:p>
        </w:tc>
        <w:tc>
          <w:tcPr>
            <w:tcW w:type="dxa" w:w="1152"/>
          </w:tcPr>
          <w:p>
            <w:pPr>
              <w:spacing w:before="40" w:after="40"/>
              <w:jc w:val="right"/>
            </w:pPr>
            <w:r/>
            <w:r>
              <w:rPr>
                <w:b w:val="0"/>
                <w:sz w:val="18"/>
              </w:rPr>
              <w:t>₹6,099</w:t>
            </w:r>
          </w:p>
        </w:tc>
        <w:tc>
          <w:tcPr>
            <w:tcW w:type="dxa" w:w="4032"/>
          </w:tcPr>
          <w:p>
            <w:pPr>
              <w:spacing w:before="40" w:after="40"/>
            </w:pPr>
            <w:r/>
            <w:r>
              <w:rPr>
                <w:b w:val="0"/>
                <w:sz w:val="18"/>
              </w:rPr>
              <w:t>Figma is the design source of truth; every screen is built from a named design node</w:t>
            </w:r>
          </w:p>
        </w:tc>
      </w:tr>
      <w:tr>
        <w:tc>
          <w:tcPr>
            <w:tcW w:type="dxa" w:w="2160"/>
            <w:shd w:val="clear" w:color="auto" w:fill="F5EFE4"/>
          </w:tcPr>
          <w:p>
            <w:pPr>
              <w:spacing w:before="40" w:after="40"/>
            </w:pPr>
            <w:r/>
            <w:r>
              <w:rPr>
                <w:b w:val="0"/>
                <w:sz w:val="18"/>
              </w:rPr>
              <w:t>CI build minutes</w:t>
            </w:r>
          </w:p>
        </w:tc>
        <w:tc>
          <w:tcPr>
            <w:tcW w:type="dxa" w:w="1152"/>
            <w:shd w:val="clear" w:color="auto" w:fill="F5EFE4"/>
          </w:tcPr>
          <w:p>
            <w:pPr>
              <w:spacing w:before="40" w:after="40"/>
              <w:jc w:val="right"/>
            </w:pPr>
            <w:r/>
            <w:r>
              <w:rPr>
                <w:b w:val="0"/>
                <w:sz w:val="18"/>
              </w:rPr>
              <w:t>₹953</w:t>
            </w:r>
          </w:p>
        </w:tc>
        <w:tc>
          <w:tcPr>
            <w:tcW w:type="dxa" w:w="1152"/>
            <w:shd w:val="clear" w:color="auto" w:fill="F5EFE4"/>
          </w:tcPr>
          <w:p>
            <w:pPr>
              <w:spacing w:before="40" w:after="40"/>
              <w:jc w:val="right"/>
            </w:pPr>
            <w:r/>
            <w:r>
              <w:rPr>
                <w:b w:val="0"/>
                <w:sz w:val="18"/>
              </w:rPr>
              <w:t>₹3,812</w:t>
            </w:r>
          </w:p>
        </w:tc>
        <w:tc>
          <w:tcPr>
            <w:tcW w:type="dxa" w:w="1152"/>
            <w:shd w:val="clear" w:color="auto" w:fill="F5EFE4"/>
          </w:tcPr>
          <w:p>
            <w:pPr>
              <w:spacing w:before="40" w:after="40"/>
              <w:jc w:val="right"/>
            </w:pPr>
            <w:r/>
            <w:r>
              <w:rPr>
                <w:b w:val="0"/>
                <w:sz w:val="18"/>
              </w:rPr>
              <w:t>₹7,624</w:t>
            </w:r>
          </w:p>
        </w:tc>
        <w:tc>
          <w:tcPr>
            <w:tcW w:type="dxa" w:w="4032"/>
            <w:shd w:val="clear" w:color="auto" w:fill="F5EFE4"/>
          </w:tcPr>
          <w:p>
            <w:pPr>
              <w:spacing w:before="40" w:after="40"/>
            </w:pPr>
            <w:r/>
            <w:r>
              <w:rPr>
                <w:b w:val="0"/>
                <w:sz w:val="18"/>
              </w:rPr>
              <w:t>Format, analyse, test and build the app; macOS runners for iOS bill at ten times the Linux rate</w:t>
            </w:r>
          </w:p>
        </w:tc>
      </w:tr>
      <w:tr>
        <w:tc>
          <w:tcPr>
            <w:tcW w:type="dxa" w:w="2160"/>
          </w:tcPr>
          <w:p>
            <w:pPr>
              <w:spacing w:before="40" w:after="40"/>
            </w:pPr>
            <w:r/>
            <w:r>
              <w:rPr>
                <w:b w:val="0"/>
                <w:sz w:val="18"/>
              </w:rPr>
              <w:t>Staging environment</w:t>
            </w:r>
          </w:p>
        </w:tc>
        <w:tc>
          <w:tcPr>
            <w:tcW w:type="dxa" w:w="1152"/>
          </w:tcPr>
          <w:p>
            <w:pPr>
              <w:spacing w:before="40" w:after="40"/>
              <w:jc w:val="right"/>
            </w:pPr>
            <w:r/>
            <w:r>
              <w:rPr>
                <w:b w:val="0"/>
                <w:sz w:val="18"/>
              </w:rPr>
              <w:t>₹999</w:t>
            </w:r>
          </w:p>
        </w:tc>
        <w:tc>
          <w:tcPr>
            <w:tcW w:type="dxa" w:w="1152"/>
          </w:tcPr>
          <w:p>
            <w:pPr>
              <w:spacing w:before="40" w:after="40"/>
              <w:jc w:val="right"/>
            </w:pPr>
            <w:r/>
            <w:r>
              <w:rPr>
                <w:b w:val="0"/>
                <w:sz w:val="18"/>
              </w:rPr>
              <w:t>₹1,199</w:t>
            </w:r>
          </w:p>
        </w:tc>
        <w:tc>
          <w:tcPr>
            <w:tcW w:type="dxa" w:w="1152"/>
          </w:tcPr>
          <w:p>
            <w:pPr>
              <w:spacing w:before="40" w:after="40"/>
              <w:jc w:val="right"/>
            </w:pPr>
            <w:r/>
            <w:r>
              <w:rPr>
                <w:b w:val="0"/>
                <w:sz w:val="18"/>
              </w:rPr>
              <w:t>₹2,399</w:t>
            </w:r>
          </w:p>
        </w:tc>
        <w:tc>
          <w:tcPr>
            <w:tcW w:type="dxa" w:w="4032"/>
          </w:tcPr>
          <w:p>
            <w:pPr>
              <w:spacing w:before="40" w:after="40"/>
            </w:pPr>
            <w:r/>
            <w:r>
              <w:rPr>
                <w:b w:val="0"/>
                <w:sz w:val="18"/>
              </w:rPr>
              <w:t>A separate VPS; release is gated on it</w:t>
            </w:r>
          </w:p>
        </w:tc>
      </w:tr>
    </w:tbl>
    <w:p>
      <w:pPr>
        <w:spacing w:after="80"/>
      </w:pPr>
    </w:p>
    <w:p>
      <w:pPr>
        <w:spacing w:after="160"/>
        <w:ind w:left="259"/>
      </w:pPr>
      <w:r>
        <w:rPr>
          <w:i/>
          <w:color w:val="6A647E"/>
          <w:sz w:val="17"/>
        </w:rPr>
        <w:t>Building the iOS app on every push rather than on release candidates is the single largest avoidable CI cost, because macOS runner minutes are billed at a ten-times multiplier.</w:t>
      </w:r>
    </w:p>
    <w:p>
      <w:r>
        <w:br w:type="page"/>
      </w:r>
    </w:p>
    <w:p>
      <w:pPr>
        <w:pStyle w:val="Heading1"/>
        <w:spacing w:before="320" w:after="120"/>
      </w:pPr>
      <w:r>
        <w:rPr>
          <w:color w:val="3F0E4C"/>
          <w:sz w:val="32"/>
        </w:rPr>
        <w:t>6. Consolidated Monthly Cost</w:t>
      </w:r>
    </w:p>
    <w:p>
      <w:pPr>
        <w:spacing w:after="120"/>
      </w:pPr>
      <w:r>
        <w:rPr>
          <w:b w:val="0"/>
          <w:i w:val="0"/>
          <w:sz w:val="20"/>
        </w:rPr>
        <w:t>Annual fees are amortised into the monthly figure. All amounts are in Indian Rupees per month.</w:t>
      </w:r>
    </w:p>
    <w:p>
      <w:pPr>
        <w:pStyle w:val="Heading2"/>
        <w:spacing w:before="240" w:after="80"/>
      </w:pPr>
      <w:r>
        <w:rPr>
          <w:color w:val="7B3A8F"/>
          <w:sz w:val="25"/>
        </w:rPr>
        <w:t>6.1 Scenario 1 — Pilot / soft launch (1,000 users)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888"/>
            <w:shd w:val="clear" w:color="auto" w:fill="3F0E4C"/>
          </w:tcPr>
          <w:p>
            <w:pPr>
              <w:spacing w:before="40" w:after="40"/>
            </w:pPr>
            <w:r/>
            <w:r>
              <w:rPr>
                <w:b/>
                <w:color w:val="FFFFFF"/>
                <w:sz w:val="18"/>
              </w:rPr>
              <w:t>Cost line</w:t>
            </w:r>
          </w:p>
        </w:tc>
        <w:tc>
          <w:tcPr>
            <w:tcW w:type="dxa" w:w="3888"/>
            <w:shd w:val="clear" w:color="auto" w:fill="3F0E4C"/>
          </w:tcPr>
          <w:p>
            <w:pPr>
              <w:spacing w:before="40" w:after="40"/>
            </w:pPr>
            <w:r/>
            <w:r>
              <w:rPr>
                <w:b/>
                <w:color w:val="FFFFFF"/>
                <w:sz w:val="18"/>
              </w:rPr>
              <w:t>Basis</w:t>
            </w:r>
          </w:p>
        </w:tc>
        <w:tc>
          <w:tcPr>
            <w:tcW w:type="dxa" w:w="1872"/>
            <w:shd w:val="clear" w:color="auto" w:fill="3F0E4C"/>
          </w:tcPr>
          <w:p>
            <w:pPr>
              <w:spacing w:before="40" w:after="40"/>
            </w:pPr>
            <w:r/>
            <w:r>
              <w:rPr>
                <w:b/>
                <w:color w:val="FFFFFF"/>
                <w:sz w:val="18"/>
              </w:rPr>
              <w:t>INR / month</w:t>
            </w:r>
          </w:p>
        </w:tc>
      </w:tr>
      <w:tr>
        <w:tc>
          <w:tcPr>
            <w:tcW w:type="dxa" w:w="3888"/>
          </w:tcPr>
          <w:p>
            <w:pPr>
              <w:spacing w:before="40" w:after="40"/>
            </w:pPr>
            <w:r/>
            <w:r>
              <w:rPr>
                <w:b w:val="0"/>
                <w:sz w:val="18"/>
              </w:rPr>
              <w:t>Hostinger VPS</w:t>
            </w:r>
          </w:p>
        </w:tc>
        <w:tc>
          <w:tcPr>
            <w:tcW w:type="dxa" w:w="3888"/>
          </w:tcPr>
          <w:p>
            <w:pPr>
              <w:spacing w:before="40" w:after="40"/>
            </w:pPr>
            <w:r/>
            <w:r>
              <w:rPr>
                <w:b w:val="0"/>
                <w:sz w:val="18"/>
              </w:rPr>
              <w:t>1 × KVM 2 — API, workers, Redis, admin panel</w:t>
            </w:r>
          </w:p>
        </w:tc>
        <w:tc>
          <w:tcPr>
            <w:tcW w:type="dxa" w:w="1872"/>
          </w:tcPr>
          <w:p>
            <w:pPr>
              <w:spacing w:before="40" w:after="40"/>
              <w:jc w:val="right"/>
            </w:pPr>
            <w:r/>
            <w:r>
              <w:rPr>
                <w:b w:val="0"/>
                <w:sz w:val="18"/>
              </w:rPr>
              <w:t>₹1,199</w:t>
            </w:r>
          </w:p>
        </w:tc>
      </w:tr>
      <w:tr>
        <w:tc>
          <w:tcPr>
            <w:tcW w:type="dxa" w:w="3888"/>
            <w:shd w:val="clear" w:color="auto" w:fill="F5EFE4"/>
          </w:tcPr>
          <w:p>
            <w:pPr>
              <w:spacing w:before="40" w:after="40"/>
            </w:pPr>
            <w:r/>
            <w:r>
              <w:rPr>
                <w:b w:val="0"/>
                <w:sz w:val="18"/>
              </w:rPr>
              <w:t>VPS backups</w:t>
            </w:r>
          </w:p>
        </w:tc>
        <w:tc>
          <w:tcPr>
            <w:tcW w:type="dxa" w:w="3888"/>
            <w:shd w:val="clear" w:color="auto" w:fill="F5EFE4"/>
          </w:tcPr>
          <w:p>
            <w:pPr>
              <w:spacing w:before="40" w:after="40"/>
            </w:pPr>
            <w:r/>
            <w:r>
              <w:rPr>
                <w:b w:val="0"/>
                <w:sz w:val="18"/>
              </w:rPr>
              <w:t>Automated daily snapshots</w:t>
            </w:r>
          </w:p>
        </w:tc>
        <w:tc>
          <w:tcPr>
            <w:tcW w:type="dxa" w:w="1872"/>
            <w:shd w:val="clear" w:color="auto" w:fill="F5EFE4"/>
          </w:tcPr>
          <w:p>
            <w:pPr>
              <w:spacing w:before="40" w:after="40"/>
              <w:jc w:val="right"/>
            </w:pPr>
            <w:r/>
            <w:r>
              <w:rPr>
                <w:b w:val="0"/>
                <w:sz w:val="18"/>
              </w:rPr>
              <w:t>₹250</w:t>
            </w:r>
          </w:p>
        </w:tc>
      </w:tr>
      <w:tr>
        <w:tc>
          <w:tcPr>
            <w:tcW w:type="dxa" w:w="3888"/>
          </w:tcPr>
          <w:p>
            <w:pPr>
              <w:spacing w:before="40" w:after="40"/>
            </w:pPr>
            <w:r/>
            <w:r>
              <w:rPr>
                <w:b w:val="0"/>
                <w:sz w:val="18"/>
              </w:rPr>
              <w:t>MongoDB Atlas</w:t>
            </w:r>
          </w:p>
        </w:tc>
        <w:tc>
          <w:tcPr>
            <w:tcW w:type="dxa" w:w="3888"/>
          </w:tcPr>
          <w:p>
            <w:pPr>
              <w:spacing w:before="40" w:after="40"/>
            </w:pPr>
            <w:r/>
            <w:r>
              <w:rPr>
                <w:b w:val="0"/>
                <w:sz w:val="18"/>
              </w:rPr>
              <w:t>M10 cluster + backup</w:t>
            </w:r>
          </w:p>
        </w:tc>
        <w:tc>
          <w:tcPr>
            <w:tcW w:type="dxa" w:w="1872"/>
          </w:tcPr>
          <w:p>
            <w:pPr>
              <w:spacing w:before="40" w:after="40"/>
              <w:jc w:val="right"/>
            </w:pPr>
            <w:r/>
            <w:r>
              <w:rPr>
                <w:b w:val="0"/>
                <w:sz w:val="18"/>
              </w:rPr>
              <w:t>₹6,195</w:t>
            </w:r>
          </w:p>
        </w:tc>
      </w:tr>
      <w:tr>
        <w:tc>
          <w:tcPr>
            <w:tcW w:type="dxa" w:w="3888"/>
            <w:shd w:val="clear" w:color="auto" w:fill="F5EFE4"/>
          </w:tcPr>
          <w:p>
            <w:pPr>
              <w:spacing w:before="40" w:after="40"/>
            </w:pPr>
            <w:r/>
            <w:r>
              <w:rPr>
                <w:b w:val="0"/>
                <w:sz w:val="18"/>
              </w:rPr>
              <w:t>Redis</w:t>
            </w:r>
          </w:p>
        </w:tc>
        <w:tc>
          <w:tcPr>
            <w:tcW w:type="dxa" w:w="3888"/>
            <w:shd w:val="clear" w:color="auto" w:fill="F5EFE4"/>
          </w:tcPr>
          <w:p>
            <w:pPr>
              <w:spacing w:before="40" w:after="40"/>
            </w:pPr>
            <w:r/>
            <w:r>
              <w:rPr>
                <w:b w:val="0"/>
                <w:sz w:val="18"/>
              </w:rPr>
              <w:t>Self-hosted on the VPS</w:t>
            </w:r>
          </w:p>
        </w:tc>
        <w:tc>
          <w:tcPr>
            <w:tcW w:type="dxa" w:w="1872"/>
            <w:shd w:val="clear" w:color="auto" w:fill="F5EFE4"/>
          </w:tcPr>
          <w:p>
            <w:pPr>
              <w:spacing w:before="40" w:after="40"/>
              <w:jc w:val="right"/>
            </w:pPr>
            <w:r/>
            <w:r>
              <w:rPr>
                <w:b w:val="0"/>
                <w:sz w:val="18"/>
              </w:rPr>
              <w:t>₹0</w:t>
            </w:r>
          </w:p>
        </w:tc>
      </w:tr>
      <w:tr>
        <w:tc>
          <w:tcPr>
            <w:tcW w:type="dxa" w:w="3888"/>
          </w:tcPr>
          <w:p>
            <w:pPr>
              <w:spacing w:before="40" w:after="40"/>
            </w:pPr>
            <w:r/>
            <w:r>
              <w:rPr>
                <w:b w:val="0"/>
                <w:sz w:val="18"/>
              </w:rPr>
              <w:t>Cloudinary</w:t>
            </w:r>
          </w:p>
        </w:tc>
        <w:tc>
          <w:tcPr>
            <w:tcW w:type="dxa" w:w="3888"/>
          </w:tcPr>
          <w:p>
            <w:pPr>
              <w:spacing w:before="40" w:after="40"/>
            </w:pPr>
            <w:r/>
            <w:r>
              <w:rPr>
                <w:b w:val="0"/>
                <w:sz w:val="18"/>
              </w:rPr>
              <w:t>Plus plan — 225 credits</w:t>
            </w:r>
          </w:p>
        </w:tc>
        <w:tc>
          <w:tcPr>
            <w:tcW w:type="dxa" w:w="1872"/>
          </w:tcPr>
          <w:p>
            <w:pPr>
              <w:spacing w:before="40" w:after="40"/>
              <w:jc w:val="right"/>
            </w:pPr>
            <w:r/>
            <w:r>
              <w:rPr>
                <w:b w:val="0"/>
                <w:sz w:val="18"/>
              </w:rPr>
              <w:t>₹9,435</w:t>
            </w:r>
          </w:p>
        </w:tc>
      </w:tr>
      <w:tr>
        <w:tc>
          <w:tcPr>
            <w:tcW w:type="dxa" w:w="3888"/>
            <w:shd w:val="clear" w:color="auto" w:fill="F5EFE4"/>
          </w:tcPr>
          <w:p>
            <w:pPr>
              <w:spacing w:before="40" w:after="40"/>
            </w:pPr>
            <w:r/>
            <w:r>
              <w:rPr>
                <w:b w:val="0"/>
                <w:sz w:val="18"/>
              </w:rPr>
              <w:t>SerpApi</w:t>
            </w:r>
          </w:p>
        </w:tc>
        <w:tc>
          <w:tcPr>
            <w:tcW w:type="dxa" w:w="3888"/>
            <w:shd w:val="clear" w:color="auto" w:fill="F5EFE4"/>
          </w:tcPr>
          <w:p>
            <w:pPr>
              <w:spacing w:before="40" w:after="40"/>
            </w:pPr>
            <w:r/>
            <w:r>
              <w:rPr>
                <w:b w:val="0"/>
                <w:sz w:val="18"/>
              </w:rPr>
              <w:t>~6,000 calls — Production tier</w:t>
            </w:r>
          </w:p>
        </w:tc>
        <w:tc>
          <w:tcPr>
            <w:tcW w:type="dxa" w:w="1872"/>
            <w:shd w:val="clear" w:color="auto" w:fill="F5EFE4"/>
          </w:tcPr>
          <w:p>
            <w:pPr>
              <w:spacing w:before="40" w:after="40"/>
              <w:jc w:val="right"/>
            </w:pPr>
            <w:r/>
            <w:r>
              <w:rPr>
                <w:b w:val="0"/>
                <w:sz w:val="18"/>
              </w:rPr>
              <w:t>₹14,295</w:t>
            </w:r>
          </w:p>
        </w:tc>
      </w:tr>
      <w:tr>
        <w:tc>
          <w:tcPr>
            <w:tcW w:type="dxa" w:w="3888"/>
          </w:tcPr>
          <w:p>
            <w:pPr>
              <w:spacing w:before="40" w:after="40"/>
            </w:pPr>
            <w:r/>
            <w:r>
              <w:rPr>
                <w:b w:val="0"/>
                <w:sz w:val="18"/>
              </w:rPr>
              <w:t>Cuelinks</w:t>
            </w:r>
          </w:p>
        </w:tc>
        <w:tc>
          <w:tcPr>
            <w:tcW w:type="dxa" w:w="3888"/>
          </w:tcPr>
          <w:p>
            <w:pPr>
              <w:spacing w:before="40" w:after="40"/>
            </w:pPr>
            <w:r/>
            <w:r>
              <w:rPr>
                <w:b w:val="0"/>
                <w:sz w:val="18"/>
              </w:rPr>
              <w:t>Revenue share</w:t>
            </w:r>
          </w:p>
        </w:tc>
        <w:tc>
          <w:tcPr>
            <w:tcW w:type="dxa" w:w="1872"/>
          </w:tcPr>
          <w:p>
            <w:pPr>
              <w:spacing w:before="40" w:after="40"/>
              <w:jc w:val="right"/>
            </w:pPr>
            <w:r/>
            <w:r>
              <w:rPr>
                <w:b w:val="0"/>
                <w:sz w:val="18"/>
              </w:rPr>
              <w:t>₹0</w:t>
            </w:r>
          </w:p>
        </w:tc>
      </w:tr>
      <w:tr>
        <w:tc>
          <w:tcPr>
            <w:tcW w:type="dxa" w:w="3888"/>
            <w:shd w:val="clear" w:color="auto" w:fill="F5EFE4"/>
          </w:tcPr>
          <w:p>
            <w:pPr>
              <w:spacing w:before="40" w:after="40"/>
            </w:pPr>
            <w:r/>
            <w:r>
              <w:rPr>
                <w:b w:val="0"/>
                <w:sz w:val="18"/>
              </w:rPr>
              <w:t>Transactional email</w:t>
            </w:r>
          </w:p>
        </w:tc>
        <w:tc>
          <w:tcPr>
            <w:tcW w:type="dxa" w:w="3888"/>
            <w:shd w:val="clear" w:color="auto" w:fill="F5EFE4"/>
          </w:tcPr>
          <w:p>
            <w:pPr>
              <w:spacing w:before="40" w:after="40"/>
            </w:pPr>
            <w:r/>
            <w:r>
              <w:rPr>
                <w:b w:val="0"/>
                <w:sz w:val="18"/>
              </w:rPr>
              <w:t>SMTP included with hosting</w:t>
            </w:r>
          </w:p>
        </w:tc>
        <w:tc>
          <w:tcPr>
            <w:tcW w:type="dxa" w:w="1872"/>
            <w:shd w:val="clear" w:color="auto" w:fill="F5EFE4"/>
          </w:tcPr>
          <w:p>
            <w:pPr>
              <w:spacing w:before="40" w:after="40"/>
              <w:jc w:val="right"/>
            </w:pPr>
            <w:r/>
            <w:r>
              <w:rPr>
                <w:b w:val="0"/>
                <w:sz w:val="18"/>
              </w:rPr>
              <w:t>₹0</w:t>
            </w:r>
          </w:p>
        </w:tc>
      </w:tr>
      <w:tr>
        <w:tc>
          <w:tcPr>
            <w:tcW w:type="dxa" w:w="3888"/>
          </w:tcPr>
          <w:p>
            <w:pPr>
              <w:spacing w:before="40" w:after="40"/>
            </w:pPr>
            <w:r/>
            <w:r>
              <w:rPr>
                <w:b w:val="0"/>
                <w:sz w:val="18"/>
              </w:rPr>
              <w:t>Transactional SMS</w:t>
            </w:r>
          </w:p>
        </w:tc>
        <w:tc>
          <w:tcPr>
            <w:tcW w:type="dxa" w:w="3888"/>
          </w:tcPr>
          <w:p>
            <w:pPr>
              <w:spacing w:before="40" w:after="40"/>
            </w:pPr>
            <w:r/>
            <w:r>
              <w:rPr>
                <w:b w:val="0"/>
                <w:sz w:val="18"/>
              </w:rPr>
              <w:t>5,000 OTP messages</w:t>
            </w:r>
          </w:p>
        </w:tc>
        <w:tc>
          <w:tcPr>
            <w:tcW w:type="dxa" w:w="1872"/>
          </w:tcPr>
          <w:p>
            <w:pPr>
              <w:spacing w:before="40" w:after="40"/>
              <w:jc w:val="right"/>
            </w:pPr>
            <w:r/>
            <w:r>
              <w:rPr>
                <w:b w:val="0"/>
                <w:sz w:val="18"/>
              </w:rPr>
              <w:t>₹1,000</w:t>
            </w:r>
          </w:p>
        </w:tc>
      </w:tr>
      <w:tr>
        <w:tc>
          <w:tcPr>
            <w:tcW w:type="dxa" w:w="3888"/>
            <w:shd w:val="clear" w:color="auto" w:fill="F5EFE4"/>
          </w:tcPr>
          <w:p>
            <w:pPr>
              <w:spacing w:before="40" w:after="40"/>
            </w:pPr>
            <w:r/>
            <w:r>
              <w:rPr>
                <w:b w:val="0"/>
                <w:sz w:val="18"/>
              </w:rPr>
              <w:t>Push notifications</w:t>
            </w:r>
          </w:p>
        </w:tc>
        <w:tc>
          <w:tcPr>
            <w:tcW w:type="dxa" w:w="3888"/>
            <w:shd w:val="clear" w:color="auto" w:fill="F5EFE4"/>
          </w:tcPr>
          <w:p>
            <w:pPr>
              <w:spacing w:before="40" w:after="40"/>
            </w:pPr>
            <w:r/>
            <w:r>
              <w:rPr>
                <w:b w:val="0"/>
                <w:sz w:val="18"/>
              </w:rPr>
              <w:t>Firebase Cloud Messaging</w:t>
            </w:r>
          </w:p>
        </w:tc>
        <w:tc>
          <w:tcPr>
            <w:tcW w:type="dxa" w:w="1872"/>
            <w:shd w:val="clear" w:color="auto" w:fill="F5EFE4"/>
          </w:tcPr>
          <w:p>
            <w:pPr>
              <w:spacing w:before="40" w:after="40"/>
              <w:jc w:val="right"/>
            </w:pPr>
            <w:r/>
            <w:r>
              <w:rPr>
                <w:b w:val="0"/>
                <w:sz w:val="18"/>
              </w:rPr>
              <w:t>₹0</w:t>
            </w:r>
          </w:p>
        </w:tc>
      </w:tr>
      <w:tr>
        <w:tc>
          <w:tcPr>
            <w:tcW w:type="dxa" w:w="3888"/>
          </w:tcPr>
          <w:p>
            <w:pPr>
              <w:spacing w:before="40" w:after="40"/>
            </w:pPr>
            <w:r/>
            <w:r>
              <w:rPr>
                <w:b w:val="0"/>
                <w:sz w:val="18"/>
              </w:rPr>
              <w:t>Error tracking</w:t>
            </w:r>
          </w:p>
        </w:tc>
        <w:tc>
          <w:tcPr>
            <w:tcW w:type="dxa" w:w="3888"/>
          </w:tcPr>
          <w:p>
            <w:pPr>
              <w:spacing w:before="40" w:after="40"/>
            </w:pPr>
            <w:r/>
            <w:r>
              <w:rPr>
                <w:b w:val="0"/>
                <w:sz w:val="18"/>
              </w:rPr>
              <w:t>Sentry Team</w:t>
            </w:r>
          </w:p>
        </w:tc>
        <w:tc>
          <w:tcPr>
            <w:tcW w:type="dxa" w:w="1872"/>
          </w:tcPr>
          <w:p>
            <w:pPr>
              <w:spacing w:before="40" w:after="40"/>
              <w:jc w:val="right"/>
            </w:pPr>
            <w:r/>
            <w:r>
              <w:rPr>
                <w:b w:val="0"/>
                <w:sz w:val="18"/>
              </w:rPr>
              <w:t>₹2,478</w:t>
            </w:r>
          </w:p>
        </w:tc>
      </w:tr>
      <w:tr>
        <w:tc>
          <w:tcPr>
            <w:tcW w:type="dxa" w:w="3888"/>
            <w:shd w:val="clear" w:color="auto" w:fill="F5EFE4"/>
          </w:tcPr>
          <w:p>
            <w:pPr>
              <w:spacing w:before="40" w:after="40"/>
            </w:pPr>
            <w:r/>
            <w:r>
              <w:rPr>
                <w:b w:val="0"/>
                <w:sz w:val="18"/>
              </w:rPr>
              <w:t>Log aggregation</w:t>
            </w:r>
          </w:p>
        </w:tc>
        <w:tc>
          <w:tcPr>
            <w:tcW w:type="dxa" w:w="3888"/>
            <w:shd w:val="clear" w:color="auto" w:fill="F5EFE4"/>
          </w:tcPr>
          <w:p>
            <w:pPr>
              <w:spacing w:before="40" w:after="40"/>
            </w:pPr>
            <w:r/>
            <w:r>
              <w:rPr>
                <w:b w:val="0"/>
                <w:sz w:val="18"/>
              </w:rPr>
              <w:t>VPS disk</w:t>
            </w:r>
          </w:p>
        </w:tc>
        <w:tc>
          <w:tcPr>
            <w:tcW w:type="dxa" w:w="1872"/>
            <w:shd w:val="clear" w:color="auto" w:fill="F5EFE4"/>
          </w:tcPr>
          <w:p>
            <w:pPr>
              <w:spacing w:before="40" w:after="40"/>
              <w:jc w:val="right"/>
            </w:pPr>
            <w:r/>
            <w:r>
              <w:rPr>
                <w:b w:val="0"/>
                <w:sz w:val="18"/>
              </w:rPr>
              <w:t>₹0</w:t>
            </w:r>
          </w:p>
        </w:tc>
      </w:tr>
      <w:tr>
        <w:tc>
          <w:tcPr>
            <w:tcW w:type="dxa" w:w="3888"/>
          </w:tcPr>
          <w:p>
            <w:pPr>
              <w:spacing w:before="40" w:after="40"/>
            </w:pPr>
            <w:r/>
            <w:r>
              <w:rPr>
                <w:b w:val="0"/>
                <w:sz w:val="18"/>
              </w:rPr>
              <w:t>Admin panel hosting</w:t>
            </w:r>
          </w:p>
        </w:tc>
        <w:tc>
          <w:tcPr>
            <w:tcW w:type="dxa" w:w="3888"/>
          </w:tcPr>
          <w:p>
            <w:pPr>
              <w:spacing w:before="40" w:after="40"/>
            </w:pPr>
            <w:r/>
            <w:r>
              <w:rPr>
                <w:b w:val="0"/>
                <w:sz w:val="18"/>
              </w:rPr>
              <w:t>Nginx on the application VPS</w:t>
            </w:r>
          </w:p>
        </w:tc>
        <w:tc>
          <w:tcPr>
            <w:tcW w:type="dxa" w:w="1872"/>
          </w:tcPr>
          <w:p>
            <w:pPr>
              <w:spacing w:before="40" w:after="40"/>
              <w:jc w:val="right"/>
            </w:pPr>
            <w:r/>
            <w:r>
              <w:rPr>
                <w:b w:val="0"/>
                <w:sz w:val="18"/>
              </w:rPr>
              <w:t>₹0</w:t>
            </w:r>
          </w:p>
        </w:tc>
      </w:tr>
      <w:tr>
        <w:tc>
          <w:tcPr>
            <w:tcW w:type="dxa" w:w="3888"/>
            <w:shd w:val="clear" w:color="auto" w:fill="F5EFE4"/>
          </w:tcPr>
          <w:p>
            <w:pPr>
              <w:spacing w:before="40" w:after="40"/>
            </w:pPr>
            <w:r/>
            <w:r>
              <w:rPr>
                <w:b w:val="0"/>
                <w:sz w:val="18"/>
              </w:rPr>
              <w:t>Staging environment</w:t>
            </w:r>
          </w:p>
        </w:tc>
        <w:tc>
          <w:tcPr>
            <w:tcW w:type="dxa" w:w="3888"/>
            <w:shd w:val="clear" w:color="auto" w:fill="F5EFE4"/>
          </w:tcPr>
          <w:p>
            <w:pPr>
              <w:spacing w:before="40" w:after="40"/>
            </w:pPr>
            <w:r/>
            <w:r>
              <w:rPr>
                <w:b w:val="0"/>
                <w:sz w:val="18"/>
              </w:rPr>
              <w:t>1 × KVM 1</w:t>
            </w:r>
          </w:p>
        </w:tc>
        <w:tc>
          <w:tcPr>
            <w:tcW w:type="dxa" w:w="1872"/>
            <w:shd w:val="clear" w:color="auto" w:fill="F5EFE4"/>
          </w:tcPr>
          <w:p>
            <w:pPr>
              <w:spacing w:before="40" w:after="40"/>
              <w:jc w:val="right"/>
            </w:pPr>
            <w:r/>
            <w:r>
              <w:rPr>
                <w:b w:val="0"/>
                <w:sz w:val="18"/>
              </w:rPr>
              <w:t>₹999</w:t>
            </w:r>
          </w:p>
        </w:tc>
      </w:tr>
      <w:tr>
        <w:tc>
          <w:tcPr>
            <w:tcW w:type="dxa" w:w="3888"/>
          </w:tcPr>
          <w:p>
            <w:pPr>
              <w:spacing w:before="40" w:after="40"/>
            </w:pPr>
            <w:r/>
            <w:r>
              <w:rPr>
                <w:b w:val="0"/>
                <w:sz w:val="18"/>
              </w:rPr>
              <w:t>CI build minutes</w:t>
            </w:r>
          </w:p>
        </w:tc>
        <w:tc>
          <w:tcPr>
            <w:tcW w:type="dxa" w:w="3888"/>
          </w:tcPr>
          <w:p>
            <w:pPr>
              <w:spacing w:before="40" w:after="40"/>
            </w:pPr>
            <w:r/>
            <w:r>
              <w:rPr>
                <w:b w:val="0"/>
                <w:sz w:val="18"/>
              </w:rPr>
              <w:t>GitHub Actions</w:t>
            </w:r>
          </w:p>
        </w:tc>
        <w:tc>
          <w:tcPr>
            <w:tcW w:type="dxa" w:w="1872"/>
          </w:tcPr>
          <w:p>
            <w:pPr>
              <w:spacing w:before="40" w:after="40"/>
              <w:jc w:val="right"/>
            </w:pPr>
            <w:r/>
            <w:r>
              <w:rPr>
                <w:b w:val="0"/>
                <w:sz w:val="18"/>
              </w:rPr>
              <w:t>₹953</w:t>
            </w:r>
          </w:p>
        </w:tc>
      </w:tr>
      <w:tr>
        <w:tc>
          <w:tcPr>
            <w:tcW w:type="dxa" w:w="3888"/>
            <w:shd w:val="clear" w:color="auto" w:fill="F5EFE4"/>
          </w:tcPr>
          <w:p>
            <w:pPr>
              <w:spacing w:before="40" w:after="40"/>
            </w:pPr>
            <w:r/>
            <w:r>
              <w:rPr>
                <w:b w:val="0"/>
                <w:sz w:val="18"/>
              </w:rPr>
              <w:t>Figma</w:t>
            </w:r>
          </w:p>
        </w:tc>
        <w:tc>
          <w:tcPr>
            <w:tcW w:type="dxa" w:w="3888"/>
            <w:shd w:val="clear" w:color="auto" w:fill="F5EFE4"/>
          </w:tcPr>
          <w:p>
            <w:pPr>
              <w:spacing w:before="40" w:after="40"/>
            </w:pPr>
            <w:r/>
            <w:r>
              <w:rPr>
                <w:b w:val="0"/>
                <w:sz w:val="18"/>
              </w:rPr>
              <w:t>2 editor seats</w:t>
            </w:r>
          </w:p>
        </w:tc>
        <w:tc>
          <w:tcPr>
            <w:tcW w:type="dxa" w:w="1872"/>
            <w:shd w:val="clear" w:color="auto" w:fill="F5EFE4"/>
          </w:tcPr>
          <w:p>
            <w:pPr>
              <w:spacing w:before="40" w:after="40"/>
              <w:jc w:val="right"/>
            </w:pPr>
            <w:r/>
            <w:r>
              <w:rPr>
                <w:b w:val="0"/>
                <w:sz w:val="18"/>
              </w:rPr>
              <w:t>₹3,050</w:t>
            </w:r>
          </w:p>
        </w:tc>
      </w:tr>
      <w:tr>
        <w:tc>
          <w:tcPr>
            <w:tcW w:type="dxa" w:w="3888"/>
          </w:tcPr>
          <w:p>
            <w:pPr>
              <w:spacing w:before="40" w:after="40"/>
            </w:pPr>
            <w:r/>
            <w:r>
              <w:rPr>
                <w:b w:val="0"/>
                <w:sz w:val="18"/>
              </w:rPr>
              <w:t>Domain and TLS</w:t>
            </w:r>
          </w:p>
        </w:tc>
        <w:tc>
          <w:tcPr>
            <w:tcW w:type="dxa" w:w="3888"/>
          </w:tcPr>
          <w:p>
            <w:pPr>
              <w:spacing w:before="40" w:after="40"/>
            </w:pPr>
            <w:r/>
            <w:r>
              <w:rPr>
                <w:b w:val="0"/>
                <w:sz w:val="18"/>
              </w:rPr>
              <w:t>Amortised annual</w:t>
            </w:r>
          </w:p>
        </w:tc>
        <w:tc>
          <w:tcPr>
            <w:tcW w:type="dxa" w:w="1872"/>
          </w:tcPr>
          <w:p>
            <w:pPr>
              <w:spacing w:before="40" w:after="40"/>
              <w:jc w:val="right"/>
            </w:pPr>
            <w:r/>
            <w:r>
              <w:rPr>
                <w:b w:val="0"/>
                <w:sz w:val="18"/>
              </w:rPr>
              <w:t>₹125</w:t>
            </w:r>
          </w:p>
        </w:tc>
      </w:tr>
      <w:tr>
        <w:tc>
          <w:tcPr>
            <w:tcW w:type="dxa" w:w="3888"/>
            <w:shd w:val="clear" w:color="auto" w:fill="F5EFE4"/>
          </w:tcPr>
          <w:p>
            <w:pPr>
              <w:spacing w:before="40" w:after="40"/>
            </w:pPr>
            <w:r/>
            <w:r>
              <w:rPr>
                <w:b w:val="0"/>
                <w:sz w:val="18"/>
              </w:rPr>
              <w:t>Apple Developer Program</w:t>
            </w:r>
          </w:p>
        </w:tc>
        <w:tc>
          <w:tcPr>
            <w:tcW w:type="dxa" w:w="3888"/>
            <w:shd w:val="clear" w:color="auto" w:fill="F5EFE4"/>
          </w:tcPr>
          <w:p>
            <w:pPr>
              <w:spacing w:before="40" w:after="40"/>
            </w:pPr>
            <w:r/>
            <w:r>
              <w:rPr>
                <w:b w:val="0"/>
                <w:sz w:val="18"/>
              </w:rPr>
              <w:t>$99/year amortised</w:t>
            </w:r>
          </w:p>
        </w:tc>
        <w:tc>
          <w:tcPr>
            <w:tcW w:type="dxa" w:w="1872"/>
            <w:shd w:val="clear" w:color="auto" w:fill="F5EFE4"/>
          </w:tcPr>
          <w:p>
            <w:pPr>
              <w:spacing w:before="40" w:after="40"/>
              <w:jc w:val="right"/>
            </w:pPr>
            <w:r/>
            <w:r>
              <w:rPr>
                <w:b w:val="0"/>
                <w:sz w:val="18"/>
              </w:rPr>
              <w:t>₹786</w:t>
            </w:r>
          </w:p>
        </w:tc>
      </w:tr>
      <w:tr>
        <w:tc>
          <w:tcPr>
            <w:tcW w:type="dxa" w:w="3888"/>
            <w:shd w:val="clear" w:color="auto" w:fill="FCE7EE"/>
          </w:tcPr>
          <w:p>
            <w:pPr>
              <w:spacing w:before="40" w:after="40"/>
            </w:pPr>
            <w:r/>
            <w:r>
              <w:rPr>
                <w:b/>
                <w:sz w:val="18"/>
              </w:rPr>
              <w:t>TOTAL PER MONTH</w:t>
            </w:r>
          </w:p>
        </w:tc>
        <w:tc>
          <w:tcPr>
            <w:tcW w:type="dxa" w:w="3888"/>
            <w:shd w:val="clear" w:color="auto" w:fill="FCE7EE"/>
          </w:tcPr>
          <w:p>
            <w:pPr>
              <w:spacing w:before="40" w:after="40"/>
            </w:pPr>
            <w:r/>
            <w:r>
              <w:rPr>
                <w:b/>
                <w:sz w:val="18"/>
              </w:rPr>
            </w:r>
          </w:p>
        </w:tc>
        <w:tc>
          <w:tcPr>
            <w:tcW w:type="dxa" w:w="1872"/>
            <w:shd w:val="clear" w:color="auto" w:fill="FCE7EE"/>
          </w:tcPr>
          <w:p>
            <w:pPr>
              <w:spacing w:before="40" w:after="40"/>
              <w:jc w:val="right"/>
            </w:pPr>
            <w:r/>
            <w:r>
              <w:rPr>
                <w:b/>
                <w:sz w:val="18"/>
              </w:rPr>
              <w:t>₹40,765</w:t>
            </w:r>
          </w:p>
        </w:tc>
      </w:tr>
      <w:tr>
        <w:tc>
          <w:tcPr>
            <w:tcW w:type="dxa" w:w="3888"/>
            <w:shd w:val="clear" w:color="auto" w:fill="FCE7EE"/>
          </w:tcPr>
          <w:p>
            <w:pPr>
              <w:spacing w:before="40" w:after="40"/>
            </w:pPr>
            <w:r/>
            <w:r>
              <w:rPr>
                <w:b/>
                <w:sz w:val="18"/>
              </w:rPr>
              <w:t>TOTAL PER YEAR</w:t>
            </w:r>
          </w:p>
        </w:tc>
        <w:tc>
          <w:tcPr>
            <w:tcW w:type="dxa" w:w="3888"/>
            <w:shd w:val="clear" w:color="auto" w:fill="FCE7EE"/>
          </w:tcPr>
          <w:p>
            <w:pPr>
              <w:spacing w:before="40" w:after="40"/>
            </w:pPr>
            <w:r/>
            <w:r>
              <w:rPr>
                <w:b/>
                <w:sz w:val="18"/>
              </w:rPr>
            </w:r>
          </w:p>
        </w:tc>
        <w:tc>
          <w:tcPr>
            <w:tcW w:type="dxa" w:w="1872"/>
            <w:shd w:val="clear" w:color="auto" w:fill="FCE7EE"/>
          </w:tcPr>
          <w:p>
            <w:pPr>
              <w:spacing w:before="40" w:after="40"/>
              <w:jc w:val="right"/>
            </w:pPr>
            <w:r/>
            <w:r>
              <w:rPr>
                <w:b/>
                <w:sz w:val="18"/>
              </w:rPr>
              <w:t>₹489,180</w:t>
            </w:r>
          </w:p>
        </w:tc>
      </w:tr>
    </w:tbl>
    <w:p>
      <w:pPr>
        <w:spacing w:after="80"/>
      </w:pPr>
    </w:p>
    <w:p>
      <w:pPr>
        <w:pStyle w:val="Heading2"/>
        <w:spacing w:before="240" w:after="80"/>
      </w:pPr>
      <w:r>
        <w:rPr>
          <w:color w:val="7B3A8F"/>
          <w:sz w:val="25"/>
        </w:rPr>
        <w:t>6.2 Scenario 2 — Growth (10,000 users)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888"/>
            <w:shd w:val="clear" w:color="auto" w:fill="3F0E4C"/>
          </w:tcPr>
          <w:p>
            <w:pPr>
              <w:spacing w:before="40" w:after="40"/>
            </w:pPr>
            <w:r/>
            <w:r>
              <w:rPr>
                <w:b/>
                <w:color w:val="FFFFFF"/>
                <w:sz w:val="18"/>
              </w:rPr>
              <w:t>Cost line</w:t>
            </w:r>
          </w:p>
        </w:tc>
        <w:tc>
          <w:tcPr>
            <w:tcW w:type="dxa" w:w="3888"/>
            <w:shd w:val="clear" w:color="auto" w:fill="3F0E4C"/>
          </w:tcPr>
          <w:p>
            <w:pPr>
              <w:spacing w:before="40" w:after="40"/>
            </w:pPr>
            <w:r/>
            <w:r>
              <w:rPr>
                <w:b/>
                <w:color w:val="FFFFFF"/>
                <w:sz w:val="18"/>
              </w:rPr>
              <w:t>Basis</w:t>
            </w:r>
          </w:p>
        </w:tc>
        <w:tc>
          <w:tcPr>
            <w:tcW w:type="dxa" w:w="1872"/>
            <w:shd w:val="clear" w:color="auto" w:fill="3F0E4C"/>
          </w:tcPr>
          <w:p>
            <w:pPr>
              <w:spacing w:before="40" w:after="40"/>
            </w:pPr>
            <w:r/>
            <w:r>
              <w:rPr>
                <w:b/>
                <w:color w:val="FFFFFF"/>
                <w:sz w:val="18"/>
              </w:rPr>
              <w:t>INR / month</w:t>
            </w:r>
          </w:p>
        </w:tc>
      </w:tr>
      <w:tr>
        <w:tc>
          <w:tcPr>
            <w:tcW w:type="dxa" w:w="3888"/>
          </w:tcPr>
          <w:p>
            <w:pPr>
              <w:spacing w:before="40" w:after="40"/>
            </w:pPr>
            <w:r/>
            <w:r>
              <w:rPr>
                <w:b w:val="0"/>
                <w:sz w:val="18"/>
              </w:rPr>
              <w:t>Hostinger VPS</w:t>
            </w:r>
          </w:p>
        </w:tc>
        <w:tc>
          <w:tcPr>
            <w:tcW w:type="dxa" w:w="3888"/>
          </w:tcPr>
          <w:p>
            <w:pPr>
              <w:spacing w:before="40" w:after="40"/>
            </w:pPr>
            <w:r/>
            <w:r>
              <w:rPr>
                <w:b w:val="0"/>
                <w:sz w:val="18"/>
              </w:rPr>
              <w:t>2 × KVM 4 — API/Redis and workers/reels</w:t>
            </w:r>
          </w:p>
        </w:tc>
        <w:tc>
          <w:tcPr>
            <w:tcW w:type="dxa" w:w="1872"/>
          </w:tcPr>
          <w:p>
            <w:pPr>
              <w:spacing w:before="40" w:after="40"/>
              <w:jc w:val="right"/>
            </w:pPr>
            <w:r/>
            <w:r>
              <w:rPr>
                <w:b w:val="0"/>
                <w:sz w:val="18"/>
              </w:rPr>
              <w:t>₹4,800</w:t>
            </w:r>
          </w:p>
        </w:tc>
      </w:tr>
      <w:tr>
        <w:tc>
          <w:tcPr>
            <w:tcW w:type="dxa" w:w="3888"/>
            <w:shd w:val="clear" w:color="auto" w:fill="F5EFE4"/>
          </w:tcPr>
          <w:p>
            <w:pPr>
              <w:spacing w:before="40" w:after="40"/>
            </w:pPr>
            <w:r/>
            <w:r>
              <w:rPr>
                <w:b w:val="0"/>
                <w:sz w:val="18"/>
              </w:rPr>
              <w:t>VPS backups</w:t>
            </w:r>
          </w:p>
        </w:tc>
        <w:tc>
          <w:tcPr>
            <w:tcW w:type="dxa" w:w="3888"/>
            <w:shd w:val="clear" w:color="auto" w:fill="F5EFE4"/>
          </w:tcPr>
          <w:p>
            <w:pPr>
              <w:spacing w:before="40" w:after="40"/>
            </w:pPr>
            <w:r/>
            <w:r>
              <w:rPr>
                <w:b w:val="0"/>
                <w:sz w:val="18"/>
              </w:rPr>
              <w:t>Automated daily snapshots</w:t>
            </w:r>
          </w:p>
        </w:tc>
        <w:tc>
          <w:tcPr>
            <w:tcW w:type="dxa" w:w="1872"/>
            <w:shd w:val="clear" w:color="auto" w:fill="F5EFE4"/>
          </w:tcPr>
          <w:p>
            <w:pPr>
              <w:spacing w:before="40" w:after="40"/>
              <w:jc w:val="right"/>
            </w:pPr>
            <w:r/>
            <w:r>
              <w:rPr>
                <w:b w:val="0"/>
                <w:sz w:val="18"/>
              </w:rPr>
              <w:t>₹500</w:t>
            </w:r>
          </w:p>
        </w:tc>
      </w:tr>
      <w:tr>
        <w:tc>
          <w:tcPr>
            <w:tcW w:type="dxa" w:w="3888"/>
          </w:tcPr>
          <w:p>
            <w:pPr>
              <w:spacing w:before="40" w:after="40"/>
            </w:pPr>
            <w:r/>
            <w:r>
              <w:rPr>
                <w:b w:val="0"/>
                <w:sz w:val="18"/>
              </w:rPr>
              <w:t>MongoDB Atlas</w:t>
            </w:r>
          </w:p>
        </w:tc>
        <w:tc>
          <w:tcPr>
            <w:tcW w:type="dxa" w:w="3888"/>
          </w:tcPr>
          <w:p>
            <w:pPr>
              <w:spacing w:before="40" w:after="40"/>
            </w:pPr>
            <w:r/>
            <w:r>
              <w:rPr>
                <w:b w:val="0"/>
                <w:sz w:val="18"/>
              </w:rPr>
              <w:t>M20 cluster + backup</w:t>
            </w:r>
          </w:p>
        </w:tc>
        <w:tc>
          <w:tcPr>
            <w:tcW w:type="dxa" w:w="1872"/>
          </w:tcPr>
          <w:p>
            <w:pPr>
              <w:spacing w:before="40" w:after="40"/>
              <w:jc w:val="right"/>
            </w:pPr>
            <w:r/>
            <w:r>
              <w:rPr>
                <w:b w:val="0"/>
                <w:sz w:val="18"/>
              </w:rPr>
              <w:t>₹15,725</w:t>
            </w:r>
          </w:p>
        </w:tc>
      </w:tr>
      <w:tr>
        <w:tc>
          <w:tcPr>
            <w:tcW w:type="dxa" w:w="3888"/>
            <w:shd w:val="clear" w:color="auto" w:fill="F5EFE4"/>
          </w:tcPr>
          <w:p>
            <w:pPr>
              <w:spacing w:before="40" w:after="40"/>
            </w:pPr>
            <w:r/>
            <w:r>
              <w:rPr>
                <w:b w:val="0"/>
                <w:sz w:val="18"/>
              </w:rPr>
              <w:t>Redis</w:t>
            </w:r>
          </w:p>
        </w:tc>
        <w:tc>
          <w:tcPr>
            <w:tcW w:type="dxa" w:w="3888"/>
            <w:shd w:val="clear" w:color="auto" w:fill="F5EFE4"/>
          </w:tcPr>
          <w:p>
            <w:pPr>
              <w:spacing w:before="40" w:after="40"/>
            </w:pPr>
            <w:r/>
            <w:r>
              <w:rPr>
                <w:b w:val="0"/>
                <w:sz w:val="18"/>
              </w:rPr>
              <w:t>Self-hosted on the VPS</w:t>
            </w:r>
          </w:p>
        </w:tc>
        <w:tc>
          <w:tcPr>
            <w:tcW w:type="dxa" w:w="1872"/>
            <w:shd w:val="clear" w:color="auto" w:fill="F5EFE4"/>
          </w:tcPr>
          <w:p>
            <w:pPr>
              <w:spacing w:before="40" w:after="40"/>
              <w:jc w:val="right"/>
            </w:pPr>
            <w:r/>
            <w:r>
              <w:rPr>
                <w:b w:val="0"/>
                <w:sz w:val="18"/>
              </w:rPr>
              <w:t>₹0</w:t>
            </w:r>
          </w:p>
        </w:tc>
      </w:tr>
      <w:tr>
        <w:tc>
          <w:tcPr>
            <w:tcW w:type="dxa" w:w="3888"/>
          </w:tcPr>
          <w:p>
            <w:pPr>
              <w:spacing w:before="40" w:after="40"/>
            </w:pPr>
            <w:r/>
            <w:r>
              <w:rPr>
                <w:b w:val="0"/>
                <w:sz w:val="18"/>
              </w:rPr>
              <w:t>Cloudinary</w:t>
            </w:r>
          </w:p>
        </w:tc>
        <w:tc>
          <w:tcPr>
            <w:tcW w:type="dxa" w:w="3888"/>
          </w:tcPr>
          <w:p>
            <w:pPr>
              <w:spacing w:before="40" w:after="40"/>
            </w:pPr>
            <w:r/>
            <w:r>
              <w:rPr>
                <w:b w:val="0"/>
                <w:sz w:val="18"/>
              </w:rPr>
              <w:t>~1,110 credits — Enterprise agreement</w:t>
            </w:r>
          </w:p>
        </w:tc>
        <w:tc>
          <w:tcPr>
            <w:tcW w:type="dxa" w:w="1872"/>
          </w:tcPr>
          <w:p>
            <w:pPr>
              <w:spacing w:before="40" w:after="40"/>
              <w:jc w:val="right"/>
            </w:pPr>
            <w:r/>
            <w:r>
              <w:rPr>
                <w:b w:val="0"/>
                <w:sz w:val="18"/>
              </w:rPr>
              <w:t>₹38,120</w:t>
            </w:r>
          </w:p>
        </w:tc>
      </w:tr>
      <w:tr>
        <w:tc>
          <w:tcPr>
            <w:tcW w:type="dxa" w:w="3888"/>
            <w:shd w:val="clear" w:color="auto" w:fill="F5EFE4"/>
          </w:tcPr>
          <w:p>
            <w:pPr>
              <w:spacing w:before="40" w:after="40"/>
            </w:pPr>
            <w:r/>
            <w:r>
              <w:rPr>
                <w:b w:val="0"/>
                <w:sz w:val="18"/>
              </w:rPr>
              <w:t>SerpApi</w:t>
            </w:r>
          </w:p>
        </w:tc>
        <w:tc>
          <w:tcPr>
            <w:tcW w:type="dxa" w:w="3888"/>
            <w:shd w:val="clear" w:color="auto" w:fill="F5EFE4"/>
          </w:tcPr>
          <w:p>
            <w:pPr>
              <w:spacing w:before="40" w:after="40"/>
            </w:pPr>
            <w:r/>
            <w:r>
              <w:rPr>
                <w:b w:val="0"/>
                <w:sz w:val="18"/>
              </w:rPr>
              <w:t>~48,000 calls — Searcher tier</w:t>
            </w:r>
          </w:p>
        </w:tc>
        <w:tc>
          <w:tcPr>
            <w:tcW w:type="dxa" w:w="1872"/>
            <w:shd w:val="clear" w:color="auto" w:fill="F5EFE4"/>
          </w:tcPr>
          <w:p>
            <w:pPr>
              <w:spacing w:before="40" w:after="40"/>
              <w:jc w:val="right"/>
            </w:pPr>
            <w:r/>
            <w:r>
              <w:rPr>
                <w:b w:val="0"/>
                <w:sz w:val="18"/>
              </w:rPr>
              <w:t>₹69,093</w:t>
            </w:r>
          </w:p>
        </w:tc>
      </w:tr>
      <w:tr>
        <w:tc>
          <w:tcPr>
            <w:tcW w:type="dxa" w:w="3888"/>
          </w:tcPr>
          <w:p>
            <w:pPr>
              <w:spacing w:before="40" w:after="40"/>
            </w:pPr>
            <w:r/>
            <w:r>
              <w:rPr>
                <w:b w:val="0"/>
                <w:sz w:val="18"/>
              </w:rPr>
              <w:t>Cuelinks</w:t>
            </w:r>
          </w:p>
        </w:tc>
        <w:tc>
          <w:tcPr>
            <w:tcW w:type="dxa" w:w="3888"/>
          </w:tcPr>
          <w:p>
            <w:pPr>
              <w:spacing w:before="40" w:after="40"/>
            </w:pPr>
            <w:r/>
            <w:r>
              <w:rPr>
                <w:b w:val="0"/>
                <w:sz w:val="18"/>
              </w:rPr>
              <w:t>Revenue share</w:t>
            </w:r>
          </w:p>
        </w:tc>
        <w:tc>
          <w:tcPr>
            <w:tcW w:type="dxa" w:w="1872"/>
          </w:tcPr>
          <w:p>
            <w:pPr>
              <w:spacing w:before="40" w:after="40"/>
              <w:jc w:val="right"/>
            </w:pPr>
            <w:r/>
            <w:r>
              <w:rPr>
                <w:b w:val="0"/>
                <w:sz w:val="18"/>
              </w:rPr>
              <w:t>₹0</w:t>
            </w:r>
          </w:p>
        </w:tc>
      </w:tr>
      <w:tr>
        <w:tc>
          <w:tcPr>
            <w:tcW w:type="dxa" w:w="3888"/>
            <w:shd w:val="clear" w:color="auto" w:fill="F5EFE4"/>
          </w:tcPr>
          <w:p>
            <w:pPr>
              <w:spacing w:before="40" w:after="40"/>
            </w:pPr>
            <w:r/>
            <w:r>
              <w:rPr>
                <w:b w:val="0"/>
                <w:sz w:val="18"/>
              </w:rPr>
              <w:t>Transactional email</w:t>
            </w:r>
          </w:p>
        </w:tc>
        <w:tc>
          <w:tcPr>
            <w:tcW w:type="dxa" w:w="3888"/>
            <w:shd w:val="clear" w:color="auto" w:fill="F5EFE4"/>
          </w:tcPr>
          <w:p>
            <w:pPr>
              <w:spacing w:before="40" w:after="40"/>
            </w:pPr>
            <w:r/>
            <w:r>
              <w:rPr>
                <w:b w:val="0"/>
                <w:sz w:val="18"/>
              </w:rPr>
              <w:t>Dedicated service — 300,000 emails</w:t>
            </w:r>
          </w:p>
        </w:tc>
        <w:tc>
          <w:tcPr>
            <w:tcW w:type="dxa" w:w="1872"/>
            <w:shd w:val="clear" w:color="auto" w:fill="F5EFE4"/>
          </w:tcPr>
          <w:p>
            <w:pPr>
              <w:spacing w:before="40" w:after="40"/>
              <w:jc w:val="right"/>
            </w:pPr>
            <w:r/>
            <w:r>
              <w:rPr>
                <w:b w:val="0"/>
                <w:sz w:val="18"/>
              </w:rPr>
              <w:t>₹6,000</w:t>
            </w:r>
          </w:p>
        </w:tc>
      </w:tr>
      <w:tr>
        <w:tc>
          <w:tcPr>
            <w:tcW w:type="dxa" w:w="3888"/>
          </w:tcPr>
          <w:p>
            <w:pPr>
              <w:spacing w:before="40" w:after="40"/>
            </w:pPr>
            <w:r/>
            <w:r>
              <w:rPr>
                <w:b w:val="0"/>
                <w:sz w:val="18"/>
              </w:rPr>
              <w:t>Transactional SMS</w:t>
            </w:r>
          </w:p>
        </w:tc>
        <w:tc>
          <w:tcPr>
            <w:tcW w:type="dxa" w:w="3888"/>
          </w:tcPr>
          <w:p>
            <w:pPr>
              <w:spacing w:before="40" w:after="40"/>
            </w:pPr>
            <w:r/>
            <w:r>
              <w:rPr>
                <w:b w:val="0"/>
                <w:sz w:val="18"/>
              </w:rPr>
              <w:t>60,000 OTP messages</w:t>
            </w:r>
          </w:p>
        </w:tc>
        <w:tc>
          <w:tcPr>
            <w:tcW w:type="dxa" w:w="1872"/>
          </w:tcPr>
          <w:p>
            <w:pPr>
              <w:spacing w:before="40" w:after="40"/>
              <w:jc w:val="right"/>
            </w:pPr>
            <w:r/>
            <w:r>
              <w:rPr>
                <w:b w:val="0"/>
                <w:sz w:val="18"/>
              </w:rPr>
              <w:t>₹10,800</w:t>
            </w:r>
          </w:p>
        </w:tc>
      </w:tr>
      <w:tr>
        <w:tc>
          <w:tcPr>
            <w:tcW w:type="dxa" w:w="3888"/>
            <w:shd w:val="clear" w:color="auto" w:fill="F5EFE4"/>
          </w:tcPr>
          <w:p>
            <w:pPr>
              <w:spacing w:before="40" w:after="40"/>
            </w:pPr>
            <w:r/>
            <w:r>
              <w:rPr>
                <w:b w:val="0"/>
                <w:sz w:val="18"/>
              </w:rPr>
              <w:t>Push notifications</w:t>
            </w:r>
          </w:p>
        </w:tc>
        <w:tc>
          <w:tcPr>
            <w:tcW w:type="dxa" w:w="3888"/>
            <w:shd w:val="clear" w:color="auto" w:fill="F5EFE4"/>
          </w:tcPr>
          <w:p>
            <w:pPr>
              <w:spacing w:before="40" w:after="40"/>
            </w:pPr>
            <w:r/>
            <w:r>
              <w:rPr>
                <w:b w:val="0"/>
                <w:sz w:val="18"/>
              </w:rPr>
              <w:t>Firebase Cloud Messaging</w:t>
            </w:r>
          </w:p>
        </w:tc>
        <w:tc>
          <w:tcPr>
            <w:tcW w:type="dxa" w:w="1872"/>
            <w:shd w:val="clear" w:color="auto" w:fill="F5EFE4"/>
          </w:tcPr>
          <w:p>
            <w:pPr>
              <w:spacing w:before="40" w:after="40"/>
              <w:jc w:val="right"/>
            </w:pPr>
            <w:r/>
            <w:r>
              <w:rPr>
                <w:b w:val="0"/>
                <w:sz w:val="18"/>
              </w:rPr>
              <w:t>₹0</w:t>
            </w:r>
          </w:p>
        </w:tc>
      </w:tr>
      <w:tr>
        <w:tc>
          <w:tcPr>
            <w:tcW w:type="dxa" w:w="3888"/>
          </w:tcPr>
          <w:p>
            <w:pPr>
              <w:spacing w:before="40" w:after="40"/>
            </w:pPr>
            <w:r/>
            <w:r>
              <w:rPr>
                <w:b w:val="0"/>
                <w:sz w:val="18"/>
              </w:rPr>
              <w:t>Error tracking</w:t>
            </w:r>
          </w:p>
        </w:tc>
        <w:tc>
          <w:tcPr>
            <w:tcW w:type="dxa" w:w="3888"/>
          </w:tcPr>
          <w:p>
            <w:pPr>
              <w:spacing w:before="40" w:after="40"/>
            </w:pPr>
            <w:r/>
            <w:r>
              <w:rPr>
                <w:b w:val="0"/>
                <w:sz w:val="18"/>
              </w:rPr>
              <w:t>Sentry Team + overage</w:t>
            </w:r>
          </w:p>
        </w:tc>
        <w:tc>
          <w:tcPr>
            <w:tcW w:type="dxa" w:w="1872"/>
          </w:tcPr>
          <w:p>
            <w:pPr>
              <w:spacing w:before="40" w:after="40"/>
              <w:jc w:val="right"/>
            </w:pPr>
            <w:r/>
            <w:r>
              <w:rPr>
                <w:b w:val="0"/>
                <w:sz w:val="18"/>
              </w:rPr>
              <w:t>₹4,765</w:t>
            </w:r>
          </w:p>
        </w:tc>
      </w:tr>
      <w:tr>
        <w:tc>
          <w:tcPr>
            <w:tcW w:type="dxa" w:w="3888"/>
            <w:shd w:val="clear" w:color="auto" w:fill="F5EFE4"/>
          </w:tcPr>
          <w:p>
            <w:pPr>
              <w:spacing w:before="40" w:after="40"/>
            </w:pPr>
            <w:r/>
            <w:r>
              <w:rPr>
                <w:b w:val="0"/>
                <w:sz w:val="18"/>
              </w:rPr>
              <w:t>Log aggregation</w:t>
            </w:r>
          </w:p>
        </w:tc>
        <w:tc>
          <w:tcPr>
            <w:tcW w:type="dxa" w:w="3888"/>
            <w:shd w:val="clear" w:color="auto" w:fill="F5EFE4"/>
          </w:tcPr>
          <w:p>
            <w:pPr>
              <w:spacing w:before="40" w:after="40"/>
            </w:pPr>
            <w:r/>
            <w:r>
              <w:rPr>
                <w:b w:val="0"/>
                <w:sz w:val="18"/>
              </w:rPr>
              <w:t>VPS disk</w:t>
            </w:r>
          </w:p>
        </w:tc>
        <w:tc>
          <w:tcPr>
            <w:tcW w:type="dxa" w:w="1872"/>
            <w:shd w:val="clear" w:color="auto" w:fill="F5EFE4"/>
          </w:tcPr>
          <w:p>
            <w:pPr>
              <w:spacing w:before="40" w:after="40"/>
              <w:jc w:val="right"/>
            </w:pPr>
            <w:r/>
            <w:r>
              <w:rPr>
                <w:b w:val="0"/>
                <w:sz w:val="18"/>
              </w:rPr>
              <w:t>₹0</w:t>
            </w:r>
          </w:p>
        </w:tc>
      </w:tr>
      <w:tr>
        <w:tc>
          <w:tcPr>
            <w:tcW w:type="dxa" w:w="3888"/>
          </w:tcPr>
          <w:p>
            <w:pPr>
              <w:spacing w:before="40" w:after="40"/>
            </w:pPr>
            <w:r/>
            <w:r>
              <w:rPr>
                <w:b w:val="0"/>
                <w:sz w:val="18"/>
              </w:rPr>
              <w:t>Admin panel hosting</w:t>
            </w:r>
          </w:p>
        </w:tc>
        <w:tc>
          <w:tcPr>
            <w:tcW w:type="dxa" w:w="3888"/>
          </w:tcPr>
          <w:p>
            <w:pPr>
              <w:spacing w:before="40" w:after="40"/>
            </w:pPr>
            <w:r/>
            <w:r>
              <w:rPr>
                <w:b w:val="0"/>
                <w:sz w:val="18"/>
              </w:rPr>
              <w:t>Nginx on the application VPS</w:t>
            </w:r>
          </w:p>
        </w:tc>
        <w:tc>
          <w:tcPr>
            <w:tcW w:type="dxa" w:w="1872"/>
          </w:tcPr>
          <w:p>
            <w:pPr>
              <w:spacing w:before="40" w:after="40"/>
              <w:jc w:val="right"/>
            </w:pPr>
            <w:r/>
            <w:r>
              <w:rPr>
                <w:b w:val="0"/>
                <w:sz w:val="18"/>
              </w:rPr>
              <w:t>₹0</w:t>
            </w:r>
          </w:p>
        </w:tc>
      </w:tr>
      <w:tr>
        <w:tc>
          <w:tcPr>
            <w:tcW w:type="dxa" w:w="3888"/>
            <w:shd w:val="clear" w:color="auto" w:fill="F5EFE4"/>
          </w:tcPr>
          <w:p>
            <w:pPr>
              <w:spacing w:before="40" w:after="40"/>
            </w:pPr>
            <w:r/>
            <w:r>
              <w:rPr>
                <w:b w:val="0"/>
                <w:sz w:val="18"/>
              </w:rPr>
              <w:t>Staging environment</w:t>
            </w:r>
          </w:p>
        </w:tc>
        <w:tc>
          <w:tcPr>
            <w:tcW w:type="dxa" w:w="3888"/>
            <w:shd w:val="clear" w:color="auto" w:fill="F5EFE4"/>
          </w:tcPr>
          <w:p>
            <w:pPr>
              <w:spacing w:before="40" w:after="40"/>
            </w:pPr>
            <w:r/>
            <w:r>
              <w:rPr>
                <w:b w:val="0"/>
                <w:sz w:val="18"/>
              </w:rPr>
              <w:t>1 × KVM 2</w:t>
            </w:r>
          </w:p>
        </w:tc>
        <w:tc>
          <w:tcPr>
            <w:tcW w:type="dxa" w:w="1872"/>
            <w:shd w:val="clear" w:color="auto" w:fill="F5EFE4"/>
          </w:tcPr>
          <w:p>
            <w:pPr>
              <w:spacing w:before="40" w:after="40"/>
              <w:jc w:val="right"/>
            </w:pPr>
            <w:r/>
            <w:r>
              <w:rPr>
                <w:b w:val="0"/>
                <w:sz w:val="18"/>
              </w:rPr>
              <w:t>₹1,199</w:t>
            </w:r>
          </w:p>
        </w:tc>
      </w:tr>
      <w:tr>
        <w:tc>
          <w:tcPr>
            <w:tcW w:type="dxa" w:w="3888"/>
          </w:tcPr>
          <w:p>
            <w:pPr>
              <w:spacing w:before="40" w:after="40"/>
            </w:pPr>
            <w:r/>
            <w:r>
              <w:rPr>
                <w:b w:val="0"/>
                <w:sz w:val="18"/>
              </w:rPr>
              <w:t>CI build minutes</w:t>
            </w:r>
          </w:p>
        </w:tc>
        <w:tc>
          <w:tcPr>
            <w:tcW w:type="dxa" w:w="3888"/>
          </w:tcPr>
          <w:p>
            <w:pPr>
              <w:spacing w:before="40" w:after="40"/>
            </w:pPr>
            <w:r/>
            <w:r>
              <w:rPr>
                <w:b w:val="0"/>
                <w:sz w:val="18"/>
              </w:rPr>
              <w:t>GitHub Actions including macOS</w:t>
            </w:r>
          </w:p>
        </w:tc>
        <w:tc>
          <w:tcPr>
            <w:tcW w:type="dxa" w:w="1872"/>
          </w:tcPr>
          <w:p>
            <w:pPr>
              <w:spacing w:before="40" w:after="40"/>
              <w:jc w:val="right"/>
            </w:pPr>
            <w:r/>
            <w:r>
              <w:rPr>
                <w:b w:val="0"/>
                <w:sz w:val="18"/>
              </w:rPr>
              <w:t>₹3,812</w:t>
            </w:r>
          </w:p>
        </w:tc>
      </w:tr>
      <w:tr>
        <w:tc>
          <w:tcPr>
            <w:tcW w:type="dxa" w:w="3888"/>
            <w:shd w:val="clear" w:color="auto" w:fill="F5EFE4"/>
          </w:tcPr>
          <w:p>
            <w:pPr>
              <w:spacing w:before="40" w:after="40"/>
            </w:pPr>
            <w:r/>
            <w:r>
              <w:rPr>
                <w:b w:val="0"/>
                <w:sz w:val="18"/>
              </w:rPr>
              <w:t>Figma</w:t>
            </w:r>
          </w:p>
        </w:tc>
        <w:tc>
          <w:tcPr>
            <w:tcW w:type="dxa" w:w="3888"/>
            <w:shd w:val="clear" w:color="auto" w:fill="F5EFE4"/>
          </w:tcPr>
          <w:p>
            <w:pPr>
              <w:spacing w:before="40" w:after="40"/>
            </w:pPr>
            <w:r/>
            <w:r>
              <w:rPr>
                <w:b w:val="0"/>
                <w:sz w:val="18"/>
              </w:rPr>
              <w:t>3 editor seats</w:t>
            </w:r>
          </w:p>
        </w:tc>
        <w:tc>
          <w:tcPr>
            <w:tcW w:type="dxa" w:w="1872"/>
            <w:shd w:val="clear" w:color="auto" w:fill="F5EFE4"/>
          </w:tcPr>
          <w:p>
            <w:pPr>
              <w:spacing w:before="40" w:after="40"/>
              <w:jc w:val="right"/>
            </w:pPr>
            <w:r/>
            <w:r>
              <w:rPr>
                <w:b w:val="0"/>
                <w:sz w:val="18"/>
              </w:rPr>
              <w:t>₹4,574</w:t>
            </w:r>
          </w:p>
        </w:tc>
      </w:tr>
      <w:tr>
        <w:tc>
          <w:tcPr>
            <w:tcW w:type="dxa" w:w="3888"/>
          </w:tcPr>
          <w:p>
            <w:pPr>
              <w:spacing w:before="40" w:after="40"/>
            </w:pPr>
            <w:r/>
            <w:r>
              <w:rPr>
                <w:b w:val="0"/>
                <w:sz w:val="18"/>
              </w:rPr>
              <w:t>Domain and TLS</w:t>
            </w:r>
          </w:p>
        </w:tc>
        <w:tc>
          <w:tcPr>
            <w:tcW w:type="dxa" w:w="3888"/>
          </w:tcPr>
          <w:p>
            <w:pPr>
              <w:spacing w:before="40" w:after="40"/>
            </w:pPr>
            <w:r/>
            <w:r>
              <w:rPr>
                <w:b w:val="0"/>
                <w:sz w:val="18"/>
              </w:rPr>
              <w:t>Amortised annual</w:t>
            </w:r>
          </w:p>
        </w:tc>
        <w:tc>
          <w:tcPr>
            <w:tcW w:type="dxa" w:w="1872"/>
          </w:tcPr>
          <w:p>
            <w:pPr>
              <w:spacing w:before="40" w:after="40"/>
              <w:jc w:val="right"/>
            </w:pPr>
            <w:r/>
            <w:r>
              <w:rPr>
                <w:b w:val="0"/>
                <w:sz w:val="18"/>
              </w:rPr>
              <w:t>₹125</w:t>
            </w:r>
          </w:p>
        </w:tc>
      </w:tr>
      <w:tr>
        <w:tc>
          <w:tcPr>
            <w:tcW w:type="dxa" w:w="3888"/>
            <w:shd w:val="clear" w:color="auto" w:fill="F5EFE4"/>
          </w:tcPr>
          <w:p>
            <w:pPr>
              <w:spacing w:before="40" w:after="40"/>
            </w:pPr>
            <w:r/>
            <w:r>
              <w:rPr>
                <w:b w:val="0"/>
                <w:sz w:val="18"/>
              </w:rPr>
              <w:t>Apple Developer Program</w:t>
            </w:r>
          </w:p>
        </w:tc>
        <w:tc>
          <w:tcPr>
            <w:tcW w:type="dxa" w:w="3888"/>
            <w:shd w:val="clear" w:color="auto" w:fill="F5EFE4"/>
          </w:tcPr>
          <w:p>
            <w:pPr>
              <w:spacing w:before="40" w:after="40"/>
            </w:pPr>
            <w:r/>
            <w:r>
              <w:rPr>
                <w:b w:val="0"/>
                <w:sz w:val="18"/>
              </w:rPr>
              <w:t>$99/year amortised</w:t>
            </w:r>
          </w:p>
        </w:tc>
        <w:tc>
          <w:tcPr>
            <w:tcW w:type="dxa" w:w="1872"/>
            <w:shd w:val="clear" w:color="auto" w:fill="F5EFE4"/>
          </w:tcPr>
          <w:p>
            <w:pPr>
              <w:spacing w:before="40" w:after="40"/>
              <w:jc w:val="right"/>
            </w:pPr>
            <w:r/>
            <w:r>
              <w:rPr>
                <w:b w:val="0"/>
                <w:sz w:val="18"/>
              </w:rPr>
              <w:t>₹786</w:t>
            </w:r>
          </w:p>
        </w:tc>
      </w:tr>
      <w:tr>
        <w:tc>
          <w:tcPr>
            <w:tcW w:type="dxa" w:w="3888"/>
            <w:shd w:val="clear" w:color="auto" w:fill="FCE7EE"/>
          </w:tcPr>
          <w:p>
            <w:pPr>
              <w:spacing w:before="40" w:after="40"/>
            </w:pPr>
            <w:r/>
            <w:r>
              <w:rPr>
                <w:b/>
                <w:sz w:val="18"/>
              </w:rPr>
              <w:t>TOTAL PER MONTH</w:t>
            </w:r>
          </w:p>
        </w:tc>
        <w:tc>
          <w:tcPr>
            <w:tcW w:type="dxa" w:w="3888"/>
            <w:shd w:val="clear" w:color="auto" w:fill="FCE7EE"/>
          </w:tcPr>
          <w:p>
            <w:pPr>
              <w:spacing w:before="40" w:after="40"/>
            </w:pPr>
            <w:r/>
            <w:r>
              <w:rPr>
                <w:b/>
                <w:sz w:val="18"/>
              </w:rPr>
            </w:r>
          </w:p>
        </w:tc>
        <w:tc>
          <w:tcPr>
            <w:tcW w:type="dxa" w:w="1872"/>
            <w:shd w:val="clear" w:color="auto" w:fill="FCE7EE"/>
          </w:tcPr>
          <w:p>
            <w:pPr>
              <w:spacing w:before="40" w:after="40"/>
              <w:jc w:val="right"/>
            </w:pPr>
            <w:r/>
            <w:r>
              <w:rPr>
                <w:b/>
                <w:sz w:val="18"/>
              </w:rPr>
              <w:t>₹160,299</w:t>
            </w:r>
          </w:p>
        </w:tc>
      </w:tr>
      <w:tr>
        <w:tc>
          <w:tcPr>
            <w:tcW w:type="dxa" w:w="3888"/>
            <w:shd w:val="clear" w:color="auto" w:fill="FCE7EE"/>
          </w:tcPr>
          <w:p>
            <w:pPr>
              <w:spacing w:before="40" w:after="40"/>
            </w:pPr>
            <w:r/>
            <w:r>
              <w:rPr>
                <w:b/>
                <w:sz w:val="18"/>
              </w:rPr>
              <w:t>TOTAL PER YEAR</w:t>
            </w:r>
          </w:p>
        </w:tc>
        <w:tc>
          <w:tcPr>
            <w:tcW w:type="dxa" w:w="3888"/>
            <w:shd w:val="clear" w:color="auto" w:fill="FCE7EE"/>
          </w:tcPr>
          <w:p>
            <w:pPr>
              <w:spacing w:before="40" w:after="40"/>
            </w:pPr>
            <w:r/>
            <w:r>
              <w:rPr>
                <w:b/>
                <w:sz w:val="18"/>
              </w:rPr>
            </w:r>
          </w:p>
        </w:tc>
        <w:tc>
          <w:tcPr>
            <w:tcW w:type="dxa" w:w="1872"/>
            <w:shd w:val="clear" w:color="auto" w:fill="FCE7EE"/>
          </w:tcPr>
          <w:p>
            <w:pPr>
              <w:spacing w:before="40" w:after="40"/>
              <w:jc w:val="right"/>
            </w:pPr>
            <w:r/>
            <w:r>
              <w:rPr>
                <w:b/>
                <w:sz w:val="18"/>
              </w:rPr>
              <w:t>₹1,923,588</w:t>
            </w:r>
          </w:p>
        </w:tc>
      </w:tr>
    </w:tbl>
    <w:p>
      <w:pPr>
        <w:spacing w:after="80"/>
      </w:pPr>
    </w:p>
    <w:p>
      <w:pPr>
        <w:pStyle w:val="Heading2"/>
        <w:spacing w:before="240" w:after="80"/>
      </w:pPr>
      <w:r>
        <w:rPr>
          <w:color w:val="7B3A8F"/>
          <w:sz w:val="25"/>
        </w:rPr>
        <w:t>6.3 Scenario 3 — Scale (50,000 users)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888"/>
            <w:shd w:val="clear" w:color="auto" w:fill="3F0E4C"/>
          </w:tcPr>
          <w:p>
            <w:pPr>
              <w:spacing w:before="40" w:after="40"/>
            </w:pPr>
            <w:r/>
            <w:r>
              <w:rPr>
                <w:b/>
                <w:color w:val="FFFFFF"/>
                <w:sz w:val="18"/>
              </w:rPr>
              <w:t>Cost line</w:t>
            </w:r>
          </w:p>
        </w:tc>
        <w:tc>
          <w:tcPr>
            <w:tcW w:type="dxa" w:w="3888"/>
            <w:shd w:val="clear" w:color="auto" w:fill="3F0E4C"/>
          </w:tcPr>
          <w:p>
            <w:pPr>
              <w:spacing w:before="40" w:after="40"/>
            </w:pPr>
            <w:r/>
            <w:r>
              <w:rPr>
                <w:b/>
                <w:color w:val="FFFFFF"/>
                <w:sz w:val="18"/>
              </w:rPr>
              <w:t>Basis</w:t>
            </w:r>
          </w:p>
        </w:tc>
        <w:tc>
          <w:tcPr>
            <w:tcW w:type="dxa" w:w="1872"/>
            <w:shd w:val="clear" w:color="auto" w:fill="3F0E4C"/>
          </w:tcPr>
          <w:p>
            <w:pPr>
              <w:spacing w:before="40" w:after="40"/>
            </w:pPr>
            <w:r/>
            <w:r>
              <w:rPr>
                <w:b/>
                <w:color w:val="FFFFFF"/>
                <w:sz w:val="18"/>
              </w:rPr>
              <w:t>INR / month</w:t>
            </w:r>
          </w:p>
        </w:tc>
      </w:tr>
      <w:tr>
        <w:tc>
          <w:tcPr>
            <w:tcW w:type="dxa" w:w="3888"/>
          </w:tcPr>
          <w:p>
            <w:pPr>
              <w:spacing w:before="40" w:after="40"/>
            </w:pPr>
            <w:r/>
            <w:r>
              <w:rPr>
                <w:b w:val="0"/>
                <w:sz w:val="18"/>
              </w:rPr>
              <w:t>Hostinger VPS — API tier</w:t>
            </w:r>
          </w:p>
        </w:tc>
        <w:tc>
          <w:tcPr>
            <w:tcW w:type="dxa" w:w="3888"/>
          </w:tcPr>
          <w:p>
            <w:pPr>
              <w:spacing w:before="40" w:after="40"/>
            </w:pPr>
            <w:r/>
            <w:r>
              <w:rPr>
                <w:b w:val="0"/>
                <w:sz w:val="18"/>
              </w:rPr>
              <w:t>2 × KVM 8</w:t>
            </w:r>
          </w:p>
        </w:tc>
        <w:tc>
          <w:tcPr>
            <w:tcW w:type="dxa" w:w="1872"/>
          </w:tcPr>
          <w:p>
            <w:pPr>
              <w:spacing w:before="40" w:after="40"/>
              <w:jc w:val="right"/>
            </w:pPr>
            <w:r/>
            <w:r>
              <w:rPr>
                <w:b w:val="0"/>
                <w:sz w:val="18"/>
              </w:rPr>
              <w:t>₹8,798</w:t>
            </w:r>
          </w:p>
        </w:tc>
      </w:tr>
      <w:tr>
        <w:tc>
          <w:tcPr>
            <w:tcW w:type="dxa" w:w="3888"/>
            <w:shd w:val="clear" w:color="auto" w:fill="F5EFE4"/>
          </w:tcPr>
          <w:p>
            <w:pPr>
              <w:spacing w:before="40" w:after="40"/>
            </w:pPr>
            <w:r/>
            <w:r>
              <w:rPr>
                <w:b w:val="0"/>
                <w:sz w:val="18"/>
              </w:rPr>
              <w:t>Hostinger VPS — workers</w:t>
            </w:r>
          </w:p>
        </w:tc>
        <w:tc>
          <w:tcPr>
            <w:tcW w:type="dxa" w:w="3888"/>
            <w:shd w:val="clear" w:color="auto" w:fill="F5EFE4"/>
          </w:tcPr>
          <w:p>
            <w:pPr>
              <w:spacing w:before="40" w:after="40"/>
            </w:pPr>
            <w:r/>
            <w:r>
              <w:rPr>
                <w:b w:val="0"/>
                <w:sz w:val="18"/>
              </w:rPr>
              <w:t>1 × KVM 8 (queues + Redis)</w:t>
            </w:r>
          </w:p>
        </w:tc>
        <w:tc>
          <w:tcPr>
            <w:tcW w:type="dxa" w:w="1872"/>
            <w:shd w:val="clear" w:color="auto" w:fill="F5EFE4"/>
          </w:tcPr>
          <w:p>
            <w:pPr>
              <w:spacing w:before="40" w:after="40"/>
              <w:jc w:val="right"/>
            </w:pPr>
            <w:r/>
            <w:r>
              <w:rPr>
                <w:b w:val="0"/>
                <w:sz w:val="18"/>
              </w:rPr>
              <w:t>₹4,399</w:t>
            </w:r>
          </w:p>
        </w:tc>
      </w:tr>
      <w:tr>
        <w:tc>
          <w:tcPr>
            <w:tcW w:type="dxa" w:w="3888"/>
          </w:tcPr>
          <w:p>
            <w:pPr>
              <w:spacing w:before="40" w:after="40"/>
            </w:pPr>
            <w:r/>
            <w:r>
              <w:rPr>
                <w:b w:val="0"/>
                <w:sz w:val="18"/>
              </w:rPr>
              <w:t>Hostinger VPS — reel encoding</w:t>
            </w:r>
          </w:p>
        </w:tc>
        <w:tc>
          <w:tcPr>
            <w:tcW w:type="dxa" w:w="3888"/>
          </w:tcPr>
          <w:p>
            <w:pPr>
              <w:spacing w:before="40" w:after="40"/>
            </w:pPr>
            <w:r/>
            <w:r>
              <w:rPr>
                <w:b w:val="0"/>
                <w:sz w:val="18"/>
              </w:rPr>
              <w:t>2 × KVM 4</w:t>
            </w:r>
          </w:p>
        </w:tc>
        <w:tc>
          <w:tcPr>
            <w:tcW w:type="dxa" w:w="1872"/>
          </w:tcPr>
          <w:p>
            <w:pPr>
              <w:spacing w:before="40" w:after="40"/>
              <w:jc w:val="right"/>
            </w:pPr>
            <w:r/>
            <w:r>
              <w:rPr>
                <w:b w:val="0"/>
                <w:sz w:val="18"/>
              </w:rPr>
              <w:t>₹4,798</w:t>
            </w:r>
          </w:p>
        </w:tc>
      </w:tr>
      <w:tr>
        <w:tc>
          <w:tcPr>
            <w:tcW w:type="dxa" w:w="3888"/>
            <w:shd w:val="clear" w:color="auto" w:fill="F5EFE4"/>
          </w:tcPr>
          <w:p>
            <w:pPr>
              <w:spacing w:before="40" w:after="40"/>
            </w:pPr>
            <w:r/>
            <w:r>
              <w:rPr>
                <w:b w:val="0"/>
                <w:sz w:val="18"/>
              </w:rPr>
              <w:t>Hostinger VPS — load balancers</w:t>
            </w:r>
          </w:p>
        </w:tc>
        <w:tc>
          <w:tcPr>
            <w:tcW w:type="dxa" w:w="3888"/>
            <w:shd w:val="clear" w:color="auto" w:fill="F5EFE4"/>
          </w:tcPr>
          <w:p>
            <w:pPr>
              <w:spacing w:before="40" w:after="40"/>
            </w:pPr>
            <w:r/>
            <w:r>
              <w:rPr>
                <w:b w:val="0"/>
                <w:sz w:val="18"/>
              </w:rPr>
              <w:t>2 × KVM 2</w:t>
            </w:r>
          </w:p>
        </w:tc>
        <w:tc>
          <w:tcPr>
            <w:tcW w:type="dxa" w:w="1872"/>
            <w:shd w:val="clear" w:color="auto" w:fill="F5EFE4"/>
          </w:tcPr>
          <w:p>
            <w:pPr>
              <w:spacing w:before="40" w:after="40"/>
              <w:jc w:val="right"/>
            </w:pPr>
            <w:r/>
            <w:r>
              <w:rPr>
                <w:b w:val="0"/>
                <w:sz w:val="18"/>
              </w:rPr>
              <w:t>₹2,398</w:t>
            </w:r>
          </w:p>
        </w:tc>
      </w:tr>
      <w:tr>
        <w:tc>
          <w:tcPr>
            <w:tcW w:type="dxa" w:w="3888"/>
          </w:tcPr>
          <w:p>
            <w:pPr>
              <w:spacing w:before="40" w:after="40"/>
            </w:pPr>
            <w:r/>
            <w:r>
              <w:rPr>
                <w:b w:val="0"/>
                <w:sz w:val="18"/>
              </w:rPr>
              <w:t>VPS backups</w:t>
            </w:r>
          </w:p>
        </w:tc>
        <w:tc>
          <w:tcPr>
            <w:tcW w:type="dxa" w:w="3888"/>
          </w:tcPr>
          <w:p>
            <w:pPr>
              <w:spacing w:before="40" w:after="40"/>
            </w:pPr>
            <w:r/>
            <w:r>
              <w:rPr>
                <w:b w:val="0"/>
                <w:sz w:val="18"/>
              </w:rPr>
              <w:t>Automated daily snapshots</w:t>
            </w:r>
          </w:p>
        </w:tc>
        <w:tc>
          <w:tcPr>
            <w:tcW w:type="dxa" w:w="1872"/>
          </w:tcPr>
          <w:p>
            <w:pPr>
              <w:spacing w:before="40" w:after="40"/>
              <w:jc w:val="right"/>
            </w:pPr>
            <w:r/>
            <w:r>
              <w:rPr>
                <w:b w:val="0"/>
                <w:sz w:val="18"/>
              </w:rPr>
              <w:t>₹1,000</w:t>
            </w:r>
          </w:p>
        </w:tc>
      </w:tr>
      <w:tr>
        <w:tc>
          <w:tcPr>
            <w:tcW w:type="dxa" w:w="3888"/>
            <w:shd w:val="clear" w:color="auto" w:fill="F5EFE4"/>
          </w:tcPr>
          <w:p>
            <w:pPr>
              <w:spacing w:before="40" w:after="40"/>
            </w:pPr>
            <w:r/>
            <w:r>
              <w:rPr>
                <w:b w:val="0"/>
                <w:sz w:val="18"/>
              </w:rPr>
              <w:t>MongoDB Atlas</w:t>
            </w:r>
          </w:p>
        </w:tc>
        <w:tc>
          <w:tcPr>
            <w:tcW w:type="dxa" w:w="3888"/>
            <w:shd w:val="clear" w:color="auto" w:fill="F5EFE4"/>
          </w:tcPr>
          <w:p>
            <w:pPr>
              <w:spacing w:before="40" w:after="40"/>
            </w:pPr>
            <w:r/>
            <w:r>
              <w:rPr>
                <w:b w:val="0"/>
                <w:sz w:val="18"/>
              </w:rPr>
              <w:t>M30 cluster + backup</w:t>
            </w:r>
          </w:p>
        </w:tc>
        <w:tc>
          <w:tcPr>
            <w:tcW w:type="dxa" w:w="1872"/>
            <w:shd w:val="clear" w:color="auto" w:fill="F5EFE4"/>
          </w:tcPr>
          <w:p>
            <w:pPr>
              <w:spacing w:before="40" w:after="40"/>
              <w:jc w:val="right"/>
            </w:pPr>
            <w:r/>
            <w:r>
              <w:rPr>
                <w:b w:val="0"/>
                <w:sz w:val="18"/>
              </w:rPr>
              <w:t>₹41,932</w:t>
            </w:r>
          </w:p>
        </w:tc>
      </w:tr>
      <w:tr>
        <w:tc>
          <w:tcPr>
            <w:tcW w:type="dxa" w:w="3888"/>
          </w:tcPr>
          <w:p>
            <w:pPr>
              <w:spacing w:before="40" w:after="40"/>
            </w:pPr>
            <w:r/>
            <w:r>
              <w:rPr>
                <w:b w:val="0"/>
                <w:sz w:val="18"/>
              </w:rPr>
              <w:t>Redis</w:t>
            </w:r>
          </w:p>
        </w:tc>
        <w:tc>
          <w:tcPr>
            <w:tcW w:type="dxa" w:w="3888"/>
          </w:tcPr>
          <w:p>
            <w:pPr>
              <w:spacing w:before="40" w:after="40"/>
            </w:pPr>
            <w:r/>
            <w:r>
              <w:rPr>
                <w:b w:val="0"/>
                <w:sz w:val="18"/>
              </w:rPr>
              <w:t>Self-hosted on a dedicated node</w:t>
            </w:r>
          </w:p>
        </w:tc>
        <w:tc>
          <w:tcPr>
            <w:tcW w:type="dxa" w:w="1872"/>
          </w:tcPr>
          <w:p>
            <w:pPr>
              <w:spacing w:before="40" w:after="40"/>
              <w:jc w:val="right"/>
            </w:pPr>
            <w:r/>
            <w:r>
              <w:rPr>
                <w:b w:val="0"/>
                <w:sz w:val="18"/>
              </w:rPr>
              <w:t>₹0</w:t>
            </w:r>
          </w:p>
        </w:tc>
      </w:tr>
      <w:tr>
        <w:tc>
          <w:tcPr>
            <w:tcW w:type="dxa" w:w="3888"/>
            <w:shd w:val="clear" w:color="auto" w:fill="F5EFE4"/>
          </w:tcPr>
          <w:p>
            <w:pPr>
              <w:spacing w:before="40" w:after="40"/>
            </w:pPr>
            <w:r/>
            <w:r>
              <w:rPr>
                <w:b w:val="0"/>
                <w:sz w:val="18"/>
              </w:rPr>
              <w:t>Cloudinary</w:t>
            </w:r>
          </w:p>
        </w:tc>
        <w:tc>
          <w:tcPr>
            <w:tcW w:type="dxa" w:w="3888"/>
            <w:shd w:val="clear" w:color="auto" w:fill="F5EFE4"/>
          </w:tcPr>
          <w:p>
            <w:pPr>
              <w:spacing w:before="40" w:after="40"/>
            </w:pPr>
            <w:r/>
            <w:r>
              <w:rPr>
                <w:b w:val="0"/>
                <w:sz w:val="18"/>
              </w:rPr>
              <w:t>~5,550 credits — Enterprise agreement</w:t>
            </w:r>
          </w:p>
        </w:tc>
        <w:tc>
          <w:tcPr>
            <w:tcW w:type="dxa" w:w="1872"/>
            <w:shd w:val="clear" w:color="auto" w:fill="F5EFE4"/>
          </w:tcPr>
          <w:p>
            <w:pPr>
              <w:spacing w:before="40" w:after="40"/>
              <w:jc w:val="right"/>
            </w:pPr>
            <w:r/>
            <w:r>
              <w:rPr>
                <w:b w:val="0"/>
                <w:sz w:val="18"/>
              </w:rPr>
              <w:t>₹133,420</w:t>
            </w:r>
          </w:p>
        </w:tc>
      </w:tr>
      <w:tr>
        <w:tc>
          <w:tcPr>
            <w:tcW w:type="dxa" w:w="3888"/>
          </w:tcPr>
          <w:p>
            <w:pPr>
              <w:spacing w:before="40" w:after="40"/>
            </w:pPr>
            <w:r/>
            <w:r>
              <w:rPr>
                <w:b w:val="0"/>
                <w:sz w:val="18"/>
              </w:rPr>
              <w:t>SerpApi</w:t>
            </w:r>
          </w:p>
        </w:tc>
        <w:tc>
          <w:tcPr>
            <w:tcW w:type="dxa" w:w="3888"/>
          </w:tcPr>
          <w:p>
            <w:pPr>
              <w:spacing w:before="40" w:after="40"/>
            </w:pPr>
            <w:r/>
            <w:r>
              <w:rPr>
                <w:b w:val="0"/>
                <w:sz w:val="18"/>
              </w:rPr>
              <w:t>~195,000 calls — Enterprise tier</w:t>
            </w:r>
          </w:p>
        </w:tc>
        <w:tc>
          <w:tcPr>
            <w:tcW w:type="dxa" w:w="1872"/>
          </w:tcPr>
          <w:p>
            <w:pPr>
              <w:spacing w:before="40" w:after="40"/>
              <w:jc w:val="right"/>
            </w:pPr>
            <w:r/>
            <w:r>
              <w:rPr>
                <w:b w:val="0"/>
                <w:sz w:val="18"/>
              </w:rPr>
              <w:t>₹262,075</w:t>
            </w:r>
          </w:p>
        </w:tc>
      </w:tr>
      <w:tr>
        <w:tc>
          <w:tcPr>
            <w:tcW w:type="dxa" w:w="3888"/>
            <w:shd w:val="clear" w:color="auto" w:fill="F5EFE4"/>
          </w:tcPr>
          <w:p>
            <w:pPr>
              <w:spacing w:before="40" w:after="40"/>
            </w:pPr>
            <w:r/>
            <w:r>
              <w:rPr>
                <w:b w:val="0"/>
                <w:sz w:val="18"/>
              </w:rPr>
              <w:t>Cuelinks</w:t>
            </w:r>
          </w:p>
        </w:tc>
        <w:tc>
          <w:tcPr>
            <w:tcW w:type="dxa" w:w="3888"/>
            <w:shd w:val="clear" w:color="auto" w:fill="F5EFE4"/>
          </w:tcPr>
          <w:p>
            <w:pPr>
              <w:spacing w:before="40" w:after="40"/>
            </w:pPr>
            <w:r/>
            <w:r>
              <w:rPr>
                <w:b w:val="0"/>
                <w:sz w:val="18"/>
              </w:rPr>
              <w:t>Revenue share</w:t>
            </w:r>
          </w:p>
        </w:tc>
        <w:tc>
          <w:tcPr>
            <w:tcW w:type="dxa" w:w="1872"/>
            <w:shd w:val="clear" w:color="auto" w:fill="F5EFE4"/>
          </w:tcPr>
          <w:p>
            <w:pPr>
              <w:spacing w:before="40" w:after="40"/>
              <w:jc w:val="right"/>
            </w:pPr>
            <w:r/>
            <w:r>
              <w:rPr>
                <w:b w:val="0"/>
                <w:sz w:val="18"/>
              </w:rPr>
              <w:t>₹0</w:t>
            </w:r>
          </w:p>
        </w:tc>
      </w:tr>
      <w:tr>
        <w:tc>
          <w:tcPr>
            <w:tcW w:type="dxa" w:w="3888"/>
          </w:tcPr>
          <w:p>
            <w:pPr>
              <w:spacing w:before="40" w:after="40"/>
            </w:pPr>
            <w:r/>
            <w:r>
              <w:rPr>
                <w:b w:val="0"/>
                <w:sz w:val="18"/>
              </w:rPr>
              <w:t>Transactional email</w:t>
            </w:r>
          </w:p>
        </w:tc>
        <w:tc>
          <w:tcPr>
            <w:tcW w:type="dxa" w:w="3888"/>
          </w:tcPr>
          <w:p>
            <w:pPr>
              <w:spacing w:before="40" w:after="40"/>
            </w:pPr>
            <w:r/>
            <w:r>
              <w:rPr>
                <w:b w:val="0"/>
                <w:sz w:val="18"/>
              </w:rPr>
              <w:t>Dedicated service — 1.5M emails</w:t>
            </w:r>
          </w:p>
        </w:tc>
        <w:tc>
          <w:tcPr>
            <w:tcW w:type="dxa" w:w="1872"/>
          </w:tcPr>
          <w:p>
            <w:pPr>
              <w:spacing w:before="40" w:after="40"/>
              <w:jc w:val="right"/>
            </w:pPr>
            <w:r/>
            <w:r>
              <w:rPr>
                <w:b w:val="0"/>
                <w:sz w:val="18"/>
              </w:rPr>
              <w:t>₹30,000</w:t>
            </w:r>
          </w:p>
        </w:tc>
      </w:tr>
      <w:tr>
        <w:tc>
          <w:tcPr>
            <w:tcW w:type="dxa" w:w="3888"/>
            <w:shd w:val="clear" w:color="auto" w:fill="F5EFE4"/>
          </w:tcPr>
          <w:p>
            <w:pPr>
              <w:spacing w:before="40" w:after="40"/>
            </w:pPr>
            <w:r/>
            <w:r>
              <w:rPr>
                <w:b w:val="0"/>
                <w:sz w:val="18"/>
              </w:rPr>
              <w:t>Transactional SMS</w:t>
            </w:r>
          </w:p>
        </w:tc>
        <w:tc>
          <w:tcPr>
            <w:tcW w:type="dxa" w:w="3888"/>
            <w:shd w:val="clear" w:color="auto" w:fill="F5EFE4"/>
          </w:tcPr>
          <w:p>
            <w:pPr>
              <w:spacing w:before="40" w:after="40"/>
            </w:pPr>
            <w:r/>
            <w:r>
              <w:rPr>
                <w:b w:val="0"/>
                <w:sz w:val="18"/>
              </w:rPr>
              <w:t>350,000 OTP messages</w:t>
            </w:r>
          </w:p>
        </w:tc>
        <w:tc>
          <w:tcPr>
            <w:tcW w:type="dxa" w:w="1872"/>
            <w:shd w:val="clear" w:color="auto" w:fill="F5EFE4"/>
          </w:tcPr>
          <w:p>
            <w:pPr>
              <w:spacing w:before="40" w:after="40"/>
              <w:jc w:val="right"/>
            </w:pPr>
            <w:r/>
            <w:r>
              <w:rPr>
                <w:b w:val="0"/>
                <w:sz w:val="18"/>
              </w:rPr>
              <w:t>₹52,500</w:t>
            </w:r>
          </w:p>
        </w:tc>
      </w:tr>
      <w:tr>
        <w:tc>
          <w:tcPr>
            <w:tcW w:type="dxa" w:w="3888"/>
          </w:tcPr>
          <w:p>
            <w:pPr>
              <w:spacing w:before="40" w:after="40"/>
            </w:pPr>
            <w:r/>
            <w:r>
              <w:rPr>
                <w:b w:val="0"/>
                <w:sz w:val="18"/>
              </w:rPr>
              <w:t>Push notifications</w:t>
            </w:r>
          </w:p>
        </w:tc>
        <w:tc>
          <w:tcPr>
            <w:tcW w:type="dxa" w:w="3888"/>
          </w:tcPr>
          <w:p>
            <w:pPr>
              <w:spacing w:before="40" w:after="40"/>
            </w:pPr>
            <w:r/>
            <w:r>
              <w:rPr>
                <w:b w:val="0"/>
                <w:sz w:val="18"/>
              </w:rPr>
              <w:t>Firebase Cloud Messaging</w:t>
            </w:r>
          </w:p>
        </w:tc>
        <w:tc>
          <w:tcPr>
            <w:tcW w:type="dxa" w:w="1872"/>
          </w:tcPr>
          <w:p>
            <w:pPr>
              <w:spacing w:before="40" w:after="40"/>
              <w:jc w:val="right"/>
            </w:pPr>
            <w:r/>
            <w:r>
              <w:rPr>
                <w:b w:val="0"/>
                <w:sz w:val="18"/>
              </w:rPr>
              <w:t>₹0</w:t>
            </w:r>
          </w:p>
        </w:tc>
      </w:tr>
      <w:tr>
        <w:tc>
          <w:tcPr>
            <w:tcW w:type="dxa" w:w="3888"/>
            <w:shd w:val="clear" w:color="auto" w:fill="F5EFE4"/>
          </w:tcPr>
          <w:p>
            <w:pPr>
              <w:spacing w:before="40" w:after="40"/>
            </w:pPr>
            <w:r/>
            <w:r>
              <w:rPr>
                <w:b w:val="0"/>
                <w:sz w:val="18"/>
              </w:rPr>
              <w:t>Error tracking</w:t>
            </w:r>
          </w:p>
        </w:tc>
        <w:tc>
          <w:tcPr>
            <w:tcW w:type="dxa" w:w="3888"/>
            <w:shd w:val="clear" w:color="auto" w:fill="F5EFE4"/>
          </w:tcPr>
          <w:p>
            <w:pPr>
              <w:spacing w:before="40" w:after="40"/>
            </w:pPr>
            <w:r/>
            <w:r>
              <w:rPr>
                <w:b w:val="0"/>
                <w:sz w:val="18"/>
              </w:rPr>
              <w:t>Sentry Team + overage</w:t>
            </w:r>
          </w:p>
        </w:tc>
        <w:tc>
          <w:tcPr>
            <w:tcW w:type="dxa" w:w="1872"/>
            <w:shd w:val="clear" w:color="auto" w:fill="F5EFE4"/>
          </w:tcPr>
          <w:p>
            <w:pPr>
              <w:spacing w:before="40" w:after="40"/>
              <w:jc w:val="right"/>
            </w:pPr>
            <w:r/>
            <w:r>
              <w:rPr>
                <w:b w:val="0"/>
                <w:sz w:val="18"/>
              </w:rPr>
              <w:t>₹14,295</w:t>
            </w:r>
          </w:p>
        </w:tc>
      </w:tr>
      <w:tr>
        <w:tc>
          <w:tcPr>
            <w:tcW w:type="dxa" w:w="3888"/>
          </w:tcPr>
          <w:p>
            <w:pPr>
              <w:spacing w:before="40" w:after="40"/>
            </w:pPr>
            <w:r/>
            <w:r>
              <w:rPr>
                <w:b w:val="0"/>
                <w:sz w:val="18"/>
              </w:rPr>
              <w:t>Log aggregation</w:t>
            </w:r>
          </w:p>
        </w:tc>
        <w:tc>
          <w:tcPr>
            <w:tcW w:type="dxa" w:w="3888"/>
          </w:tcPr>
          <w:p>
            <w:pPr>
              <w:spacing w:before="40" w:after="40"/>
            </w:pPr>
            <w:r/>
            <w:r>
              <w:rPr>
                <w:b w:val="0"/>
                <w:sz w:val="18"/>
              </w:rPr>
              <w:t>Dedicated node and storage</w:t>
            </w:r>
          </w:p>
        </w:tc>
        <w:tc>
          <w:tcPr>
            <w:tcW w:type="dxa" w:w="1872"/>
          </w:tcPr>
          <w:p>
            <w:pPr>
              <w:spacing w:before="40" w:after="40"/>
              <w:jc w:val="right"/>
            </w:pPr>
            <w:r/>
            <w:r>
              <w:rPr>
                <w:b w:val="0"/>
                <w:sz w:val="18"/>
              </w:rPr>
              <w:t>₹2,500</w:t>
            </w:r>
          </w:p>
        </w:tc>
      </w:tr>
      <w:tr>
        <w:tc>
          <w:tcPr>
            <w:tcW w:type="dxa" w:w="3888"/>
            <w:shd w:val="clear" w:color="auto" w:fill="F5EFE4"/>
          </w:tcPr>
          <w:p>
            <w:pPr>
              <w:spacing w:before="40" w:after="40"/>
            </w:pPr>
            <w:r/>
            <w:r>
              <w:rPr>
                <w:b w:val="0"/>
                <w:sz w:val="18"/>
              </w:rPr>
              <w:t>Admin panel hosting</w:t>
            </w:r>
          </w:p>
        </w:tc>
        <w:tc>
          <w:tcPr>
            <w:tcW w:type="dxa" w:w="3888"/>
            <w:shd w:val="clear" w:color="auto" w:fill="F5EFE4"/>
          </w:tcPr>
          <w:p>
            <w:pPr>
              <w:spacing w:before="40" w:after="40"/>
            </w:pPr>
            <w:r/>
            <w:r>
              <w:rPr>
                <w:b w:val="0"/>
                <w:sz w:val="18"/>
              </w:rPr>
              <w:t>Nginx on the load-balancer nodes</w:t>
            </w:r>
          </w:p>
        </w:tc>
        <w:tc>
          <w:tcPr>
            <w:tcW w:type="dxa" w:w="1872"/>
            <w:shd w:val="clear" w:color="auto" w:fill="F5EFE4"/>
          </w:tcPr>
          <w:p>
            <w:pPr>
              <w:spacing w:before="40" w:after="40"/>
              <w:jc w:val="right"/>
            </w:pPr>
            <w:r/>
            <w:r>
              <w:rPr>
                <w:b w:val="0"/>
                <w:sz w:val="18"/>
              </w:rPr>
              <w:t>₹0</w:t>
            </w:r>
          </w:p>
        </w:tc>
      </w:tr>
      <w:tr>
        <w:tc>
          <w:tcPr>
            <w:tcW w:type="dxa" w:w="3888"/>
          </w:tcPr>
          <w:p>
            <w:pPr>
              <w:spacing w:before="40" w:after="40"/>
            </w:pPr>
            <w:r/>
            <w:r>
              <w:rPr>
                <w:b w:val="0"/>
                <w:sz w:val="18"/>
              </w:rPr>
              <w:t>Staging environment</w:t>
            </w:r>
          </w:p>
        </w:tc>
        <w:tc>
          <w:tcPr>
            <w:tcW w:type="dxa" w:w="3888"/>
          </w:tcPr>
          <w:p>
            <w:pPr>
              <w:spacing w:before="40" w:after="40"/>
            </w:pPr>
            <w:r/>
            <w:r>
              <w:rPr>
                <w:b w:val="0"/>
                <w:sz w:val="18"/>
              </w:rPr>
              <w:t>1 × KVM 4</w:t>
            </w:r>
          </w:p>
        </w:tc>
        <w:tc>
          <w:tcPr>
            <w:tcW w:type="dxa" w:w="1872"/>
          </w:tcPr>
          <w:p>
            <w:pPr>
              <w:spacing w:before="40" w:after="40"/>
              <w:jc w:val="right"/>
            </w:pPr>
            <w:r/>
            <w:r>
              <w:rPr>
                <w:b w:val="0"/>
                <w:sz w:val="18"/>
              </w:rPr>
              <w:t>₹2,399</w:t>
            </w:r>
          </w:p>
        </w:tc>
      </w:tr>
      <w:tr>
        <w:tc>
          <w:tcPr>
            <w:tcW w:type="dxa" w:w="3888"/>
            <w:shd w:val="clear" w:color="auto" w:fill="F5EFE4"/>
          </w:tcPr>
          <w:p>
            <w:pPr>
              <w:spacing w:before="40" w:after="40"/>
            </w:pPr>
            <w:r/>
            <w:r>
              <w:rPr>
                <w:b w:val="0"/>
                <w:sz w:val="18"/>
              </w:rPr>
              <w:t>CI build minutes</w:t>
            </w:r>
          </w:p>
        </w:tc>
        <w:tc>
          <w:tcPr>
            <w:tcW w:type="dxa" w:w="3888"/>
            <w:shd w:val="clear" w:color="auto" w:fill="F5EFE4"/>
          </w:tcPr>
          <w:p>
            <w:pPr>
              <w:spacing w:before="40" w:after="40"/>
            </w:pPr>
            <w:r/>
            <w:r>
              <w:rPr>
                <w:b w:val="0"/>
                <w:sz w:val="18"/>
              </w:rPr>
              <w:t>GitHub Actions including macOS</w:t>
            </w:r>
          </w:p>
        </w:tc>
        <w:tc>
          <w:tcPr>
            <w:tcW w:type="dxa" w:w="1872"/>
            <w:shd w:val="clear" w:color="auto" w:fill="F5EFE4"/>
          </w:tcPr>
          <w:p>
            <w:pPr>
              <w:spacing w:before="40" w:after="40"/>
              <w:jc w:val="right"/>
            </w:pPr>
            <w:r/>
            <w:r>
              <w:rPr>
                <w:b w:val="0"/>
                <w:sz w:val="18"/>
              </w:rPr>
              <w:t>₹7,624</w:t>
            </w:r>
          </w:p>
        </w:tc>
      </w:tr>
      <w:tr>
        <w:tc>
          <w:tcPr>
            <w:tcW w:type="dxa" w:w="3888"/>
          </w:tcPr>
          <w:p>
            <w:pPr>
              <w:spacing w:before="40" w:after="40"/>
            </w:pPr>
            <w:r/>
            <w:r>
              <w:rPr>
                <w:b w:val="0"/>
                <w:sz w:val="18"/>
              </w:rPr>
              <w:t>Figma</w:t>
            </w:r>
          </w:p>
        </w:tc>
        <w:tc>
          <w:tcPr>
            <w:tcW w:type="dxa" w:w="3888"/>
          </w:tcPr>
          <w:p>
            <w:pPr>
              <w:spacing w:before="40" w:after="40"/>
            </w:pPr>
            <w:r/>
            <w:r>
              <w:rPr>
                <w:b w:val="0"/>
                <w:sz w:val="18"/>
              </w:rPr>
              <w:t>4 editor seats</w:t>
            </w:r>
          </w:p>
        </w:tc>
        <w:tc>
          <w:tcPr>
            <w:tcW w:type="dxa" w:w="1872"/>
          </w:tcPr>
          <w:p>
            <w:pPr>
              <w:spacing w:before="40" w:after="40"/>
              <w:jc w:val="right"/>
            </w:pPr>
            <w:r/>
            <w:r>
              <w:rPr>
                <w:b w:val="0"/>
                <w:sz w:val="18"/>
              </w:rPr>
              <w:t>₹6,099</w:t>
            </w:r>
          </w:p>
        </w:tc>
      </w:tr>
      <w:tr>
        <w:tc>
          <w:tcPr>
            <w:tcW w:type="dxa" w:w="3888"/>
            <w:shd w:val="clear" w:color="auto" w:fill="F5EFE4"/>
          </w:tcPr>
          <w:p>
            <w:pPr>
              <w:spacing w:before="40" w:after="40"/>
            </w:pPr>
            <w:r/>
            <w:r>
              <w:rPr>
                <w:b w:val="0"/>
                <w:sz w:val="18"/>
              </w:rPr>
              <w:t>Domain and TLS</w:t>
            </w:r>
          </w:p>
        </w:tc>
        <w:tc>
          <w:tcPr>
            <w:tcW w:type="dxa" w:w="3888"/>
            <w:shd w:val="clear" w:color="auto" w:fill="F5EFE4"/>
          </w:tcPr>
          <w:p>
            <w:pPr>
              <w:spacing w:before="40" w:after="40"/>
            </w:pPr>
            <w:r/>
            <w:r>
              <w:rPr>
                <w:b w:val="0"/>
                <w:sz w:val="18"/>
              </w:rPr>
              <w:t>Amortised annual</w:t>
            </w:r>
          </w:p>
        </w:tc>
        <w:tc>
          <w:tcPr>
            <w:tcW w:type="dxa" w:w="1872"/>
            <w:shd w:val="clear" w:color="auto" w:fill="F5EFE4"/>
          </w:tcPr>
          <w:p>
            <w:pPr>
              <w:spacing w:before="40" w:after="40"/>
              <w:jc w:val="right"/>
            </w:pPr>
            <w:r/>
            <w:r>
              <w:rPr>
                <w:b w:val="0"/>
                <w:sz w:val="18"/>
              </w:rPr>
              <w:t>₹125</w:t>
            </w:r>
          </w:p>
        </w:tc>
      </w:tr>
      <w:tr>
        <w:tc>
          <w:tcPr>
            <w:tcW w:type="dxa" w:w="3888"/>
          </w:tcPr>
          <w:p>
            <w:pPr>
              <w:spacing w:before="40" w:after="40"/>
            </w:pPr>
            <w:r/>
            <w:r>
              <w:rPr>
                <w:b w:val="0"/>
                <w:sz w:val="18"/>
              </w:rPr>
              <w:t>Apple Developer Program</w:t>
            </w:r>
          </w:p>
        </w:tc>
        <w:tc>
          <w:tcPr>
            <w:tcW w:type="dxa" w:w="3888"/>
          </w:tcPr>
          <w:p>
            <w:pPr>
              <w:spacing w:before="40" w:after="40"/>
            </w:pPr>
            <w:r/>
            <w:r>
              <w:rPr>
                <w:b w:val="0"/>
                <w:sz w:val="18"/>
              </w:rPr>
              <w:t>$99/year amortised</w:t>
            </w:r>
          </w:p>
        </w:tc>
        <w:tc>
          <w:tcPr>
            <w:tcW w:type="dxa" w:w="1872"/>
          </w:tcPr>
          <w:p>
            <w:pPr>
              <w:spacing w:before="40" w:after="40"/>
              <w:jc w:val="right"/>
            </w:pPr>
            <w:r/>
            <w:r>
              <w:rPr>
                <w:b w:val="0"/>
                <w:sz w:val="18"/>
              </w:rPr>
              <w:t>₹786</w:t>
            </w:r>
          </w:p>
        </w:tc>
      </w:tr>
      <w:tr>
        <w:tc>
          <w:tcPr>
            <w:tcW w:type="dxa" w:w="3888"/>
            <w:shd w:val="clear" w:color="auto" w:fill="FCE7EE"/>
          </w:tcPr>
          <w:p>
            <w:pPr>
              <w:spacing w:before="40" w:after="40"/>
            </w:pPr>
            <w:r/>
            <w:r>
              <w:rPr>
                <w:b/>
                <w:sz w:val="18"/>
              </w:rPr>
              <w:t>TOTAL PER MONTH</w:t>
            </w:r>
          </w:p>
        </w:tc>
        <w:tc>
          <w:tcPr>
            <w:tcW w:type="dxa" w:w="3888"/>
            <w:shd w:val="clear" w:color="auto" w:fill="FCE7EE"/>
          </w:tcPr>
          <w:p>
            <w:pPr>
              <w:spacing w:before="40" w:after="40"/>
            </w:pPr>
            <w:r/>
            <w:r>
              <w:rPr>
                <w:b/>
                <w:sz w:val="18"/>
              </w:rPr>
            </w:r>
          </w:p>
        </w:tc>
        <w:tc>
          <w:tcPr>
            <w:tcW w:type="dxa" w:w="1872"/>
            <w:shd w:val="clear" w:color="auto" w:fill="FCE7EE"/>
          </w:tcPr>
          <w:p>
            <w:pPr>
              <w:spacing w:before="40" w:after="40"/>
              <w:jc w:val="right"/>
            </w:pPr>
            <w:r/>
            <w:r>
              <w:rPr>
                <w:b/>
                <w:sz w:val="18"/>
              </w:rPr>
              <w:t>₹575,148</w:t>
            </w:r>
          </w:p>
        </w:tc>
      </w:tr>
      <w:tr>
        <w:tc>
          <w:tcPr>
            <w:tcW w:type="dxa" w:w="3888"/>
            <w:shd w:val="clear" w:color="auto" w:fill="FCE7EE"/>
          </w:tcPr>
          <w:p>
            <w:pPr>
              <w:spacing w:before="40" w:after="40"/>
            </w:pPr>
            <w:r/>
            <w:r>
              <w:rPr>
                <w:b/>
                <w:sz w:val="18"/>
              </w:rPr>
              <w:t>TOTAL PER YEAR</w:t>
            </w:r>
          </w:p>
        </w:tc>
        <w:tc>
          <w:tcPr>
            <w:tcW w:type="dxa" w:w="3888"/>
            <w:shd w:val="clear" w:color="auto" w:fill="FCE7EE"/>
          </w:tcPr>
          <w:p>
            <w:pPr>
              <w:spacing w:before="40" w:after="40"/>
            </w:pPr>
            <w:r/>
            <w:r>
              <w:rPr>
                <w:b/>
                <w:sz w:val="18"/>
              </w:rPr>
            </w:r>
          </w:p>
        </w:tc>
        <w:tc>
          <w:tcPr>
            <w:tcW w:type="dxa" w:w="1872"/>
            <w:shd w:val="clear" w:color="auto" w:fill="FCE7EE"/>
          </w:tcPr>
          <w:p>
            <w:pPr>
              <w:spacing w:before="40" w:after="40"/>
              <w:jc w:val="right"/>
            </w:pPr>
            <w:r/>
            <w:r>
              <w:rPr>
                <w:b/>
                <w:sz w:val="18"/>
              </w:rPr>
              <w:t>₹6,901,776</w:t>
            </w:r>
          </w:p>
        </w:tc>
      </w:tr>
    </w:tbl>
    <w:p>
      <w:pPr>
        <w:spacing w:after="80"/>
      </w:pPr>
    </w:p>
    <w:p>
      <w:pPr>
        <w:pStyle w:val="Heading2"/>
        <w:spacing w:before="240" w:after="80"/>
      </w:pPr>
      <w:r>
        <w:rPr>
          <w:color w:val="7B3A8F"/>
          <w:sz w:val="25"/>
        </w:rPr>
        <w:t>6.4 Summary</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val="clear" w:color="auto" w:fill="3F0E4C"/>
          </w:tcPr>
          <w:p>
            <w:pPr>
              <w:spacing w:before="40" w:after="40"/>
            </w:pPr>
            <w:r/>
            <w:r>
              <w:rPr>
                <w:b/>
                <w:color w:val="FFFFFF"/>
                <w:sz w:val="18"/>
              </w:rPr>
              <w:t>Scenario</w:t>
            </w:r>
          </w:p>
        </w:tc>
        <w:tc>
          <w:tcPr>
            <w:tcW w:type="dxa" w:w="1512"/>
            <w:shd w:val="clear" w:color="auto" w:fill="3F0E4C"/>
          </w:tcPr>
          <w:p>
            <w:pPr>
              <w:spacing w:before="40" w:after="40"/>
            </w:pPr>
            <w:r/>
            <w:r>
              <w:rPr>
                <w:b/>
                <w:color w:val="FFFFFF"/>
                <w:sz w:val="18"/>
              </w:rPr>
              <w:t>Users</w:t>
            </w:r>
          </w:p>
        </w:tc>
        <w:tc>
          <w:tcPr>
            <w:tcW w:type="dxa" w:w="1800"/>
            <w:shd w:val="clear" w:color="auto" w:fill="3F0E4C"/>
          </w:tcPr>
          <w:p>
            <w:pPr>
              <w:spacing w:before="40" w:after="40"/>
            </w:pPr>
            <w:r/>
            <w:r>
              <w:rPr>
                <w:b/>
                <w:color w:val="FFFFFF"/>
                <w:sz w:val="18"/>
              </w:rPr>
              <w:t>Per month</w:t>
            </w:r>
          </w:p>
        </w:tc>
        <w:tc>
          <w:tcPr>
            <w:tcW w:type="dxa" w:w="1944"/>
            <w:shd w:val="clear" w:color="auto" w:fill="3F0E4C"/>
          </w:tcPr>
          <w:p>
            <w:pPr>
              <w:spacing w:before="40" w:after="40"/>
            </w:pPr>
            <w:r/>
            <w:r>
              <w:rPr>
                <w:b/>
                <w:color w:val="FFFFFF"/>
                <w:sz w:val="18"/>
              </w:rPr>
              <w:t>Per year</w:t>
            </w:r>
          </w:p>
        </w:tc>
        <w:tc>
          <w:tcPr>
            <w:tcW w:type="dxa" w:w="1944"/>
            <w:shd w:val="clear" w:color="auto" w:fill="3F0E4C"/>
          </w:tcPr>
          <w:p>
            <w:pPr>
              <w:spacing w:before="40" w:after="40"/>
            </w:pPr>
            <w:r/>
            <w:r>
              <w:rPr>
                <w:b/>
                <w:color w:val="FFFFFF"/>
                <w:sz w:val="18"/>
              </w:rPr>
              <w:t>Per user / month</w:t>
            </w:r>
          </w:p>
        </w:tc>
      </w:tr>
      <w:tr>
        <w:tc>
          <w:tcPr>
            <w:tcW w:type="dxa" w:w="2160"/>
          </w:tcPr>
          <w:p>
            <w:pPr>
              <w:spacing w:before="40" w:after="40"/>
            </w:pPr>
            <w:r/>
            <w:r>
              <w:rPr>
                <w:b w:val="0"/>
                <w:sz w:val="18"/>
              </w:rPr>
              <w:t>S1 — Pilot</w:t>
            </w:r>
          </w:p>
        </w:tc>
        <w:tc>
          <w:tcPr>
            <w:tcW w:type="dxa" w:w="1512"/>
          </w:tcPr>
          <w:p>
            <w:pPr>
              <w:spacing w:before="40" w:after="40"/>
              <w:jc w:val="right"/>
            </w:pPr>
            <w:r/>
            <w:r>
              <w:rPr>
                <w:b w:val="0"/>
                <w:sz w:val="18"/>
              </w:rPr>
              <w:t>1,000</w:t>
            </w:r>
          </w:p>
        </w:tc>
        <w:tc>
          <w:tcPr>
            <w:tcW w:type="dxa" w:w="1800"/>
          </w:tcPr>
          <w:p>
            <w:pPr>
              <w:spacing w:before="40" w:after="40"/>
              <w:jc w:val="right"/>
            </w:pPr>
            <w:r/>
            <w:r>
              <w:rPr>
                <w:b w:val="0"/>
                <w:sz w:val="18"/>
              </w:rPr>
              <w:t>₹40,765</w:t>
            </w:r>
          </w:p>
        </w:tc>
        <w:tc>
          <w:tcPr>
            <w:tcW w:type="dxa" w:w="1944"/>
          </w:tcPr>
          <w:p>
            <w:pPr>
              <w:spacing w:before="40" w:after="40"/>
              <w:jc w:val="right"/>
            </w:pPr>
            <w:r/>
            <w:r>
              <w:rPr>
                <w:b w:val="0"/>
                <w:sz w:val="18"/>
              </w:rPr>
              <w:t>₹489,180</w:t>
            </w:r>
          </w:p>
        </w:tc>
        <w:tc>
          <w:tcPr>
            <w:tcW w:type="dxa" w:w="1944"/>
          </w:tcPr>
          <w:p>
            <w:pPr>
              <w:spacing w:before="40" w:after="40"/>
              <w:jc w:val="right"/>
            </w:pPr>
            <w:r/>
            <w:r>
              <w:rPr>
                <w:b w:val="0"/>
                <w:sz w:val="18"/>
              </w:rPr>
              <w:t>₹40.8</w:t>
            </w:r>
          </w:p>
        </w:tc>
      </w:tr>
      <w:tr>
        <w:tc>
          <w:tcPr>
            <w:tcW w:type="dxa" w:w="2160"/>
            <w:shd w:val="clear" w:color="auto" w:fill="F5EFE4"/>
          </w:tcPr>
          <w:p>
            <w:pPr>
              <w:spacing w:before="40" w:after="40"/>
            </w:pPr>
            <w:r/>
            <w:r>
              <w:rPr>
                <w:b w:val="0"/>
                <w:sz w:val="18"/>
              </w:rPr>
              <w:t>S2 — Growth</w:t>
            </w:r>
          </w:p>
        </w:tc>
        <w:tc>
          <w:tcPr>
            <w:tcW w:type="dxa" w:w="1512"/>
            <w:shd w:val="clear" w:color="auto" w:fill="F5EFE4"/>
          </w:tcPr>
          <w:p>
            <w:pPr>
              <w:spacing w:before="40" w:after="40"/>
              <w:jc w:val="right"/>
            </w:pPr>
            <w:r/>
            <w:r>
              <w:rPr>
                <w:b w:val="0"/>
                <w:sz w:val="18"/>
              </w:rPr>
              <w:t>10,000</w:t>
            </w:r>
          </w:p>
        </w:tc>
        <w:tc>
          <w:tcPr>
            <w:tcW w:type="dxa" w:w="1800"/>
            <w:shd w:val="clear" w:color="auto" w:fill="F5EFE4"/>
          </w:tcPr>
          <w:p>
            <w:pPr>
              <w:spacing w:before="40" w:after="40"/>
              <w:jc w:val="right"/>
            </w:pPr>
            <w:r/>
            <w:r>
              <w:rPr>
                <w:b w:val="0"/>
                <w:sz w:val="18"/>
              </w:rPr>
              <w:t>₹160,299</w:t>
            </w:r>
          </w:p>
        </w:tc>
        <w:tc>
          <w:tcPr>
            <w:tcW w:type="dxa" w:w="1944"/>
            <w:shd w:val="clear" w:color="auto" w:fill="F5EFE4"/>
          </w:tcPr>
          <w:p>
            <w:pPr>
              <w:spacing w:before="40" w:after="40"/>
              <w:jc w:val="right"/>
            </w:pPr>
            <w:r/>
            <w:r>
              <w:rPr>
                <w:b w:val="0"/>
                <w:sz w:val="18"/>
              </w:rPr>
              <w:t>₹1,923,588</w:t>
            </w:r>
          </w:p>
        </w:tc>
        <w:tc>
          <w:tcPr>
            <w:tcW w:type="dxa" w:w="1944"/>
            <w:shd w:val="clear" w:color="auto" w:fill="F5EFE4"/>
          </w:tcPr>
          <w:p>
            <w:pPr>
              <w:spacing w:before="40" w:after="40"/>
              <w:jc w:val="right"/>
            </w:pPr>
            <w:r/>
            <w:r>
              <w:rPr>
                <w:b w:val="0"/>
                <w:sz w:val="18"/>
              </w:rPr>
              <w:t>₹16.0</w:t>
            </w:r>
          </w:p>
        </w:tc>
      </w:tr>
      <w:tr>
        <w:tc>
          <w:tcPr>
            <w:tcW w:type="dxa" w:w="2160"/>
          </w:tcPr>
          <w:p>
            <w:pPr>
              <w:spacing w:before="40" w:after="40"/>
            </w:pPr>
            <w:r/>
            <w:r>
              <w:rPr>
                <w:b w:val="0"/>
                <w:sz w:val="18"/>
              </w:rPr>
              <w:t>S3 — Scale</w:t>
            </w:r>
          </w:p>
        </w:tc>
        <w:tc>
          <w:tcPr>
            <w:tcW w:type="dxa" w:w="1512"/>
          </w:tcPr>
          <w:p>
            <w:pPr>
              <w:spacing w:before="40" w:after="40"/>
              <w:jc w:val="right"/>
            </w:pPr>
            <w:r/>
            <w:r>
              <w:rPr>
                <w:b w:val="0"/>
                <w:sz w:val="18"/>
              </w:rPr>
              <w:t>50,000</w:t>
            </w:r>
          </w:p>
        </w:tc>
        <w:tc>
          <w:tcPr>
            <w:tcW w:type="dxa" w:w="1800"/>
          </w:tcPr>
          <w:p>
            <w:pPr>
              <w:spacing w:before="40" w:after="40"/>
              <w:jc w:val="right"/>
            </w:pPr>
            <w:r/>
            <w:r>
              <w:rPr>
                <w:b w:val="0"/>
                <w:sz w:val="18"/>
              </w:rPr>
              <w:t>₹575,148</w:t>
            </w:r>
          </w:p>
        </w:tc>
        <w:tc>
          <w:tcPr>
            <w:tcW w:type="dxa" w:w="1944"/>
          </w:tcPr>
          <w:p>
            <w:pPr>
              <w:spacing w:before="40" w:after="40"/>
              <w:jc w:val="right"/>
            </w:pPr>
            <w:r/>
            <w:r>
              <w:rPr>
                <w:b w:val="0"/>
                <w:sz w:val="18"/>
              </w:rPr>
              <w:t>₹6,901,776</w:t>
            </w:r>
          </w:p>
        </w:tc>
        <w:tc>
          <w:tcPr>
            <w:tcW w:type="dxa" w:w="1944"/>
          </w:tcPr>
          <w:p>
            <w:pPr>
              <w:spacing w:before="40" w:after="40"/>
              <w:jc w:val="right"/>
            </w:pPr>
            <w:r/>
            <w:r>
              <w:rPr>
                <w:b w:val="0"/>
                <w:sz w:val="18"/>
              </w:rPr>
              <w:t>₹11.5</w:t>
            </w:r>
          </w:p>
        </w:tc>
      </w:tr>
    </w:tbl>
    <w:p>
      <w:pPr>
        <w:spacing w:after="80"/>
      </w:pPr>
    </w:p>
    <w:p>
      <w:pPr>
        <w:spacing w:after="120"/>
      </w:pPr>
      <w:r>
        <w:rPr>
          <w:b w:val="0"/>
          <w:i w:val="0"/>
          <w:sz w:val="20"/>
        </w:rPr>
        <w:t>Unit economics improve as fixed costs — the database floor, tooling, staging and monitoring — spread over more users. Beyond roughly 50,000 users the curve flattens, because what remains is genuinely variable: SerpApi calls, delivered media and SMS.</w:t>
      </w:r>
    </w:p>
    <w:p>
      <w:r>
        <w:br w:type="page"/>
      </w:r>
    </w:p>
    <w:p>
      <w:pPr>
        <w:pStyle w:val="Heading1"/>
        <w:spacing w:before="320" w:after="120"/>
      </w:pPr>
      <w:r>
        <w:rPr>
          <w:color w:val="3F0E4C"/>
          <w:sz w:val="32"/>
        </w:rPr>
        <w:t>7. Cost Drivers and Risks</w:t>
      </w:r>
    </w:p>
    <w:p>
      <w:pPr>
        <w:pStyle w:val="Heading2"/>
        <w:spacing w:before="240" w:after="80"/>
      </w:pPr>
      <w:r>
        <w:rPr>
          <w:color w:val="7B3A8F"/>
          <w:sz w:val="25"/>
        </w:rPr>
        <w:t>7.1 What actually moves the bill</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72"/>
            <w:shd w:val="clear" w:color="auto" w:fill="3F0E4C"/>
          </w:tcPr>
          <w:p>
            <w:pPr>
              <w:spacing w:before="40" w:after="40"/>
            </w:pPr>
            <w:r/>
            <w:r>
              <w:rPr>
                <w:b/>
                <w:color w:val="FFFFFF"/>
                <w:sz w:val="18"/>
              </w:rPr>
              <w:t>Driver</w:t>
            </w:r>
          </w:p>
        </w:tc>
        <w:tc>
          <w:tcPr>
            <w:tcW w:type="dxa" w:w="1512"/>
            <w:shd w:val="clear" w:color="auto" w:fill="3F0E4C"/>
          </w:tcPr>
          <w:p>
            <w:pPr>
              <w:spacing w:before="40" w:after="40"/>
            </w:pPr>
            <w:r/>
            <w:r>
              <w:rPr>
                <w:b/>
                <w:color w:val="FFFFFF"/>
                <w:sz w:val="18"/>
              </w:rPr>
              <w:t>Line affected</w:t>
            </w:r>
          </w:p>
        </w:tc>
        <w:tc>
          <w:tcPr>
            <w:tcW w:type="dxa" w:w="2880"/>
            <w:shd w:val="clear" w:color="auto" w:fill="3F0E4C"/>
          </w:tcPr>
          <w:p>
            <w:pPr>
              <w:spacing w:before="40" w:after="40"/>
            </w:pPr>
            <w:r/>
            <w:r>
              <w:rPr>
                <w:b/>
                <w:color w:val="FFFFFF"/>
                <w:sz w:val="18"/>
              </w:rPr>
              <w:t>Sensitivity</w:t>
            </w:r>
          </w:p>
        </w:tc>
        <w:tc>
          <w:tcPr>
            <w:tcW w:type="dxa" w:w="3384"/>
            <w:shd w:val="clear" w:color="auto" w:fill="3F0E4C"/>
          </w:tcPr>
          <w:p>
            <w:pPr>
              <w:spacing w:before="40" w:after="40"/>
            </w:pPr>
            <w:r/>
            <w:r>
              <w:rPr>
                <w:b/>
                <w:color w:val="FFFFFF"/>
                <w:sz w:val="18"/>
              </w:rPr>
              <w:t>Control available</w:t>
            </w:r>
          </w:p>
        </w:tc>
      </w:tr>
      <w:tr>
        <w:tc>
          <w:tcPr>
            <w:tcW w:type="dxa" w:w="1872"/>
          </w:tcPr>
          <w:p>
            <w:pPr>
              <w:spacing w:before="40" w:after="40"/>
            </w:pPr>
            <w:r/>
            <w:r>
              <w:rPr>
                <w:b w:val="0"/>
                <w:sz w:val="18"/>
              </w:rPr>
              <w:t>Searches per user</w:t>
            </w:r>
          </w:p>
        </w:tc>
        <w:tc>
          <w:tcPr>
            <w:tcW w:type="dxa" w:w="1512"/>
          </w:tcPr>
          <w:p>
            <w:pPr>
              <w:spacing w:before="40" w:after="40"/>
            </w:pPr>
            <w:r/>
            <w:r>
              <w:rPr>
                <w:b w:val="0"/>
                <w:sz w:val="18"/>
              </w:rPr>
              <w:t>SerpApi</w:t>
            </w:r>
          </w:p>
        </w:tc>
        <w:tc>
          <w:tcPr>
            <w:tcW w:type="dxa" w:w="2880"/>
          </w:tcPr>
          <w:p>
            <w:pPr>
              <w:spacing w:before="40" w:after="40"/>
            </w:pPr>
            <w:r/>
            <w:r>
              <w:rPr>
                <w:b w:val="0"/>
                <w:sz w:val="18"/>
              </w:rPr>
              <w:t>High — near-linear above the cache hit rate</w:t>
            </w:r>
          </w:p>
        </w:tc>
        <w:tc>
          <w:tcPr>
            <w:tcW w:type="dxa" w:w="3384"/>
          </w:tcPr>
          <w:p>
            <w:pPr>
              <w:spacing w:before="40" w:after="40"/>
            </w:pPr>
            <w:r/>
            <w:r>
              <w:rPr>
                <w:b w:val="0"/>
                <w:sz w:val="18"/>
              </w:rPr>
              <w:t>Longer cache windows, query normalisation, curated shelves</w:t>
            </w:r>
          </w:p>
        </w:tc>
      </w:tr>
      <w:tr>
        <w:tc>
          <w:tcPr>
            <w:tcW w:type="dxa" w:w="1872"/>
            <w:shd w:val="clear" w:color="auto" w:fill="F5EFE4"/>
          </w:tcPr>
          <w:p>
            <w:pPr>
              <w:spacing w:before="40" w:after="40"/>
            </w:pPr>
            <w:r/>
            <w:r>
              <w:rPr>
                <w:b w:val="0"/>
                <w:sz w:val="18"/>
              </w:rPr>
              <w:t>Search cache hit rate</w:t>
            </w:r>
          </w:p>
        </w:tc>
        <w:tc>
          <w:tcPr>
            <w:tcW w:type="dxa" w:w="1512"/>
            <w:shd w:val="clear" w:color="auto" w:fill="F5EFE4"/>
          </w:tcPr>
          <w:p>
            <w:pPr>
              <w:spacing w:before="40" w:after="40"/>
            </w:pPr>
            <w:r/>
            <w:r>
              <w:rPr>
                <w:b w:val="0"/>
                <w:sz w:val="18"/>
              </w:rPr>
              <w:t>SerpApi</w:t>
            </w:r>
          </w:p>
        </w:tc>
        <w:tc>
          <w:tcPr>
            <w:tcW w:type="dxa" w:w="2880"/>
            <w:shd w:val="clear" w:color="auto" w:fill="F5EFE4"/>
          </w:tcPr>
          <w:p>
            <w:pPr>
              <w:spacing w:before="40" w:after="40"/>
            </w:pPr>
            <w:r/>
            <w:r>
              <w:rPr>
                <w:b w:val="0"/>
                <w:sz w:val="18"/>
              </w:rPr>
              <w:t>High — every 10 points saves about 10% of calls</w:t>
            </w:r>
          </w:p>
        </w:tc>
        <w:tc>
          <w:tcPr>
            <w:tcW w:type="dxa" w:w="3384"/>
            <w:shd w:val="clear" w:color="auto" w:fill="F5EFE4"/>
          </w:tcPr>
          <w:p>
            <w:pPr>
              <w:spacing w:before="40" w:after="40"/>
            </w:pPr>
            <w:r/>
            <w:r>
              <w:rPr>
                <w:b w:val="0"/>
                <w:sz w:val="18"/>
              </w:rPr>
              <w:t>Normalise query strings; pre-warm popular shelves</w:t>
            </w:r>
          </w:p>
        </w:tc>
      </w:tr>
      <w:tr>
        <w:tc>
          <w:tcPr>
            <w:tcW w:type="dxa" w:w="1872"/>
          </w:tcPr>
          <w:p>
            <w:pPr>
              <w:spacing w:before="40" w:after="40"/>
            </w:pPr>
            <w:r/>
            <w:r>
              <w:rPr>
                <w:b w:val="0"/>
                <w:sz w:val="18"/>
              </w:rPr>
              <w:t>Media delivered per user</w:t>
            </w:r>
          </w:p>
        </w:tc>
        <w:tc>
          <w:tcPr>
            <w:tcW w:type="dxa" w:w="1512"/>
          </w:tcPr>
          <w:p>
            <w:pPr>
              <w:spacing w:before="40" w:after="40"/>
            </w:pPr>
            <w:r/>
            <w:r>
              <w:rPr>
                <w:b w:val="0"/>
                <w:sz w:val="18"/>
              </w:rPr>
              <w:t>Cloudinary</w:t>
            </w:r>
          </w:p>
        </w:tc>
        <w:tc>
          <w:tcPr>
            <w:tcW w:type="dxa" w:w="2880"/>
          </w:tcPr>
          <w:p>
            <w:pPr>
              <w:spacing w:before="40" w:after="40"/>
            </w:pPr>
            <w:r/>
            <w:r>
              <w:rPr>
                <w:b w:val="0"/>
                <w:sz w:val="18"/>
              </w:rPr>
              <w:t>High — directly proportional</w:t>
            </w:r>
          </w:p>
        </w:tc>
        <w:tc>
          <w:tcPr>
            <w:tcW w:type="dxa" w:w="3384"/>
          </w:tcPr>
          <w:p>
            <w:pPr>
              <w:spacing w:before="40" w:after="40"/>
            </w:pPr>
            <w:r/>
            <w:r>
              <w:rPr>
                <w:b w:val="0"/>
                <w:sz w:val="18"/>
              </w:rPr>
              <w:t>Automatic format and quality, capped reel bitrate</w:t>
            </w:r>
          </w:p>
        </w:tc>
      </w:tr>
      <w:tr>
        <w:tc>
          <w:tcPr>
            <w:tcW w:type="dxa" w:w="1872"/>
            <w:shd w:val="clear" w:color="auto" w:fill="F5EFE4"/>
          </w:tcPr>
          <w:p>
            <w:pPr>
              <w:spacing w:before="40" w:after="40"/>
            </w:pPr>
            <w:r/>
            <w:r>
              <w:rPr>
                <w:b w:val="0"/>
                <w:sz w:val="18"/>
              </w:rPr>
              <w:t>Media retained</w:t>
            </w:r>
          </w:p>
        </w:tc>
        <w:tc>
          <w:tcPr>
            <w:tcW w:type="dxa" w:w="1512"/>
            <w:shd w:val="clear" w:color="auto" w:fill="F5EFE4"/>
          </w:tcPr>
          <w:p>
            <w:pPr>
              <w:spacing w:before="40" w:after="40"/>
            </w:pPr>
            <w:r/>
            <w:r>
              <w:rPr>
                <w:b w:val="0"/>
                <w:sz w:val="18"/>
              </w:rPr>
              <w:t>Cloudinary</w:t>
            </w:r>
          </w:p>
        </w:tc>
        <w:tc>
          <w:tcPr>
            <w:tcW w:type="dxa" w:w="2880"/>
            <w:shd w:val="clear" w:color="auto" w:fill="F5EFE4"/>
          </w:tcPr>
          <w:p>
            <w:pPr>
              <w:spacing w:before="40" w:after="40"/>
            </w:pPr>
            <w:r/>
            <w:r>
              <w:rPr>
                <w:b w:val="0"/>
                <w:sz w:val="18"/>
              </w:rPr>
              <w:t>High — compounds permanently</w:t>
            </w:r>
          </w:p>
        </w:tc>
        <w:tc>
          <w:tcPr>
            <w:tcW w:type="dxa" w:w="3384"/>
            <w:shd w:val="clear" w:color="auto" w:fill="F5EFE4"/>
          </w:tcPr>
          <w:p>
            <w:pPr>
              <w:spacing w:before="40" w:after="40"/>
            </w:pPr>
            <w:r/>
            <w:r>
              <w:rPr>
                <w:b w:val="0"/>
                <w:sz w:val="18"/>
              </w:rPr>
              <w:t>Prune abandoned uploads and orphaned derivatives</w:t>
            </w:r>
          </w:p>
        </w:tc>
      </w:tr>
      <w:tr>
        <w:tc>
          <w:tcPr>
            <w:tcW w:type="dxa" w:w="1872"/>
          </w:tcPr>
          <w:p>
            <w:pPr>
              <w:spacing w:before="40" w:after="40"/>
            </w:pPr>
            <w:r/>
            <w:r>
              <w:rPr>
                <w:b w:val="0"/>
                <w:sz w:val="18"/>
              </w:rPr>
              <w:t>Sign-up rate</w:t>
            </w:r>
          </w:p>
        </w:tc>
        <w:tc>
          <w:tcPr>
            <w:tcW w:type="dxa" w:w="1512"/>
          </w:tcPr>
          <w:p>
            <w:pPr>
              <w:spacing w:before="40" w:after="40"/>
            </w:pPr>
            <w:r/>
            <w:r>
              <w:rPr>
                <w:b w:val="0"/>
                <w:sz w:val="18"/>
              </w:rPr>
              <w:t>SMS</w:t>
            </w:r>
          </w:p>
        </w:tc>
        <w:tc>
          <w:tcPr>
            <w:tcW w:type="dxa" w:w="2880"/>
          </w:tcPr>
          <w:p>
            <w:pPr>
              <w:spacing w:before="40" w:after="40"/>
            </w:pPr>
            <w:r/>
            <w:r>
              <w:rPr>
                <w:b w:val="0"/>
                <w:sz w:val="18"/>
              </w:rPr>
              <w:t>High — every verification is billed</w:t>
            </w:r>
          </w:p>
        </w:tc>
        <w:tc>
          <w:tcPr>
            <w:tcW w:type="dxa" w:w="3384"/>
          </w:tcPr>
          <w:p>
            <w:pPr>
              <w:spacing w:before="40" w:after="40"/>
            </w:pPr>
            <w:r/>
            <w:r>
              <w:rPr>
                <w:b w:val="0"/>
                <w:sz w:val="18"/>
              </w:rPr>
              <w:t>WhatsApp OTP, silent verification, longer sessions</w:t>
            </w:r>
          </w:p>
        </w:tc>
      </w:tr>
      <w:tr>
        <w:tc>
          <w:tcPr>
            <w:tcW w:type="dxa" w:w="1872"/>
            <w:shd w:val="clear" w:color="auto" w:fill="F5EFE4"/>
          </w:tcPr>
          <w:p>
            <w:pPr>
              <w:spacing w:before="40" w:after="40"/>
            </w:pPr>
            <w:r/>
            <w:r>
              <w:rPr>
                <w:b w:val="0"/>
                <w:sz w:val="18"/>
              </w:rPr>
              <w:t>Reel submissions</w:t>
            </w:r>
          </w:p>
        </w:tc>
        <w:tc>
          <w:tcPr>
            <w:tcW w:type="dxa" w:w="1512"/>
            <w:shd w:val="clear" w:color="auto" w:fill="F5EFE4"/>
          </w:tcPr>
          <w:p>
            <w:pPr>
              <w:spacing w:before="40" w:after="40"/>
            </w:pPr>
            <w:r/>
            <w:r>
              <w:rPr>
                <w:b w:val="0"/>
                <w:sz w:val="18"/>
              </w:rPr>
              <w:t>VPS</w:t>
            </w:r>
          </w:p>
        </w:tc>
        <w:tc>
          <w:tcPr>
            <w:tcW w:type="dxa" w:w="2880"/>
            <w:shd w:val="clear" w:color="auto" w:fill="F5EFE4"/>
          </w:tcPr>
          <w:p>
            <w:pPr>
              <w:spacing w:before="40" w:after="40"/>
            </w:pPr>
            <w:r/>
            <w:r>
              <w:rPr>
                <w:b w:val="0"/>
                <w:sz w:val="18"/>
              </w:rPr>
              <w:t>Medium — CPU-bound, one compile at a time per worker</w:t>
            </w:r>
          </w:p>
        </w:tc>
        <w:tc>
          <w:tcPr>
            <w:tcW w:type="dxa" w:w="3384"/>
            <w:shd w:val="clear" w:color="auto" w:fill="F5EFE4"/>
          </w:tcPr>
          <w:p>
            <w:pPr>
              <w:spacing w:before="40" w:after="40"/>
            </w:pPr>
            <w:r/>
            <w:r>
              <w:rPr>
                <w:b w:val="0"/>
                <w:sz w:val="18"/>
              </w:rPr>
              <w:t>Tolerate queue depth; scale the reel pool separately</w:t>
            </w:r>
          </w:p>
        </w:tc>
      </w:tr>
      <w:tr>
        <w:tc>
          <w:tcPr>
            <w:tcW w:type="dxa" w:w="1872"/>
          </w:tcPr>
          <w:p>
            <w:pPr>
              <w:spacing w:before="40" w:after="40"/>
            </w:pPr>
            <w:r/>
            <w:r>
              <w:rPr>
                <w:b w:val="0"/>
                <w:sz w:val="18"/>
              </w:rPr>
              <w:t>Email volume</w:t>
            </w:r>
          </w:p>
        </w:tc>
        <w:tc>
          <w:tcPr>
            <w:tcW w:type="dxa" w:w="1512"/>
          </w:tcPr>
          <w:p>
            <w:pPr>
              <w:spacing w:before="40" w:after="40"/>
            </w:pPr>
            <w:r/>
            <w:r>
              <w:rPr>
                <w:b w:val="0"/>
                <w:sz w:val="18"/>
              </w:rPr>
              <w:t>Email service</w:t>
            </w:r>
          </w:p>
        </w:tc>
        <w:tc>
          <w:tcPr>
            <w:tcW w:type="dxa" w:w="2880"/>
          </w:tcPr>
          <w:p>
            <w:pPr>
              <w:spacing w:before="40" w:after="40"/>
            </w:pPr>
            <w:r/>
            <w:r>
              <w:rPr>
                <w:b w:val="0"/>
                <w:sz w:val="18"/>
              </w:rPr>
              <w:t>Medium — per thousand sent</w:t>
            </w:r>
          </w:p>
        </w:tc>
        <w:tc>
          <w:tcPr>
            <w:tcW w:type="dxa" w:w="3384"/>
          </w:tcPr>
          <w:p>
            <w:pPr>
              <w:spacing w:before="40" w:after="40"/>
            </w:pPr>
            <w:r/>
            <w:r>
              <w:rPr>
                <w:b w:val="0"/>
                <w:sz w:val="18"/>
              </w:rPr>
              <w:t>Digest batching and quiet hours already reduce volume</w:t>
            </w:r>
          </w:p>
        </w:tc>
      </w:tr>
      <w:tr>
        <w:tc>
          <w:tcPr>
            <w:tcW w:type="dxa" w:w="1872"/>
            <w:shd w:val="clear" w:color="auto" w:fill="F5EFE4"/>
          </w:tcPr>
          <w:p>
            <w:pPr>
              <w:spacing w:before="40" w:after="40"/>
            </w:pPr>
            <w:r/>
            <w:r>
              <w:rPr>
                <w:b w:val="0"/>
                <w:sz w:val="18"/>
              </w:rPr>
              <w:t>Request volume</w:t>
            </w:r>
          </w:p>
        </w:tc>
        <w:tc>
          <w:tcPr>
            <w:tcW w:type="dxa" w:w="1512"/>
            <w:shd w:val="clear" w:color="auto" w:fill="F5EFE4"/>
          </w:tcPr>
          <w:p>
            <w:pPr>
              <w:spacing w:before="40" w:after="40"/>
            </w:pPr>
            <w:r/>
            <w:r>
              <w:rPr>
                <w:b w:val="0"/>
                <w:sz w:val="18"/>
              </w:rPr>
              <w:t>VPS</w:t>
            </w:r>
          </w:p>
        </w:tc>
        <w:tc>
          <w:tcPr>
            <w:tcW w:type="dxa" w:w="2880"/>
            <w:shd w:val="clear" w:color="auto" w:fill="F5EFE4"/>
          </w:tcPr>
          <w:p>
            <w:pPr>
              <w:spacing w:before="40" w:after="40"/>
            </w:pPr>
            <w:r/>
            <w:r>
              <w:rPr>
                <w:b w:val="0"/>
                <w:sz w:val="18"/>
              </w:rPr>
              <w:t>Low — bandwidth is included in the plan</w:t>
            </w:r>
          </w:p>
        </w:tc>
        <w:tc>
          <w:tcPr>
            <w:tcW w:type="dxa" w:w="3384"/>
            <w:shd w:val="clear" w:color="auto" w:fill="F5EFE4"/>
          </w:tcPr>
          <w:p>
            <w:pPr>
              <w:spacing w:before="40" w:after="40"/>
            </w:pPr>
            <w:r/>
            <w:r>
              <w:rPr>
                <w:b w:val="0"/>
                <w:sz w:val="18"/>
              </w:rPr>
              <w:t>Vertical upgrade is a plan change, not a re-architecture</w:t>
            </w:r>
          </w:p>
        </w:tc>
      </w:tr>
      <w:tr>
        <w:tc>
          <w:tcPr>
            <w:tcW w:type="dxa" w:w="1872"/>
          </w:tcPr>
          <w:p>
            <w:pPr>
              <w:spacing w:before="40" w:after="40"/>
            </w:pPr>
            <w:r/>
            <w:r>
              <w:rPr>
                <w:b w:val="0"/>
                <w:sz w:val="18"/>
              </w:rPr>
              <w:t>Rupee–dollar rate</w:t>
            </w:r>
          </w:p>
        </w:tc>
        <w:tc>
          <w:tcPr>
            <w:tcW w:type="dxa" w:w="1512"/>
          </w:tcPr>
          <w:p>
            <w:pPr>
              <w:spacing w:before="40" w:after="40"/>
            </w:pPr>
            <w:r/>
            <w:r>
              <w:rPr>
                <w:b w:val="0"/>
                <w:sz w:val="18"/>
              </w:rPr>
              <w:t>Most lines</w:t>
            </w:r>
          </w:p>
        </w:tc>
        <w:tc>
          <w:tcPr>
            <w:tcW w:type="dxa" w:w="2880"/>
          </w:tcPr>
          <w:p>
            <w:pPr>
              <w:spacing w:before="40" w:after="40"/>
            </w:pPr>
            <w:r/>
            <w:r>
              <w:rPr>
                <w:b w:val="0"/>
                <w:sz w:val="18"/>
              </w:rPr>
              <w:t>High — see below</w:t>
            </w:r>
          </w:p>
        </w:tc>
        <w:tc>
          <w:tcPr>
            <w:tcW w:type="dxa" w:w="3384"/>
          </w:tcPr>
          <w:p>
            <w:pPr>
              <w:spacing w:before="40" w:after="40"/>
            </w:pPr>
            <w:r/>
            <w:r>
              <w:rPr>
                <w:b w:val="0"/>
                <w:sz w:val="18"/>
              </w:rPr>
              <w:t>Annual prepayment fixes the rate</w:t>
            </w:r>
          </w:p>
        </w:tc>
      </w:tr>
    </w:tbl>
    <w:p>
      <w:pPr>
        <w:spacing w:after="80"/>
      </w:pPr>
    </w:p>
    <w:p>
      <w:pPr>
        <w:pStyle w:val="Heading2"/>
        <w:spacing w:before="240" w:after="80"/>
      </w:pPr>
      <w:r>
        <w:rPr>
          <w:color w:val="7B3A8F"/>
          <w:sz w:val="25"/>
        </w:rPr>
        <w:t>7.2 Currency exposure</w:t>
      </w:r>
    </w:p>
    <w:p>
      <w:pPr>
        <w:spacing w:after="120"/>
      </w:pPr>
      <w:r>
        <w:rPr>
          <w:b w:val="0"/>
          <w:i w:val="0"/>
          <w:sz w:val="20"/>
        </w:rPr>
        <w:t>Wishtick earns in rupees and pays largely in dollars. Of the vendors in this budget, only the VPS, SMS gateway and domain are billed in Indian Rupees. MongoDB Atlas, Cloudinary, SerpApi, Sentry, GitHub and Apple all bill in US dollars.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72"/>
            <w:shd w:val="clear" w:color="auto" w:fill="3F0E4C"/>
          </w:tcPr>
          <w:p>
            <w:pPr>
              <w:spacing w:before="40" w:after="40"/>
            </w:pPr>
            <w:r/>
            <w:r>
              <w:rPr>
                <w:b/>
                <w:color w:val="FFFFFF"/>
                <w:sz w:val="18"/>
              </w:rPr>
              <w:t>Scenario</w:t>
            </w:r>
          </w:p>
        </w:tc>
        <w:tc>
          <w:tcPr>
            <w:tcW w:type="dxa" w:w="2160"/>
            <w:shd w:val="clear" w:color="auto" w:fill="3F0E4C"/>
          </w:tcPr>
          <w:p>
            <w:pPr>
              <w:spacing w:before="40" w:after="40"/>
            </w:pPr>
            <w:r/>
            <w:r>
              <w:rPr>
                <w:b/>
                <w:color w:val="FFFFFF"/>
                <w:sz w:val="18"/>
              </w:rPr>
              <w:t>Total / month</w:t>
            </w:r>
          </w:p>
        </w:tc>
        <w:tc>
          <w:tcPr>
            <w:tcW w:type="dxa" w:w="2448"/>
            <w:shd w:val="clear" w:color="auto" w:fill="3F0E4C"/>
          </w:tcPr>
          <w:p>
            <w:pPr>
              <w:spacing w:before="40" w:after="40"/>
            </w:pPr>
            <w:r/>
            <w:r>
              <w:rPr>
                <w:b/>
                <w:color w:val="FFFFFF"/>
                <w:sz w:val="18"/>
              </w:rPr>
              <w:t>USD-denominated</w:t>
            </w:r>
          </w:p>
        </w:tc>
        <w:tc>
          <w:tcPr>
            <w:tcW w:type="dxa" w:w="1728"/>
            <w:shd w:val="clear" w:color="auto" w:fill="3F0E4C"/>
          </w:tcPr>
          <w:p>
            <w:pPr>
              <w:spacing w:before="40" w:after="40"/>
            </w:pPr>
            <w:r/>
            <w:r>
              <w:rPr>
                <w:b/>
                <w:color w:val="FFFFFF"/>
                <w:sz w:val="18"/>
              </w:rPr>
              <w:t>Share</w:t>
            </w:r>
          </w:p>
        </w:tc>
      </w:tr>
      <w:tr>
        <w:tc>
          <w:tcPr>
            <w:tcW w:type="dxa" w:w="1872"/>
          </w:tcPr>
          <w:p>
            <w:pPr>
              <w:spacing w:before="40" w:after="40"/>
            </w:pPr>
            <w:r/>
            <w:r>
              <w:rPr>
                <w:b w:val="0"/>
                <w:sz w:val="18"/>
              </w:rPr>
              <w:t>S1</w:t>
            </w:r>
          </w:p>
        </w:tc>
        <w:tc>
          <w:tcPr>
            <w:tcW w:type="dxa" w:w="2160"/>
          </w:tcPr>
          <w:p>
            <w:pPr>
              <w:spacing w:before="40" w:after="40"/>
              <w:jc w:val="right"/>
            </w:pPr>
            <w:r/>
            <w:r>
              <w:rPr>
                <w:b w:val="0"/>
                <w:sz w:val="18"/>
              </w:rPr>
              <w:t>₹40,765</w:t>
            </w:r>
          </w:p>
        </w:tc>
        <w:tc>
          <w:tcPr>
            <w:tcW w:type="dxa" w:w="2448"/>
          </w:tcPr>
          <w:p>
            <w:pPr>
              <w:spacing w:before="40" w:after="40"/>
              <w:jc w:val="right"/>
            </w:pPr>
            <w:r/>
            <w:r>
              <w:rPr>
                <w:b w:val="0"/>
                <w:sz w:val="18"/>
              </w:rPr>
              <w:t>₹37,192</w:t>
            </w:r>
          </w:p>
        </w:tc>
        <w:tc>
          <w:tcPr>
            <w:tcW w:type="dxa" w:w="1728"/>
          </w:tcPr>
          <w:p>
            <w:pPr>
              <w:spacing w:before="40" w:after="40"/>
              <w:jc w:val="right"/>
            </w:pPr>
            <w:r/>
            <w:r>
              <w:rPr>
                <w:b w:val="0"/>
                <w:sz w:val="18"/>
              </w:rPr>
              <w:t>91%</w:t>
            </w:r>
          </w:p>
        </w:tc>
      </w:tr>
      <w:tr>
        <w:tc>
          <w:tcPr>
            <w:tcW w:type="dxa" w:w="1872"/>
            <w:shd w:val="clear" w:color="auto" w:fill="F5EFE4"/>
          </w:tcPr>
          <w:p>
            <w:pPr>
              <w:spacing w:before="40" w:after="40"/>
            </w:pPr>
            <w:r/>
            <w:r>
              <w:rPr>
                <w:b w:val="0"/>
                <w:sz w:val="18"/>
              </w:rPr>
              <w:t>S2</w:t>
            </w:r>
          </w:p>
        </w:tc>
        <w:tc>
          <w:tcPr>
            <w:tcW w:type="dxa" w:w="2160"/>
            <w:shd w:val="clear" w:color="auto" w:fill="F5EFE4"/>
          </w:tcPr>
          <w:p>
            <w:pPr>
              <w:spacing w:before="40" w:after="40"/>
              <w:jc w:val="right"/>
            </w:pPr>
            <w:r/>
            <w:r>
              <w:rPr>
                <w:b w:val="0"/>
                <w:sz w:val="18"/>
              </w:rPr>
              <w:t>₹160,299</w:t>
            </w:r>
          </w:p>
        </w:tc>
        <w:tc>
          <w:tcPr>
            <w:tcW w:type="dxa" w:w="2448"/>
            <w:shd w:val="clear" w:color="auto" w:fill="F5EFE4"/>
          </w:tcPr>
          <w:p>
            <w:pPr>
              <w:spacing w:before="40" w:after="40"/>
              <w:jc w:val="right"/>
            </w:pPr>
            <w:r/>
            <w:r>
              <w:rPr>
                <w:b w:val="0"/>
                <w:sz w:val="18"/>
              </w:rPr>
              <w:t>₹136,875</w:t>
            </w:r>
          </w:p>
        </w:tc>
        <w:tc>
          <w:tcPr>
            <w:tcW w:type="dxa" w:w="1728"/>
            <w:shd w:val="clear" w:color="auto" w:fill="F5EFE4"/>
          </w:tcPr>
          <w:p>
            <w:pPr>
              <w:spacing w:before="40" w:after="40"/>
              <w:jc w:val="right"/>
            </w:pPr>
            <w:r/>
            <w:r>
              <w:rPr>
                <w:b w:val="0"/>
                <w:sz w:val="18"/>
              </w:rPr>
              <w:t>85%</w:t>
            </w:r>
          </w:p>
        </w:tc>
      </w:tr>
      <w:tr>
        <w:tc>
          <w:tcPr>
            <w:tcW w:type="dxa" w:w="1872"/>
          </w:tcPr>
          <w:p>
            <w:pPr>
              <w:spacing w:before="40" w:after="40"/>
            </w:pPr>
            <w:r/>
            <w:r>
              <w:rPr>
                <w:b w:val="0"/>
                <w:sz w:val="18"/>
              </w:rPr>
              <w:t>S3</w:t>
            </w:r>
          </w:p>
        </w:tc>
        <w:tc>
          <w:tcPr>
            <w:tcW w:type="dxa" w:w="2160"/>
          </w:tcPr>
          <w:p>
            <w:pPr>
              <w:spacing w:before="40" w:after="40"/>
              <w:jc w:val="right"/>
            </w:pPr>
            <w:r/>
            <w:r>
              <w:rPr>
                <w:b w:val="0"/>
                <w:sz w:val="18"/>
              </w:rPr>
              <w:t>₹575,148</w:t>
            </w:r>
          </w:p>
        </w:tc>
        <w:tc>
          <w:tcPr>
            <w:tcW w:type="dxa" w:w="2448"/>
          </w:tcPr>
          <w:p>
            <w:pPr>
              <w:spacing w:before="40" w:after="40"/>
              <w:jc w:val="right"/>
            </w:pPr>
            <w:r/>
            <w:r>
              <w:rPr>
                <w:b w:val="0"/>
                <w:sz w:val="18"/>
              </w:rPr>
              <w:t>₹466,231</w:t>
            </w:r>
          </w:p>
        </w:tc>
        <w:tc>
          <w:tcPr>
            <w:tcW w:type="dxa" w:w="1728"/>
          </w:tcPr>
          <w:p>
            <w:pPr>
              <w:spacing w:before="40" w:after="40"/>
              <w:jc w:val="right"/>
            </w:pPr>
            <w:r/>
            <w:r>
              <w:rPr>
                <w:b w:val="0"/>
                <w:sz w:val="18"/>
              </w:rPr>
              <w:t>81%</w:t>
            </w:r>
          </w:p>
        </w:tc>
      </w:tr>
    </w:tbl>
    <w:p>
      <w:pPr>
        <w:spacing w:after="80"/>
      </w:pPr>
    </w:p>
    <w:p>
      <w:pPr>
        <w:spacing w:after="120"/>
      </w:pPr>
      <w:r>
        <w:rPr>
          <w:b w:val="0"/>
          <w:i w:val="0"/>
          <w:sz w:val="20"/>
        </w:rPr>
        <w:t>A 5% depreciation of the rupee raises the annual bill by roughly 4 to 5% with no change in usage — about ₹22,300 a year at pilot scale and ₹280,000 a year at 50,000 users. Annual prepayment on the largest USD vendors fixes the rate for twelve months and usually earns a discount as well.</w:t>
      </w:r>
    </w:p>
    <w:p>
      <w:pPr>
        <w:pStyle w:val="Heading2"/>
        <w:spacing w:before="240" w:after="80"/>
      </w:pPr>
      <w:r>
        <w:rPr>
          <w:color w:val="7B3A8F"/>
          <w:sz w:val="25"/>
        </w:rPr>
        <w:t>7.3 Budget risks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664"/>
            <w:shd w:val="clear" w:color="auto" w:fill="3F0E4C"/>
          </w:tcPr>
          <w:p>
            <w:pPr>
              <w:spacing w:before="40" w:after="40"/>
            </w:pPr>
            <w:r/>
            <w:r>
              <w:rPr>
                <w:b/>
                <w:color w:val="FFFFFF"/>
                <w:sz w:val="18"/>
              </w:rPr>
              <w:t>Risk</w:t>
            </w:r>
          </w:p>
        </w:tc>
        <w:tc>
          <w:tcPr>
            <w:tcW w:type="dxa" w:w="2160"/>
            <w:shd w:val="clear" w:color="auto" w:fill="3F0E4C"/>
          </w:tcPr>
          <w:p>
            <w:pPr>
              <w:spacing w:before="40" w:after="40"/>
            </w:pPr>
            <w:r/>
            <w:r>
              <w:rPr>
                <w:b/>
                <w:color w:val="FFFFFF"/>
                <w:sz w:val="18"/>
              </w:rPr>
              <w:t>Impact</w:t>
            </w:r>
          </w:p>
        </w:tc>
        <w:tc>
          <w:tcPr>
            <w:tcW w:type="dxa" w:w="1224"/>
            <w:shd w:val="clear" w:color="auto" w:fill="3F0E4C"/>
          </w:tcPr>
          <w:p>
            <w:pPr>
              <w:spacing w:before="40" w:after="40"/>
            </w:pPr>
            <w:r/>
            <w:r>
              <w:rPr>
                <w:b/>
                <w:color w:val="FFFFFF"/>
                <w:sz w:val="18"/>
              </w:rPr>
              <w:t>Likelihood</w:t>
            </w:r>
          </w:p>
        </w:tc>
        <w:tc>
          <w:tcPr>
            <w:tcW w:type="dxa" w:w="3600"/>
            <w:shd w:val="clear" w:color="auto" w:fill="3F0E4C"/>
          </w:tcPr>
          <w:p>
            <w:pPr>
              <w:spacing w:before="40" w:after="40"/>
            </w:pPr>
            <w:r/>
            <w:r>
              <w:rPr>
                <w:b/>
                <w:color w:val="FFFFFF"/>
                <w:sz w:val="18"/>
              </w:rPr>
              <w:t>Mitigation</w:t>
            </w:r>
          </w:p>
        </w:tc>
      </w:tr>
      <w:tr>
        <w:tc>
          <w:tcPr>
            <w:tcW w:type="dxa" w:w="2664"/>
          </w:tcPr>
          <w:p>
            <w:pPr>
              <w:spacing w:before="40" w:after="40"/>
            </w:pPr>
            <w:r/>
            <w:r>
              <w:rPr>
                <w:b w:val="0"/>
                <w:sz w:val="18"/>
              </w:rPr>
              <w:t>Cloudinary credit ceiling reached</w:t>
            </w:r>
          </w:p>
        </w:tc>
        <w:tc>
          <w:tcPr>
            <w:tcW w:type="dxa" w:w="2160"/>
          </w:tcPr>
          <w:p>
            <w:pPr>
              <w:spacing w:before="40" w:after="40"/>
            </w:pPr>
            <w:r/>
            <w:r>
              <w:rPr>
                <w:b w:val="0"/>
                <w:sz w:val="18"/>
              </w:rPr>
              <w:t>Severe — the account is disabled, not billed</w:t>
            </w:r>
          </w:p>
        </w:tc>
        <w:tc>
          <w:tcPr>
            <w:tcW w:type="dxa" w:w="1224"/>
          </w:tcPr>
          <w:p>
            <w:pPr>
              <w:spacing w:before="40" w:after="40"/>
            </w:pPr>
            <w:r/>
            <w:r>
              <w:rPr>
                <w:b w:val="0"/>
                <w:sz w:val="18"/>
              </w:rPr>
              <w:t>Medium</w:t>
            </w:r>
          </w:p>
        </w:tc>
        <w:tc>
          <w:tcPr>
            <w:tcW w:type="dxa" w:w="3600"/>
          </w:tcPr>
          <w:p>
            <w:pPr>
              <w:spacing w:before="40" w:after="40"/>
            </w:pPr>
            <w:r/>
            <w:r>
              <w:rPr>
                <w:b w:val="0"/>
                <w:sz w:val="18"/>
              </w:rPr>
              <w:t>Alert at 70% and 85% of allowance; upgrade before the ceiling</w:t>
            </w:r>
          </w:p>
        </w:tc>
      </w:tr>
      <w:tr>
        <w:tc>
          <w:tcPr>
            <w:tcW w:type="dxa" w:w="2664"/>
            <w:shd w:val="clear" w:color="auto" w:fill="F5EFE4"/>
          </w:tcPr>
          <w:p>
            <w:pPr>
              <w:spacing w:before="40" w:after="40"/>
            </w:pPr>
            <w:r/>
            <w:r>
              <w:rPr>
                <w:b w:val="0"/>
                <w:sz w:val="18"/>
              </w:rPr>
              <w:t>SerpApi price or allowance change</w:t>
            </w:r>
          </w:p>
        </w:tc>
        <w:tc>
          <w:tcPr>
            <w:tcW w:type="dxa" w:w="2160"/>
            <w:shd w:val="clear" w:color="auto" w:fill="F5EFE4"/>
          </w:tcPr>
          <w:p>
            <w:pPr>
              <w:spacing w:before="40" w:after="40"/>
            </w:pPr>
            <w:r/>
            <w:r>
              <w:rPr>
                <w:b w:val="0"/>
                <w:sz w:val="18"/>
              </w:rPr>
              <w:t>High — largest single line</w:t>
            </w:r>
          </w:p>
        </w:tc>
        <w:tc>
          <w:tcPr>
            <w:tcW w:type="dxa" w:w="1224"/>
            <w:shd w:val="clear" w:color="auto" w:fill="F5EFE4"/>
          </w:tcPr>
          <w:p>
            <w:pPr>
              <w:spacing w:before="40" w:after="40"/>
            </w:pPr>
            <w:r/>
            <w:r>
              <w:rPr>
                <w:b w:val="0"/>
                <w:sz w:val="18"/>
              </w:rPr>
              <w:t>Medium</w:t>
            </w:r>
          </w:p>
        </w:tc>
        <w:tc>
          <w:tcPr>
            <w:tcW w:type="dxa" w:w="3600"/>
            <w:shd w:val="clear" w:color="auto" w:fill="F5EFE4"/>
          </w:tcPr>
          <w:p>
            <w:pPr>
              <w:spacing w:before="40" w:after="40"/>
            </w:pPr>
            <w:r/>
            <w:r>
              <w:rPr>
                <w:b w:val="0"/>
                <w:sz w:val="18"/>
              </w:rPr>
              <w:t>The catalogue provider is swappable by configuration; keep an alternative evaluated</w:t>
            </w:r>
          </w:p>
        </w:tc>
      </w:tr>
      <w:tr>
        <w:tc>
          <w:tcPr>
            <w:tcW w:type="dxa" w:w="2664"/>
          </w:tcPr>
          <w:p>
            <w:pPr>
              <w:spacing w:before="40" w:after="40"/>
            </w:pPr>
            <w:r/>
            <w:r>
              <w:rPr>
                <w:b w:val="0"/>
                <w:sz w:val="18"/>
              </w:rPr>
              <w:t>Google retires a SerpApi search service</w:t>
            </w:r>
          </w:p>
        </w:tc>
        <w:tc>
          <w:tcPr>
            <w:tcW w:type="dxa" w:w="2160"/>
          </w:tcPr>
          <w:p>
            <w:pPr>
              <w:spacing w:before="40" w:after="40"/>
            </w:pPr>
            <w:r/>
            <w:r>
              <w:rPr>
                <w:b w:val="0"/>
                <w:sz w:val="18"/>
              </w:rPr>
              <w:t>High — has happened before during the build</w:t>
            </w:r>
          </w:p>
        </w:tc>
        <w:tc>
          <w:tcPr>
            <w:tcW w:type="dxa" w:w="1224"/>
          </w:tcPr>
          <w:p>
            <w:pPr>
              <w:spacing w:before="40" w:after="40"/>
            </w:pPr>
            <w:r/>
            <w:r>
              <w:rPr>
                <w:b w:val="0"/>
                <w:sz w:val="18"/>
              </w:rPr>
              <w:t>Medium</w:t>
            </w:r>
          </w:p>
        </w:tc>
        <w:tc>
          <w:tcPr>
            <w:tcW w:type="dxa" w:w="3600"/>
          </w:tcPr>
          <w:p>
            <w:pPr>
              <w:spacing w:before="40" w:after="40"/>
            </w:pPr>
            <w:r/>
            <w:r>
              <w:rPr>
                <w:b w:val="0"/>
                <w:sz w:val="18"/>
              </w:rPr>
              <w:t>Product tokens are already persisted at search time; monitor vendor changelogs</w:t>
            </w:r>
          </w:p>
        </w:tc>
      </w:tr>
      <w:tr>
        <w:tc>
          <w:tcPr>
            <w:tcW w:type="dxa" w:w="2664"/>
            <w:shd w:val="clear" w:color="auto" w:fill="F5EFE4"/>
          </w:tcPr>
          <w:p>
            <w:pPr>
              <w:spacing w:before="40" w:after="40"/>
            </w:pPr>
            <w:r/>
            <w:r>
              <w:rPr>
                <w:b w:val="0"/>
                <w:sz w:val="18"/>
              </w:rPr>
              <w:t>Hostinger renewal pricing increase</w:t>
            </w:r>
          </w:p>
        </w:tc>
        <w:tc>
          <w:tcPr>
            <w:tcW w:type="dxa" w:w="2160"/>
            <w:shd w:val="clear" w:color="auto" w:fill="F5EFE4"/>
          </w:tcPr>
          <w:p>
            <w:pPr>
              <w:spacing w:before="40" w:after="40"/>
            </w:pPr>
            <w:r/>
            <w:r>
              <w:rPr>
                <w:b w:val="0"/>
                <w:sz w:val="18"/>
              </w:rPr>
              <w:t>Medium</w:t>
            </w:r>
          </w:p>
        </w:tc>
        <w:tc>
          <w:tcPr>
            <w:tcW w:type="dxa" w:w="1224"/>
            <w:shd w:val="clear" w:color="auto" w:fill="F5EFE4"/>
          </w:tcPr>
          <w:p>
            <w:pPr>
              <w:spacing w:before="40" w:after="40"/>
            </w:pPr>
            <w:r/>
            <w:r>
              <w:rPr>
                <w:b w:val="0"/>
                <w:sz w:val="18"/>
              </w:rPr>
              <w:t>Medium</w:t>
            </w:r>
          </w:p>
        </w:tc>
        <w:tc>
          <w:tcPr>
            <w:tcW w:type="dxa" w:w="3600"/>
            <w:shd w:val="clear" w:color="auto" w:fill="F5EFE4"/>
          </w:tcPr>
          <w:p>
            <w:pPr>
              <w:spacing w:before="40" w:after="40"/>
            </w:pPr>
            <w:r/>
            <w:r>
              <w:rPr>
                <w:b w:val="0"/>
                <w:sz w:val="18"/>
              </w:rPr>
              <w:t>Already budgeted at renewal, not promotional, rates</w:t>
            </w:r>
          </w:p>
        </w:tc>
      </w:tr>
      <w:tr>
        <w:tc>
          <w:tcPr>
            <w:tcW w:type="dxa" w:w="2664"/>
          </w:tcPr>
          <w:p>
            <w:pPr>
              <w:spacing w:before="40" w:after="40"/>
            </w:pPr>
            <w:r/>
            <w:r>
              <w:rPr>
                <w:b w:val="0"/>
                <w:sz w:val="18"/>
              </w:rPr>
              <w:t>VPS failure with no managed failover</w:t>
            </w:r>
          </w:p>
        </w:tc>
        <w:tc>
          <w:tcPr>
            <w:tcW w:type="dxa" w:w="2160"/>
          </w:tcPr>
          <w:p>
            <w:pPr>
              <w:spacing w:before="40" w:after="40"/>
            </w:pPr>
            <w:r/>
            <w:r>
              <w:rPr>
                <w:b w:val="0"/>
                <w:sz w:val="18"/>
              </w:rPr>
              <w:t>High — the platform is down until restored</w:t>
            </w:r>
          </w:p>
        </w:tc>
        <w:tc>
          <w:tcPr>
            <w:tcW w:type="dxa" w:w="1224"/>
          </w:tcPr>
          <w:p>
            <w:pPr>
              <w:spacing w:before="40" w:after="40"/>
            </w:pPr>
            <w:r/>
            <w:r>
              <w:rPr>
                <w:b w:val="0"/>
                <w:sz w:val="18"/>
              </w:rPr>
              <w:t>Low–Medium</w:t>
            </w:r>
          </w:p>
        </w:tc>
        <w:tc>
          <w:tcPr>
            <w:tcW w:type="dxa" w:w="3600"/>
          </w:tcPr>
          <w:p>
            <w:pPr>
              <w:spacing w:before="40" w:after="40"/>
            </w:pPr>
            <w:r/>
            <w:r>
              <w:rPr>
                <w:b w:val="0"/>
                <w:sz w:val="18"/>
              </w:rPr>
              <w:t>Daily snapshots, tested restores, Redis persistence enabled</w:t>
            </w:r>
          </w:p>
        </w:tc>
      </w:tr>
      <w:tr>
        <w:tc>
          <w:tcPr>
            <w:tcW w:type="dxa" w:w="2664"/>
            <w:shd w:val="clear" w:color="auto" w:fill="F5EFE4"/>
          </w:tcPr>
          <w:p>
            <w:pPr>
              <w:spacing w:before="40" w:after="40"/>
            </w:pPr>
            <w:r/>
            <w:r>
              <w:rPr>
                <w:b w:val="0"/>
                <w:sz w:val="18"/>
              </w:rPr>
              <w:t>Rupee depreciation</w:t>
            </w:r>
          </w:p>
        </w:tc>
        <w:tc>
          <w:tcPr>
            <w:tcW w:type="dxa" w:w="2160"/>
            <w:shd w:val="clear" w:color="auto" w:fill="F5EFE4"/>
          </w:tcPr>
          <w:p>
            <w:pPr>
              <w:spacing w:before="40" w:after="40"/>
            </w:pPr>
            <w:r/>
            <w:r>
              <w:rPr>
                <w:b w:val="0"/>
                <w:sz w:val="18"/>
              </w:rPr>
              <w:t>Medium — affects 80–90% of the bill</w:t>
            </w:r>
          </w:p>
        </w:tc>
        <w:tc>
          <w:tcPr>
            <w:tcW w:type="dxa" w:w="1224"/>
            <w:shd w:val="clear" w:color="auto" w:fill="F5EFE4"/>
          </w:tcPr>
          <w:p>
            <w:pPr>
              <w:spacing w:before="40" w:after="40"/>
            </w:pPr>
            <w:r/>
            <w:r>
              <w:rPr>
                <w:b w:val="0"/>
                <w:sz w:val="18"/>
              </w:rPr>
              <w:t>Medium</w:t>
            </w:r>
          </w:p>
        </w:tc>
        <w:tc>
          <w:tcPr>
            <w:tcW w:type="dxa" w:w="3600"/>
            <w:shd w:val="clear" w:color="auto" w:fill="F5EFE4"/>
          </w:tcPr>
          <w:p>
            <w:pPr>
              <w:spacing w:before="40" w:after="40"/>
            </w:pPr>
            <w:r/>
            <w:r>
              <w:rPr>
                <w:b w:val="0"/>
                <w:sz w:val="18"/>
              </w:rPr>
              <w:t>Annual prepayment on the largest USD vendors</w:t>
            </w:r>
          </w:p>
        </w:tc>
      </w:tr>
      <w:tr>
        <w:tc>
          <w:tcPr>
            <w:tcW w:type="dxa" w:w="2664"/>
          </w:tcPr>
          <w:p>
            <w:pPr>
              <w:spacing w:before="40" w:after="40"/>
            </w:pPr>
            <w:r/>
            <w:r>
              <w:rPr>
                <w:b w:val="0"/>
                <w:sz w:val="18"/>
              </w:rPr>
              <w:t>Email deliverability from hosting SMTP</w:t>
            </w:r>
          </w:p>
        </w:tc>
        <w:tc>
          <w:tcPr>
            <w:tcW w:type="dxa" w:w="2160"/>
          </w:tcPr>
          <w:p>
            <w:pPr>
              <w:spacing w:before="40" w:after="40"/>
            </w:pPr>
            <w:r/>
            <w:r>
              <w:rPr>
                <w:b w:val="0"/>
                <w:sz w:val="18"/>
              </w:rPr>
              <w:t>Medium — a sign-up funnel problem</w:t>
            </w:r>
          </w:p>
        </w:tc>
        <w:tc>
          <w:tcPr>
            <w:tcW w:type="dxa" w:w="1224"/>
          </w:tcPr>
          <w:p>
            <w:pPr>
              <w:spacing w:before="40" w:after="40"/>
            </w:pPr>
            <w:r/>
            <w:r>
              <w:rPr>
                <w:b w:val="0"/>
                <w:sz w:val="18"/>
              </w:rPr>
              <w:t>High at S2+</w:t>
            </w:r>
          </w:p>
        </w:tc>
        <w:tc>
          <w:tcPr>
            <w:tcW w:type="dxa" w:w="3600"/>
          </w:tcPr>
          <w:p>
            <w:pPr>
              <w:spacing w:before="40" w:after="40"/>
            </w:pPr>
            <w:r/>
            <w:r>
              <w:rPr>
                <w:b w:val="0"/>
                <w:sz w:val="18"/>
              </w:rPr>
              <w:t>Move to a dedicated sending service; already costed from S2</w:t>
            </w:r>
          </w:p>
        </w:tc>
      </w:tr>
      <w:tr>
        <w:tc>
          <w:tcPr>
            <w:tcW w:type="dxa" w:w="2664"/>
            <w:shd w:val="clear" w:color="auto" w:fill="F5EFE4"/>
          </w:tcPr>
          <w:p>
            <w:pPr>
              <w:spacing w:before="40" w:after="40"/>
            </w:pPr>
            <w:r/>
            <w:r>
              <w:rPr>
                <w:b w:val="0"/>
                <w:sz w:val="18"/>
              </w:rPr>
              <w:t>SerpApi hourly throughput cap hit during a spike</w:t>
            </w:r>
          </w:p>
        </w:tc>
        <w:tc>
          <w:tcPr>
            <w:tcW w:type="dxa" w:w="2160"/>
            <w:shd w:val="clear" w:color="auto" w:fill="F5EFE4"/>
          </w:tcPr>
          <w:p>
            <w:pPr>
              <w:spacing w:before="40" w:after="40"/>
            </w:pPr>
            <w:r/>
            <w:r>
              <w:rPr>
                <w:b w:val="0"/>
                <w:sz w:val="18"/>
              </w:rPr>
              <w:t>Medium — searches fail rather than cost more</w:t>
            </w:r>
          </w:p>
        </w:tc>
        <w:tc>
          <w:tcPr>
            <w:tcW w:type="dxa" w:w="1224"/>
            <w:shd w:val="clear" w:color="auto" w:fill="F5EFE4"/>
          </w:tcPr>
          <w:p>
            <w:pPr>
              <w:spacing w:before="40" w:after="40"/>
            </w:pPr>
            <w:r/>
            <w:r>
              <w:rPr>
                <w:b w:val="0"/>
                <w:sz w:val="18"/>
              </w:rPr>
              <w:t>Medium</w:t>
            </w:r>
          </w:p>
        </w:tc>
        <w:tc>
          <w:tcPr>
            <w:tcW w:type="dxa" w:w="3600"/>
            <w:shd w:val="clear" w:color="auto" w:fill="F5EFE4"/>
          </w:tcPr>
          <w:p>
            <w:pPr>
              <w:spacing w:before="40" w:after="40"/>
            </w:pPr>
            <w:r/>
            <w:r>
              <w:rPr>
                <w:b w:val="0"/>
                <w:sz w:val="18"/>
              </w:rPr>
              <w:t>24-hour stale-serve cache already covers this</w:t>
            </w:r>
          </w:p>
        </w:tc>
      </w:tr>
      <w:tr>
        <w:tc>
          <w:tcPr>
            <w:tcW w:type="dxa" w:w="2664"/>
          </w:tcPr>
          <w:p>
            <w:pPr>
              <w:spacing w:before="40" w:after="40"/>
            </w:pPr>
            <w:r/>
            <w:r>
              <w:rPr>
                <w:b w:val="0"/>
                <w:sz w:val="18"/>
              </w:rPr>
              <w:t>Reel abuse — many long video submissions</w:t>
            </w:r>
          </w:p>
        </w:tc>
        <w:tc>
          <w:tcPr>
            <w:tcW w:type="dxa" w:w="2160"/>
          </w:tcPr>
          <w:p>
            <w:pPr>
              <w:spacing w:before="40" w:after="40"/>
            </w:pPr>
            <w:r/>
            <w:r>
              <w:rPr>
                <w:b w:val="0"/>
                <w:sz w:val="18"/>
              </w:rPr>
              <w:t>Medium — CPU and storage</w:t>
            </w:r>
          </w:p>
        </w:tc>
        <w:tc>
          <w:tcPr>
            <w:tcW w:type="dxa" w:w="1224"/>
          </w:tcPr>
          <w:p>
            <w:pPr>
              <w:spacing w:before="40" w:after="40"/>
            </w:pPr>
            <w:r/>
            <w:r>
              <w:rPr>
                <w:b w:val="0"/>
                <w:sz w:val="18"/>
              </w:rPr>
              <w:t>Low–Medium</w:t>
            </w:r>
          </w:p>
        </w:tc>
        <w:tc>
          <w:tcPr>
            <w:tcW w:type="dxa" w:w="3600"/>
          </w:tcPr>
          <w:p>
            <w:pPr>
              <w:spacing w:before="40" w:after="40"/>
            </w:pPr>
            <w:r/>
            <w:r>
              <w:rPr>
                <w:b w:val="0"/>
                <w:sz w:val="18"/>
              </w:rPr>
              <w:t>60s audio / 90s video caps and a 120s processing timeout already enforced</w:t>
            </w:r>
          </w:p>
        </w:tc>
      </w:tr>
    </w:tbl>
    <w:p>
      <w:pPr>
        <w:spacing w:after="80"/>
      </w:pPr>
    </w:p>
    <w:p>
      <w:r>
        <w:br w:type="page"/>
      </w:r>
    </w:p>
    <w:p>
      <w:pPr>
        <w:pStyle w:val="Heading1"/>
        <w:spacing w:before="320" w:after="120"/>
      </w:pPr>
      <w:r>
        <w:rPr>
          <w:color w:val="3F0E4C"/>
          <w:sz w:val="32"/>
        </w:rPr>
        <w:t>8. Cost-Reduction Levers</w:t>
      </w:r>
    </w:p>
    <w:p>
      <w:pPr>
        <w:pStyle w:val="Heading2"/>
        <w:spacing w:before="240" w:after="80"/>
      </w:pPr>
      <w:r>
        <w:rPr>
          <w:color w:val="7B3A8F"/>
          <w:sz w:val="25"/>
        </w:rPr>
        <w:t>8.1 Already built in — protect these</w:t>
      </w:r>
    </w:p>
    <w:p>
      <w:pPr>
        <w:spacing w:after="120"/>
      </w:pPr>
      <w:r>
        <w:rPr>
          <w:b w:val="0"/>
          <w:i w:val="0"/>
          <w:sz w:val="20"/>
        </w:rPr>
        <w:t>Each of the following is already implemented and is actively holding the bill down. They are listed so that nobody removes one without understanding what it costs.</w:t>
      </w:r>
    </w:p>
    <w:tbl>
      <w:tblPr>
        <w:tblStyle w:val="TableGrid"/>
        <w:tblW w:type="auto" w:w="0"/>
        <w:jc w:val="center"/>
        <w:tblLayout w:type="fixed"/>
        <w:tblLook w:firstColumn="1" w:firstRow="1" w:lastColumn="0" w:lastRow="0" w:noHBand="0" w:noVBand="1" w:val="04A0"/>
      </w:tblPr>
      <w:tblGrid>
        <w:gridCol w:w="4968"/>
        <w:gridCol w:w="4968"/>
      </w:tblGrid>
      <w:tr>
        <w:tc>
          <w:tcPr>
            <w:tcW w:type="dxa" w:w="5760"/>
            <w:shd w:val="clear" w:color="auto" w:fill="3F0E4C"/>
          </w:tcPr>
          <w:p>
            <w:pPr>
              <w:spacing w:before="40" w:after="40"/>
            </w:pPr>
            <w:r/>
            <w:r>
              <w:rPr>
                <w:b/>
                <w:color w:val="FFFFFF"/>
                <w:sz w:val="18"/>
              </w:rPr>
              <w:t>Mechanism</w:t>
            </w:r>
          </w:p>
        </w:tc>
        <w:tc>
          <w:tcPr>
            <w:tcW w:type="dxa" w:w="3888"/>
            <w:shd w:val="clear" w:color="auto" w:fill="3F0E4C"/>
          </w:tcPr>
          <w:p>
            <w:pPr>
              <w:spacing w:before="40" w:after="40"/>
            </w:pPr>
            <w:r/>
            <w:r>
              <w:rPr>
                <w:b/>
                <w:color w:val="FFFFFF"/>
                <w:sz w:val="18"/>
              </w:rPr>
              <w:t>Value</w:t>
            </w:r>
          </w:p>
        </w:tc>
      </w:tr>
      <w:tr>
        <w:tc>
          <w:tcPr>
            <w:tcW w:type="dxa" w:w="5760"/>
          </w:tcPr>
          <w:p>
            <w:pPr>
              <w:spacing w:before="40" w:after="40"/>
            </w:pPr>
            <w:r/>
            <w:r>
              <w:rPr>
                <w:b w:val="0"/>
                <w:sz w:val="18"/>
              </w:rPr>
              <w:t>Merchant URL resolved on click rather than for every search result</w:t>
            </w:r>
          </w:p>
        </w:tc>
        <w:tc>
          <w:tcPr>
            <w:tcW w:type="dxa" w:w="3888"/>
          </w:tcPr>
          <w:p>
            <w:pPr>
              <w:spacing w:before="40" w:after="40"/>
            </w:pPr>
            <w:r/>
            <w:r>
              <w:rPr>
                <w:b w:val="0"/>
                <w:sz w:val="18"/>
              </w:rPr>
              <w:t>Roughly 40× on the SerpApi line</w:t>
            </w:r>
          </w:p>
        </w:tc>
      </w:tr>
      <w:tr>
        <w:tc>
          <w:tcPr>
            <w:tcW w:type="dxa" w:w="5760"/>
            <w:shd w:val="clear" w:color="auto" w:fill="F5EFE4"/>
          </w:tcPr>
          <w:p>
            <w:pPr>
              <w:spacing w:before="40" w:after="40"/>
            </w:pPr>
            <w:r/>
            <w:r>
              <w:rPr>
                <w:b w:val="0"/>
                <w:sz w:val="18"/>
              </w:rPr>
              <w:t>Product search results cached 15 minutes, served up to 24 hours stale</w:t>
            </w:r>
          </w:p>
        </w:tc>
        <w:tc>
          <w:tcPr>
            <w:tcW w:type="dxa" w:w="3888"/>
            <w:shd w:val="clear" w:color="auto" w:fill="F5EFE4"/>
          </w:tcPr>
          <w:p>
            <w:pPr>
              <w:spacing w:before="40" w:after="40"/>
            </w:pPr>
            <w:r/>
            <w:r>
              <w:rPr>
                <w:b w:val="0"/>
                <w:sz w:val="18"/>
              </w:rPr>
              <w:t>50–70% of search calls avoided</w:t>
            </w:r>
          </w:p>
        </w:tc>
      </w:tr>
      <w:tr>
        <w:tc>
          <w:tcPr>
            <w:tcW w:type="dxa" w:w="5760"/>
          </w:tcPr>
          <w:p>
            <w:pPr>
              <w:spacing w:before="40" w:after="40"/>
            </w:pPr>
            <w:r/>
            <w:r>
              <w:rPr>
                <w:b w:val="0"/>
                <w:sz w:val="18"/>
              </w:rPr>
              <w:t>Affiliate link cached permanently against the product after first resolution</w:t>
            </w:r>
          </w:p>
        </w:tc>
        <w:tc>
          <w:tcPr>
            <w:tcW w:type="dxa" w:w="3888"/>
          </w:tcPr>
          <w:p>
            <w:pPr>
              <w:spacing w:before="40" w:after="40"/>
            </w:pPr>
            <w:r/>
            <w:r>
              <w:rPr>
                <w:b w:val="0"/>
                <w:sz w:val="18"/>
              </w:rPr>
              <w:t>First click ~2 s; every later click 12 ms and no vendor call</w:t>
            </w:r>
          </w:p>
        </w:tc>
      </w:tr>
      <w:tr>
        <w:tc>
          <w:tcPr>
            <w:tcW w:type="dxa" w:w="5760"/>
            <w:shd w:val="clear" w:color="auto" w:fill="F5EFE4"/>
          </w:tcPr>
          <w:p>
            <w:pPr>
              <w:spacing w:before="40" w:after="40"/>
            </w:pPr>
            <w:r/>
            <w:r>
              <w:rPr>
                <w:b w:val="0"/>
                <w:sz w:val="18"/>
              </w:rPr>
              <w:t>Product images hotlinked from merchant origins, never stored</w:t>
            </w:r>
          </w:p>
        </w:tc>
        <w:tc>
          <w:tcPr>
            <w:tcW w:type="dxa" w:w="3888"/>
            <w:shd w:val="clear" w:color="auto" w:fill="F5EFE4"/>
          </w:tcPr>
          <w:p>
            <w:pPr>
              <w:spacing w:before="40" w:after="40"/>
            </w:pPr>
            <w:r/>
            <w:r>
              <w:rPr>
                <w:b w:val="0"/>
                <w:sz w:val="18"/>
              </w:rPr>
              <w:t>Removes the largest potential media cost entirely</w:t>
            </w:r>
          </w:p>
        </w:tc>
      </w:tr>
      <w:tr>
        <w:tc>
          <w:tcPr>
            <w:tcW w:type="dxa" w:w="5760"/>
          </w:tcPr>
          <w:p>
            <w:pPr>
              <w:spacing w:before="40" w:after="40"/>
            </w:pPr>
            <w:r/>
            <w:r>
              <w:rPr>
                <w:b w:val="0"/>
                <w:sz w:val="18"/>
              </w:rPr>
              <w:t>Analytics events and notifications expire automatically after 180 days</w:t>
            </w:r>
          </w:p>
        </w:tc>
        <w:tc>
          <w:tcPr>
            <w:tcW w:type="dxa" w:w="3888"/>
          </w:tcPr>
          <w:p>
            <w:pPr>
              <w:spacing w:before="40" w:after="40"/>
            </w:pPr>
            <w:r/>
            <w:r>
              <w:rPr>
                <w:b w:val="0"/>
                <w:sz w:val="18"/>
              </w:rPr>
              <w:t>Bounds the two largest database collections</w:t>
            </w:r>
          </w:p>
        </w:tc>
      </w:tr>
      <w:tr>
        <w:tc>
          <w:tcPr>
            <w:tcW w:type="dxa" w:w="5760"/>
            <w:shd w:val="clear" w:color="auto" w:fill="F5EFE4"/>
          </w:tcPr>
          <w:p>
            <w:pPr>
              <w:spacing w:before="40" w:after="40"/>
            </w:pPr>
            <w:r/>
            <w:r>
              <w:rPr>
                <w:b w:val="0"/>
                <w:sz w:val="18"/>
              </w:rPr>
              <w:t>Daily digest and overnight quiet hours for low-signal notifications</w:t>
            </w:r>
          </w:p>
        </w:tc>
        <w:tc>
          <w:tcPr>
            <w:tcW w:type="dxa" w:w="3888"/>
            <w:shd w:val="clear" w:color="auto" w:fill="F5EFE4"/>
          </w:tcPr>
          <w:p>
            <w:pPr>
              <w:spacing w:before="40" w:after="40"/>
            </w:pPr>
            <w:r/>
            <w:r>
              <w:rPr>
                <w:b w:val="0"/>
                <w:sz w:val="18"/>
              </w:rPr>
              <w:t>Reduces email and SMS volume, not merely their timing</w:t>
            </w:r>
          </w:p>
        </w:tc>
      </w:tr>
      <w:tr>
        <w:tc>
          <w:tcPr>
            <w:tcW w:type="dxa" w:w="5760"/>
          </w:tcPr>
          <w:p>
            <w:pPr>
              <w:spacing w:before="40" w:after="40"/>
            </w:pPr>
            <w:r/>
            <w:r>
              <w:rPr>
                <w:b w:val="0"/>
                <w:sz w:val="18"/>
              </w:rPr>
              <w:t>Rate limiter and circuit breaker on the catalogue provider</w:t>
            </w:r>
          </w:p>
        </w:tc>
        <w:tc>
          <w:tcPr>
            <w:tcW w:type="dxa" w:w="3888"/>
          </w:tcPr>
          <w:p>
            <w:pPr>
              <w:spacing w:before="40" w:after="40"/>
            </w:pPr>
            <w:r/>
            <w:r>
              <w:rPr>
                <w:b w:val="0"/>
                <w:sz w:val="18"/>
              </w:rPr>
              <w:t>Prevents runaway vendor spend during an incident</w:t>
            </w:r>
          </w:p>
        </w:tc>
      </w:tr>
      <w:tr>
        <w:tc>
          <w:tcPr>
            <w:tcW w:type="dxa" w:w="5760"/>
            <w:shd w:val="clear" w:color="auto" w:fill="F5EFE4"/>
          </w:tcPr>
          <w:p>
            <w:pPr>
              <w:spacing w:before="40" w:after="40"/>
            </w:pPr>
            <w:r/>
            <w:r>
              <w:rPr>
                <w:b w:val="0"/>
                <w:sz w:val="18"/>
              </w:rPr>
              <w:t>Server-enforced caps on reel audio, video length and processing time</w:t>
            </w:r>
          </w:p>
        </w:tc>
        <w:tc>
          <w:tcPr>
            <w:tcW w:type="dxa" w:w="3888"/>
            <w:shd w:val="clear" w:color="auto" w:fill="F5EFE4"/>
          </w:tcPr>
          <w:p>
            <w:pPr>
              <w:spacing w:before="40" w:after="40"/>
            </w:pPr>
            <w:r/>
            <w:r>
              <w:rPr>
                <w:b w:val="0"/>
                <w:sz w:val="18"/>
              </w:rPr>
              <w:t>Bounds the most CPU- and storage-intensive feature</w:t>
            </w:r>
          </w:p>
        </w:tc>
      </w:tr>
    </w:tbl>
    <w:p>
      <w:pPr>
        <w:spacing w:after="80"/>
      </w:pPr>
    </w:p>
    <w:p>
      <w:pPr>
        <w:pStyle w:val="Heading2"/>
        <w:spacing w:before="240" w:after="80"/>
      </w:pPr>
      <w:r>
        <w:rPr>
          <w:color w:val="7B3A8F"/>
          <w:sz w:val="25"/>
        </w:rPr>
        <w:t>8.2 Available, not yet taken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4320"/>
            <w:shd w:val="clear" w:color="auto" w:fill="3F0E4C"/>
          </w:tcPr>
          <w:p>
            <w:pPr>
              <w:spacing w:before="40" w:after="40"/>
            </w:pPr>
            <w:r/>
            <w:r>
              <w:rPr>
                <w:b/>
                <w:color w:val="FFFFFF"/>
                <w:sz w:val="18"/>
              </w:rPr>
              <w:t>Lever</w:t>
            </w:r>
          </w:p>
        </w:tc>
        <w:tc>
          <w:tcPr>
            <w:tcW w:type="dxa" w:w="1080"/>
            <w:shd w:val="clear" w:color="auto" w:fill="3F0E4C"/>
          </w:tcPr>
          <w:p>
            <w:pPr>
              <w:spacing w:before="40" w:after="40"/>
            </w:pPr>
            <w:r/>
            <w:r>
              <w:rPr>
                <w:b/>
                <w:color w:val="FFFFFF"/>
                <w:sz w:val="18"/>
              </w:rPr>
              <w:t>Effort</w:t>
            </w:r>
          </w:p>
        </w:tc>
        <w:tc>
          <w:tcPr>
            <w:tcW w:type="dxa" w:w="2016"/>
            <w:shd w:val="clear" w:color="auto" w:fill="3F0E4C"/>
          </w:tcPr>
          <w:p>
            <w:pPr>
              <w:spacing w:before="40" w:after="40"/>
            </w:pPr>
            <w:r/>
            <w:r>
              <w:rPr>
                <w:b/>
                <w:color w:val="FFFFFF"/>
                <w:sz w:val="18"/>
              </w:rPr>
              <w:t>Saving at S2</w:t>
            </w:r>
          </w:p>
        </w:tc>
        <w:tc>
          <w:tcPr>
            <w:tcW w:type="dxa" w:w="2016"/>
            <w:shd w:val="clear" w:color="auto" w:fill="3F0E4C"/>
          </w:tcPr>
          <w:p>
            <w:pPr>
              <w:spacing w:before="40" w:after="40"/>
            </w:pPr>
            <w:r/>
            <w:r>
              <w:rPr>
                <w:b/>
                <w:color w:val="FFFFFF"/>
                <w:sz w:val="18"/>
              </w:rPr>
              <w:t>Saving at S3</w:t>
            </w:r>
          </w:p>
        </w:tc>
      </w:tr>
      <w:tr>
        <w:tc>
          <w:tcPr>
            <w:tcW w:type="dxa" w:w="4320"/>
          </w:tcPr>
          <w:p>
            <w:pPr>
              <w:spacing w:before="40" w:after="40"/>
            </w:pPr>
            <w:r/>
            <w:r>
              <w:rPr>
                <w:b w:val="0"/>
                <w:sz w:val="18"/>
              </w:rPr>
              <w:t>Automatic format and quality on all Cloudinary delivery</w:t>
            </w:r>
          </w:p>
        </w:tc>
        <w:tc>
          <w:tcPr>
            <w:tcW w:type="dxa" w:w="1080"/>
          </w:tcPr>
          <w:p>
            <w:pPr>
              <w:spacing w:before="40" w:after="40"/>
            </w:pPr>
            <w:r/>
            <w:r>
              <w:rPr>
                <w:b w:val="0"/>
                <w:sz w:val="18"/>
              </w:rPr>
              <w:t>Low</w:t>
            </w:r>
          </w:p>
        </w:tc>
        <w:tc>
          <w:tcPr>
            <w:tcW w:type="dxa" w:w="2016"/>
          </w:tcPr>
          <w:p>
            <w:pPr>
              <w:spacing w:before="40" w:after="40"/>
              <w:jc w:val="right"/>
            </w:pPr>
            <w:r/>
            <w:r>
              <w:rPr>
                <w:b w:val="0"/>
                <w:sz w:val="18"/>
              </w:rPr>
              <w:t>~₹13,000/mo</w:t>
            </w:r>
          </w:p>
        </w:tc>
        <w:tc>
          <w:tcPr>
            <w:tcW w:type="dxa" w:w="2016"/>
          </w:tcPr>
          <w:p>
            <w:pPr>
              <w:spacing w:before="40" w:after="40"/>
              <w:jc w:val="right"/>
            </w:pPr>
            <w:r/>
            <w:r>
              <w:rPr>
                <w:b w:val="0"/>
                <w:sz w:val="18"/>
              </w:rPr>
              <w:t>~₹48,000/mo</w:t>
            </w:r>
          </w:p>
        </w:tc>
      </w:tr>
      <w:tr>
        <w:tc>
          <w:tcPr>
            <w:tcW w:type="dxa" w:w="4320"/>
            <w:shd w:val="clear" w:color="auto" w:fill="F5EFE4"/>
          </w:tcPr>
          <w:p>
            <w:pPr>
              <w:spacing w:before="40" w:after="40"/>
            </w:pPr>
            <w:r/>
            <w:r>
              <w:rPr>
                <w:b w:val="0"/>
                <w:sz w:val="18"/>
              </w:rPr>
              <w:t>Cap reel output resolution and bitrate</w:t>
            </w:r>
          </w:p>
        </w:tc>
        <w:tc>
          <w:tcPr>
            <w:tcW w:type="dxa" w:w="1080"/>
            <w:shd w:val="clear" w:color="auto" w:fill="F5EFE4"/>
          </w:tcPr>
          <w:p>
            <w:pPr>
              <w:spacing w:before="40" w:after="40"/>
            </w:pPr>
            <w:r/>
            <w:r>
              <w:rPr>
                <w:b w:val="0"/>
                <w:sz w:val="18"/>
              </w:rPr>
              <w:t>Low</w:t>
            </w:r>
          </w:p>
        </w:tc>
        <w:tc>
          <w:tcPr>
            <w:tcW w:type="dxa" w:w="2016"/>
            <w:shd w:val="clear" w:color="auto" w:fill="F5EFE4"/>
          </w:tcPr>
          <w:p>
            <w:pPr>
              <w:spacing w:before="40" w:after="40"/>
              <w:jc w:val="right"/>
            </w:pPr>
            <w:r/>
            <w:r>
              <w:rPr>
                <w:b w:val="0"/>
                <w:sz w:val="18"/>
              </w:rPr>
              <w:t>~₹5,400/mo</w:t>
            </w:r>
          </w:p>
        </w:tc>
        <w:tc>
          <w:tcPr>
            <w:tcW w:type="dxa" w:w="2016"/>
            <w:shd w:val="clear" w:color="auto" w:fill="F5EFE4"/>
          </w:tcPr>
          <w:p>
            <w:pPr>
              <w:spacing w:before="40" w:after="40"/>
              <w:jc w:val="right"/>
            </w:pPr>
            <w:r/>
            <w:r>
              <w:rPr>
                <w:b w:val="0"/>
                <w:sz w:val="18"/>
              </w:rPr>
              <w:t>~₹21,500/mo</w:t>
            </w:r>
          </w:p>
        </w:tc>
      </w:tr>
      <w:tr>
        <w:tc>
          <w:tcPr>
            <w:tcW w:type="dxa" w:w="4320"/>
          </w:tcPr>
          <w:p>
            <w:pPr>
              <w:spacing w:before="40" w:after="40"/>
            </w:pPr>
            <w:r/>
            <w:r>
              <w:rPr>
                <w:b w:val="0"/>
                <w:sz w:val="18"/>
              </w:rPr>
              <w:t>Prune abandoned uploads and orphaned derivatives</w:t>
            </w:r>
          </w:p>
        </w:tc>
        <w:tc>
          <w:tcPr>
            <w:tcW w:type="dxa" w:w="1080"/>
          </w:tcPr>
          <w:p>
            <w:pPr>
              <w:spacing w:before="40" w:after="40"/>
            </w:pPr>
            <w:r/>
            <w:r>
              <w:rPr>
                <w:b w:val="0"/>
                <w:sz w:val="18"/>
              </w:rPr>
              <w:t>Medium</w:t>
            </w:r>
          </w:p>
        </w:tc>
        <w:tc>
          <w:tcPr>
            <w:tcW w:type="dxa" w:w="2016"/>
          </w:tcPr>
          <w:p>
            <w:pPr>
              <w:spacing w:before="40" w:after="40"/>
              <w:jc w:val="right"/>
            </w:pPr>
            <w:r/>
            <w:r>
              <w:rPr>
                <w:b w:val="0"/>
                <w:sz w:val="18"/>
              </w:rPr>
              <w:t>~₹4,400/mo</w:t>
            </w:r>
          </w:p>
        </w:tc>
        <w:tc>
          <w:tcPr>
            <w:tcW w:type="dxa" w:w="2016"/>
          </w:tcPr>
          <w:p>
            <w:pPr>
              <w:spacing w:before="40" w:after="40"/>
              <w:jc w:val="right"/>
            </w:pPr>
            <w:r/>
            <w:r>
              <w:rPr>
                <w:b w:val="0"/>
                <w:sz w:val="18"/>
              </w:rPr>
              <w:t>~₹19,200/mo</w:t>
            </w:r>
          </w:p>
        </w:tc>
      </w:tr>
      <w:tr>
        <w:tc>
          <w:tcPr>
            <w:tcW w:type="dxa" w:w="4320"/>
            <w:shd w:val="clear" w:color="auto" w:fill="F5EFE4"/>
          </w:tcPr>
          <w:p>
            <w:pPr>
              <w:spacing w:before="40" w:after="40"/>
            </w:pPr>
            <w:r/>
            <w:r>
              <w:rPr>
                <w:b w:val="0"/>
                <w:sz w:val="18"/>
              </w:rPr>
              <w:t>Move OTP to WhatsApp or silent verification</w:t>
            </w:r>
          </w:p>
        </w:tc>
        <w:tc>
          <w:tcPr>
            <w:tcW w:type="dxa" w:w="1080"/>
            <w:shd w:val="clear" w:color="auto" w:fill="F5EFE4"/>
          </w:tcPr>
          <w:p>
            <w:pPr>
              <w:spacing w:before="40" w:after="40"/>
            </w:pPr>
            <w:r/>
            <w:r>
              <w:rPr>
                <w:b w:val="0"/>
                <w:sz w:val="18"/>
              </w:rPr>
              <w:t>Medium</w:t>
            </w:r>
          </w:p>
        </w:tc>
        <w:tc>
          <w:tcPr>
            <w:tcW w:type="dxa" w:w="2016"/>
            <w:shd w:val="clear" w:color="auto" w:fill="F5EFE4"/>
          </w:tcPr>
          <w:p>
            <w:pPr>
              <w:spacing w:before="40" w:after="40"/>
              <w:jc w:val="right"/>
            </w:pPr>
            <w:r/>
            <w:r>
              <w:rPr>
                <w:b w:val="0"/>
                <w:sz w:val="18"/>
              </w:rPr>
              <w:t>~₹6,000/mo</w:t>
            </w:r>
          </w:p>
        </w:tc>
        <w:tc>
          <w:tcPr>
            <w:tcW w:type="dxa" w:w="2016"/>
            <w:shd w:val="clear" w:color="auto" w:fill="F5EFE4"/>
          </w:tcPr>
          <w:p>
            <w:pPr>
              <w:spacing w:before="40" w:after="40"/>
              <w:jc w:val="right"/>
            </w:pPr>
            <w:r/>
            <w:r>
              <w:rPr>
                <w:b w:val="0"/>
                <w:sz w:val="18"/>
              </w:rPr>
              <w:t>~₹30,000/mo</w:t>
            </w:r>
          </w:p>
        </w:tc>
      </w:tr>
      <w:tr>
        <w:tc>
          <w:tcPr>
            <w:tcW w:type="dxa" w:w="4320"/>
          </w:tcPr>
          <w:p>
            <w:pPr>
              <w:spacing w:before="40" w:after="40"/>
            </w:pPr>
            <w:r/>
            <w:r>
              <w:rPr>
                <w:b w:val="0"/>
                <w:sz w:val="18"/>
              </w:rPr>
              <w:t>Pay VPS annually rather than monthly</w:t>
            </w:r>
          </w:p>
        </w:tc>
        <w:tc>
          <w:tcPr>
            <w:tcW w:type="dxa" w:w="1080"/>
          </w:tcPr>
          <w:p>
            <w:pPr>
              <w:spacing w:before="40" w:after="40"/>
            </w:pPr>
            <w:r/>
            <w:r>
              <w:rPr>
                <w:b w:val="0"/>
                <w:sz w:val="18"/>
              </w:rPr>
              <w:t>Low</w:t>
            </w:r>
          </w:p>
        </w:tc>
        <w:tc>
          <w:tcPr>
            <w:tcW w:type="dxa" w:w="2016"/>
          </w:tcPr>
          <w:p>
            <w:pPr>
              <w:spacing w:before="40" w:after="40"/>
              <w:jc w:val="right"/>
            </w:pPr>
            <w:r/>
            <w:r>
              <w:rPr>
                <w:b w:val="0"/>
                <w:sz w:val="18"/>
              </w:rPr>
              <w:t>~₹1,500/mo</w:t>
            </w:r>
          </w:p>
        </w:tc>
        <w:tc>
          <w:tcPr>
            <w:tcW w:type="dxa" w:w="2016"/>
          </w:tcPr>
          <w:p>
            <w:pPr>
              <w:spacing w:before="40" w:after="40"/>
              <w:jc w:val="right"/>
            </w:pPr>
            <w:r/>
            <w:r>
              <w:rPr>
                <w:b w:val="0"/>
                <w:sz w:val="18"/>
              </w:rPr>
              <w:t>~₹6,000/mo</w:t>
            </w:r>
          </w:p>
        </w:tc>
      </w:tr>
      <w:tr>
        <w:tc>
          <w:tcPr>
            <w:tcW w:type="dxa" w:w="4320"/>
            <w:shd w:val="clear" w:color="auto" w:fill="F5EFE4"/>
          </w:tcPr>
          <w:p>
            <w:pPr>
              <w:spacing w:before="40" w:after="40"/>
            </w:pPr>
            <w:r/>
            <w:r>
              <w:rPr>
                <w:b w:val="0"/>
                <w:sz w:val="18"/>
              </w:rPr>
              <w:t>Annual prepayment on USD vendors (rate lock + discount)</w:t>
            </w:r>
          </w:p>
        </w:tc>
        <w:tc>
          <w:tcPr>
            <w:tcW w:type="dxa" w:w="1080"/>
            <w:shd w:val="clear" w:color="auto" w:fill="F5EFE4"/>
          </w:tcPr>
          <w:p>
            <w:pPr>
              <w:spacing w:before="40" w:after="40"/>
            </w:pPr>
            <w:r/>
            <w:r>
              <w:rPr>
                <w:b w:val="0"/>
                <w:sz w:val="18"/>
              </w:rPr>
              <w:t>Low</w:t>
            </w:r>
          </w:p>
        </w:tc>
        <w:tc>
          <w:tcPr>
            <w:tcW w:type="dxa" w:w="2016"/>
            <w:shd w:val="clear" w:color="auto" w:fill="F5EFE4"/>
          </w:tcPr>
          <w:p>
            <w:pPr>
              <w:spacing w:before="40" w:after="40"/>
              <w:jc w:val="right"/>
            </w:pPr>
            <w:r/>
            <w:r>
              <w:rPr>
                <w:b w:val="0"/>
                <w:sz w:val="18"/>
              </w:rPr>
              <w:t>~₹8,700/mo</w:t>
            </w:r>
          </w:p>
        </w:tc>
        <w:tc>
          <w:tcPr>
            <w:tcW w:type="dxa" w:w="2016"/>
            <w:shd w:val="clear" w:color="auto" w:fill="F5EFE4"/>
          </w:tcPr>
          <w:p>
            <w:pPr>
              <w:spacing w:before="40" w:after="40"/>
              <w:jc w:val="right"/>
            </w:pPr>
            <w:r/>
            <w:r>
              <w:rPr>
                <w:b w:val="0"/>
                <w:sz w:val="18"/>
              </w:rPr>
              <w:t>~₹32,500/mo</w:t>
            </w:r>
          </w:p>
        </w:tc>
      </w:tr>
      <w:tr>
        <w:tc>
          <w:tcPr>
            <w:tcW w:type="dxa" w:w="4320"/>
          </w:tcPr>
          <w:p>
            <w:pPr>
              <w:spacing w:before="40" w:after="40"/>
            </w:pPr>
            <w:r/>
            <w:r>
              <w:rPr>
                <w:b w:val="0"/>
                <w:sz w:val="18"/>
              </w:rPr>
              <w:t>Build iOS on release candidates only, not every push</w:t>
            </w:r>
          </w:p>
        </w:tc>
        <w:tc>
          <w:tcPr>
            <w:tcW w:type="dxa" w:w="1080"/>
          </w:tcPr>
          <w:p>
            <w:pPr>
              <w:spacing w:before="40" w:after="40"/>
            </w:pPr>
            <w:r/>
            <w:r>
              <w:rPr>
                <w:b w:val="0"/>
                <w:sz w:val="18"/>
              </w:rPr>
              <w:t>Low</w:t>
            </w:r>
          </w:p>
        </w:tc>
        <w:tc>
          <w:tcPr>
            <w:tcW w:type="dxa" w:w="2016"/>
          </w:tcPr>
          <w:p>
            <w:pPr>
              <w:spacing w:before="40" w:after="40"/>
              <w:jc w:val="right"/>
            </w:pPr>
            <w:r/>
            <w:r>
              <w:rPr>
                <w:b w:val="0"/>
                <w:sz w:val="18"/>
              </w:rPr>
              <w:t>~₹1,950/mo</w:t>
            </w:r>
          </w:p>
        </w:tc>
        <w:tc>
          <w:tcPr>
            <w:tcW w:type="dxa" w:w="2016"/>
          </w:tcPr>
          <w:p>
            <w:pPr>
              <w:spacing w:before="40" w:after="40"/>
              <w:jc w:val="right"/>
            </w:pPr>
            <w:r/>
            <w:r>
              <w:rPr>
                <w:b w:val="0"/>
                <w:sz w:val="18"/>
              </w:rPr>
              <w:t>~₹3,800/mo</w:t>
            </w:r>
          </w:p>
        </w:tc>
      </w:tr>
      <w:tr>
        <w:tc>
          <w:tcPr>
            <w:tcW w:type="dxa" w:w="4320"/>
            <w:shd w:val="clear" w:color="auto" w:fill="F5EFE4"/>
          </w:tcPr>
          <w:p>
            <w:pPr>
              <w:spacing w:before="40" w:after="40"/>
            </w:pPr>
            <w:r/>
            <w:r>
              <w:rPr>
                <w:b w:val="0"/>
                <w:sz w:val="18"/>
              </w:rPr>
              <w:t>Negotiate SMS rate on committed volume</w:t>
            </w:r>
          </w:p>
        </w:tc>
        <w:tc>
          <w:tcPr>
            <w:tcW w:type="dxa" w:w="1080"/>
            <w:shd w:val="clear" w:color="auto" w:fill="F5EFE4"/>
          </w:tcPr>
          <w:p>
            <w:pPr>
              <w:spacing w:before="40" w:after="40"/>
            </w:pPr>
            <w:r/>
            <w:r>
              <w:rPr>
                <w:b w:val="0"/>
                <w:sz w:val="18"/>
              </w:rPr>
              <w:t>Low</w:t>
            </w:r>
          </w:p>
        </w:tc>
        <w:tc>
          <w:tcPr>
            <w:tcW w:type="dxa" w:w="2016"/>
            <w:shd w:val="clear" w:color="auto" w:fill="F5EFE4"/>
          </w:tcPr>
          <w:p>
            <w:pPr>
              <w:spacing w:before="40" w:after="40"/>
              <w:jc w:val="right"/>
            </w:pPr>
            <w:r/>
            <w:r>
              <w:rPr>
                <w:b w:val="0"/>
                <w:sz w:val="18"/>
              </w:rPr>
              <w:t>~₹1,200/mo</w:t>
            </w:r>
          </w:p>
        </w:tc>
        <w:tc>
          <w:tcPr>
            <w:tcW w:type="dxa" w:w="2016"/>
            <w:shd w:val="clear" w:color="auto" w:fill="F5EFE4"/>
          </w:tcPr>
          <w:p>
            <w:pPr>
              <w:spacing w:before="40" w:after="40"/>
              <w:jc w:val="right"/>
            </w:pPr>
            <w:r/>
            <w:r>
              <w:rPr>
                <w:b w:val="0"/>
                <w:sz w:val="18"/>
              </w:rPr>
              <w:t>~₹10,000/mo</w:t>
            </w:r>
          </w:p>
        </w:tc>
      </w:tr>
    </w:tbl>
    <w:p>
      <w:pPr>
        <w:spacing w:after="80"/>
      </w:pPr>
    </w:p>
    <w:p>
      <w:pPr>
        <w:spacing w:after="120"/>
      </w:pPr>
      <w:r>
        <w:rPr>
          <w:b/>
          <w:i w:val="0"/>
          <w:sz w:val="20"/>
        </w:rPr>
        <w:t>Taken together the low-effort items reduce the growth-phase run-rate by roughly 20% and the scale run-rate by roughly 21%, without changing anything a user would notice.</w:t>
      </w:r>
    </w:p>
    <w:p>
      <w:pPr>
        <w:pStyle w:val="Heading1"/>
        <w:spacing w:before="320" w:after="120"/>
      </w:pPr>
      <w:r>
        <w:rPr>
          <w:color w:val="3F0E4C"/>
          <w:sz w:val="32"/>
        </w:rPr>
        <w:t>9. What Is Not a Recurring Cost</w:t>
      </w:r>
    </w:p>
    <w:p>
      <w:pPr>
        <w:pStyle w:val="Heading2"/>
        <w:spacing w:before="240" w:after="80"/>
      </w:pPr>
      <w:r>
        <w:rPr>
          <w:color w:val="7B3A8F"/>
          <w:sz w:val="25"/>
        </w:rPr>
        <w:t>9.1 One-time charges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600"/>
            <w:shd w:val="clear" w:color="auto" w:fill="3F0E4C"/>
          </w:tcPr>
          <w:p>
            <w:pPr>
              <w:spacing w:before="40" w:after="40"/>
            </w:pPr>
            <w:r/>
            <w:r>
              <w:rPr>
                <w:b/>
                <w:color w:val="FFFFFF"/>
                <w:sz w:val="18"/>
              </w:rPr>
              <w:t>Item</w:t>
            </w:r>
          </w:p>
        </w:tc>
        <w:tc>
          <w:tcPr>
            <w:tcW w:type="dxa" w:w="2304"/>
            <w:shd w:val="clear" w:color="auto" w:fill="3F0E4C"/>
          </w:tcPr>
          <w:p>
            <w:pPr>
              <w:spacing w:before="40" w:after="40"/>
            </w:pPr>
            <w:r/>
            <w:r>
              <w:rPr>
                <w:b/>
                <w:color w:val="FFFFFF"/>
                <w:sz w:val="18"/>
              </w:rPr>
              <w:t>Cost</w:t>
            </w:r>
          </w:p>
        </w:tc>
        <w:tc>
          <w:tcPr>
            <w:tcW w:type="dxa" w:w="3744"/>
            <w:shd w:val="clear" w:color="auto" w:fill="3F0E4C"/>
          </w:tcPr>
          <w:p>
            <w:pPr>
              <w:spacing w:before="40" w:after="40"/>
            </w:pPr>
            <w:r/>
            <w:r>
              <w:rPr>
                <w:b/>
                <w:color w:val="FFFFFF"/>
                <w:sz w:val="18"/>
              </w:rPr>
              <w:t>Note</w:t>
            </w:r>
          </w:p>
        </w:tc>
      </w:tr>
      <w:tr>
        <w:tc>
          <w:tcPr>
            <w:tcW w:type="dxa" w:w="3600"/>
          </w:tcPr>
          <w:p>
            <w:pPr>
              <w:spacing w:before="40" w:after="40"/>
            </w:pPr>
            <w:r/>
            <w:r>
              <w:rPr>
                <w:b w:val="0"/>
                <w:sz w:val="18"/>
              </w:rPr>
              <w:t>Google Play Developer registration</w:t>
            </w:r>
          </w:p>
        </w:tc>
        <w:tc>
          <w:tcPr>
            <w:tcW w:type="dxa" w:w="2304"/>
          </w:tcPr>
          <w:p>
            <w:pPr>
              <w:spacing w:before="40" w:after="40"/>
            </w:pPr>
            <w:r/>
            <w:r>
              <w:rPr>
                <w:b w:val="0"/>
                <w:sz w:val="18"/>
              </w:rPr>
              <w:t>$25 ≈ ₹2,382</w:t>
            </w:r>
          </w:p>
        </w:tc>
        <w:tc>
          <w:tcPr>
            <w:tcW w:type="dxa" w:w="3744"/>
          </w:tcPr>
          <w:p>
            <w:pPr>
              <w:spacing w:before="40" w:after="40"/>
            </w:pPr>
            <w:r/>
            <w:r>
              <w:rPr>
                <w:b w:val="0"/>
                <w:sz w:val="18"/>
              </w:rPr>
              <w:t>One-time, lifetime</w:t>
            </w:r>
          </w:p>
        </w:tc>
      </w:tr>
      <w:tr>
        <w:tc>
          <w:tcPr>
            <w:tcW w:type="dxa" w:w="3600"/>
            <w:shd w:val="clear" w:color="auto" w:fill="F5EFE4"/>
          </w:tcPr>
          <w:p>
            <w:pPr>
              <w:spacing w:before="40" w:after="40"/>
            </w:pPr>
            <w:r/>
            <w:r>
              <w:rPr>
                <w:b w:val="0"/>
                <w:sz w:val="18"/>
              </w:rPr>
              <w:t>DLT principal-entity registration</w:t>
            </w:r>
          </w:p>
        </w:tc>
        <w:tc>
          <w:tcPr>
            <w:tcW w:type="dxa" w:w="2304"/>
            <w:shd w:val="clear" w:color="auto" w:fill="F5EFE4"/>
          </w:tcPr>
          <w:p>
            <w:pPr>
              <w:spacing w:before="40" w:after="40"/>
            </w:pPr>
            <w:r/>
            <w:r>
              <w:rPr>
                <w:b w:val="0"/>
                <w:sz w:val="18"/>
              </w:rPr>
              <w:t>≈ ₹5,900 + GST</w:t>
            </w:r>
          </w:p>
        </w:tc>
        <w:tc>
          <w:tcPr>
            <w:tcW w:type="dxa" w:w="3744"/>
            <w:shd w:val="clear" w:color="auto" w:fill="F5EFE4"/>
          </w:tcPr>
          <w:p>
            <w:pPr>
              <w:spacing w:before="40" w:after="40"/>
            </w:pPr>
            <w:r/>
            <w:r>
              <w:rPr>
                <w:b w:val="0"/>
                <w:sz w:val="18"/>
              </w:rPr>
              <w:t>One-time, payable to the telecom operator</w:t>
            </w:r>
          </w:p>
        </w:tc>
      </w:tr>
      <w:tr>
        <w:tc>
          <w:tcPr>
            <w:tcW w:type="dxa" w:w="3600"/>
          </w:tcPr>
          <w:p>
            <w:pPr>
              <w:spacing w:before="40" w:after="40"/>
            </w:pPr>
            <w:r/>
            <w:r>
              <w:rPr>
                <w:b w:val="0"/>
                <w:sz w:val="18"/>
              </w:rPr>
              <w:t>DLT header and template registration</w:t>
            </w:r>
          </w:p>
        </w:tc>
        <w:tc>
          <w:tcPr>
            <w:tcW w:type="dxa" w:w="2304"/>
          </w:tcPr>
          <w:p>
            <w:pPr>
              <w:spacing w:before="40" w:after="40"/>
            </w:pPr>
            <w:r/>
            <w:r>
              <w:rPr>
                <w:b w:val="0"/>
                <w:sz w:val="18"/>
              </w:rPr>
              <w:t>Nominal</w:t>
            </w:r>
          </w:p>
        </w:tc>
        <w:tc>
          <w:tcPr>
            <w:tcW w:type="dxa" w:w="3744"/>
          </w:tcPr>
          <w:p>
            <w:pPr>
              <w:spacing w:before="40" w:after="40"/>
            </w:pPr>
            <w:r/>
            <w:r>
              <w:rPr>
                <w:b w:val="0"/>
                <w:sz w:val="18"/>
              </w:rPr>
              <w:t>No approval fee; consumes engineering time</w:t>
            </w:r>
          </w:p>
        </w:tc>
      </w:tr>
      <w:tr>
        <w:tc>
          <w:tcPr>
            <w:tcW w:type="dxa" w:w="3600"/>
            <w:shd w:val="clear" w:color="auto" w:fill="F5EFE4"/>
          </w:tcPr>
          <w:p>
            <w:pPr>
              <w:spacing w:before="40" w:after="40"/>
            </w:pPr>
            <w:r/>
            <w:r>
              <w:rPr>
                <w:b w:val="0"/>
                <w:sz w:val="18"/>
              </w:rPr>
              <w:t>Initial VPS provisioning and hardening</w:t>
            </w:r>
          </w:p>
        </w:tc>
        <w:tc>
          <w:tcPr>
            <w:tcW w:type="dxa" w:w="2304"/>
            <w:shd w:val="clear" w:color="auto" w:fill="F5EFE4"/>
          </w:tcPr>
          <w:p>
            <w:pPr>
              <w:spacing w:before="40" w:after="40"/>
            </w:pPr>
            <w:r/>
            <w:r>
              <w:rPr>
                <w:b w:val="0"/>
                <w:sz w:val="18"/>
              </w:rPr>
              <w:t>—</w:t>
            </w:r>
          </w:p>
        </w:tc>
        <w:tc>
          <w:tcPr>
            <w:tcW w:type="dxa" w:w="3744"/>
            <w:shd w:val="clear" w:color="auto" w:fill="F5EFE4"/>
          </w:tcPr>
          <w:p>
            <w:pPr>
              <w:spacing w:before="40" w:after="40"/>
            </w:pPr>
            <w:r/>
            <w:r>
              <w:rPr>
                <w:b w:val="0"/>
                <w:sz w:val="18"/>
              </w:rPr>
              <w:t>Engineering time, not a vendor charge</w:t>
            </w:r>
          </w:p>
        </w:tc>
      </w:tr>
    </w:tbl>
    <w:p>
      <w:pPr>
        <w:spacing w:after="80"/>
      </w:pPr>
    </w:p>
    <w:p>
      <w:pPr>
        <w:pStyle w:val="Heading2"/>
        <w:spacing w:before="240" w:after="80"/>
      </w:pPr>
      <w:r>
        <w:rPr>
          <w:color w:val="7B3A8F"/>
          <w:sz w:val="25"/>
        </w:rPr>
        <w:t>9.2 Eliminated by the money-model decision</w:t>
      </w:r>
    </w:p>
    <w:p>
      <w:pPr>
        <w:spacing w:after="120"/>
      </w:pPr>
      <w:r>
        <w:rPr>
          <w:b w:val="0"/>
          <w:i w:val="0"/>
          <w:sz w:val="20"/>
        </w:rPr>
        <w:t>Wishtick is an affiliate business, not a payments business. No payment is ever collected, held or disbursed by the platform. A group gift is a shared ledger: contributors pledge an amount, one person buys through the affiliate link, and the others settle with that person directly outside the app.</w:t>
      </w:r>
    </w:p>
    <w:p>
      <w:pPr>
        <w:spacing w:after="120"/>
      </w:pPr>
      <w:r>
        <w:rPr>
          <w:b w:val="0"/>
          <w:i w:val="0"/>
          <w:sz w:val="20"/>
        </w:rPr>
        <w:t>This removes an entire category of recurring cost that a gifting platform would normally carry:</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4608"/>
            <w:shd w:val="clear" w:color="auto" w:fill="3F0E4C"/>
          </w:tcPr>
          <w:p>
            <w:pPr>
              <w:spacing w:before="40" w:after="40"/>
            </w:pPr>
            <w:r/>
            <w:r>
              <w:rPr>
                <w:b/>
                <w:color w:val="FFFFFF"/>
                <w:sz w:val="18"/>
              </w:rPr>
              <w:t>Would otherwise cost</w:t>
            </w:r>
          </w:p>
        </w:tc>
        <w:tc>
          <w:tcPr>
            <w:tcW w:type="dxa" w:w="2592"/>
            <w:shd w:val="clear" w:color="auto" w:fill="3F0E4C"/>
          </w:tcPr>
          <w:p>
            <w:pPr>
              <w:spacing w:before="40" w:after="40"/>
            </w:pPr>
            <w:r/>
            <w:r>
              <w:rPr>
                <w:b/>
                <w:color w:val="FFFFFF"/>
                <w:sz w:val="18"/>
              </w:rPr>
              <w:t>Typical rate</w:t>
            </w:r>
          </w:p>
        </w:tc>
        <w:tc>
          <w:tcPr>
            <w:tcW w:type="dxa" w:w="2448"/>
            <w:shd w:val="clear" w:color="auto" w:fill="3F0E4C"/>
          </w:tcPr>
          <w:p>
            <w:pPr>
              <w:spacing w:before="40" w:after="40"/>
            </w:pPr>
            <w:r/>
            <w:r>
              <w:rPr>
                <w:b/>
                <w:color w:val="FFFFFF"/>
                <w:sz w:val="18"/>
              </w:rPr>
              <w:t>Status</w:t>
            </w:r>
          </w:p>
        </w:tc>
      </w:tr>
      <w:tr>
        <w:tc>
          <w:tcPr>
            <w:tcW w:type="dxa" w:w="4608"/>
          </w:tcPr>
          <w:p>
            <w:pPr>
              <w:spacing w:before="40" w:after="40"/>
            </w:pPr>
            <w:r/>
            <w:r>
              <w:rPr>
                <w:b w:val="0"/>
                <w:sz w:val="18"/>
              </w:rPr>
              <w:t>Payment-gateway charges on contributions and purchases</w:t>
            </w:r>
          </w:p>
        </w:tc>
        <w:tc>
          <w:tcPr>
            <w:tcW w:type="dxa" w:w="2592"/>
          </w:tcPr>
          <w:p>
            <w:pPr>
              <w:spacing w:before="40" w:after="40"/>
            </w:pPr>
            <w:r/>
            <w:r>
              <w:rPr>
                <w:b w:val="0"/>
                <w:sz w:val="18"/>
              </w:rPr>
              <w:t>~2% + GST per transaction</w:t>
            </w:r>
          </w:p>
        </w:tc>
        <w:tc>
          <w:tcPr>
            <w:tcW w:type="dxa" w:w="2448"/>
          </w:tcPr>
          <w:p>
            <w:pPr>
              <w:spacing w:before="40" w:after="40"/>
            </w:pPr>
            <w:r/>
            <w:r>
              <w:rPr>
                <w:b w:val="0"/>
                <w:sz w:val="18"/>
              </w:rPr>
              <w:t>Not incurred</w:t>
            </w:r>
          </w:p>
        </w:tc>
      </w:tr>
      <w:tr>
        <w:tc>
          <w:tcPr>
            <w:tcW w:type="dxa" w:w="4608"/>
            <w:shd w:val="clear" w:color="auto" w:fill="F5EFE4"/>
          </w:tcPr>
          <w:p>
            <w:pPr>
              <w:spacing w:before="40" w:after="40"/>
            </w:pPr>
            <w:r/>
            <w:r>
              <w:rPr>
                <w:b w:val="0"/>
                <w:sz w:val="18"/>
              </w:rPr>
              <w:t>Payout and UPI disbursement fees</w:t>
            </w:r>
          </w:p>
        </w:tc>
        <w:tc>
          <w:tcPr>
            <w:tcW w:type="dxa" w:w="2592"/>
            <w:shd w:val="clear" w:color="auto" w:fill="F5EFE4"/>
          </w:tcPr>
          <w:p>
            <w:pPr>
              <w:spacing w:before="40" w:after="40"/>
            </w:pPr>
            <w:r/>
            <w:r>
              <w:rPr>
                <w:b w:val="0"/>
                <w:sz w:val="18"/>
              </w:rPr>
              <w:t>₹3–₹5 per payout</w:t>
            </w:r>
          </w:p>
        </w:tc>
        <w:tc>
          <w:tcPr>
            <w:tcW w:type="dxa" w:w="2448"/>
            <w:shd w:val="clear" w:color="auto" w:fill="F5EFE4"/>
          </w:tcPr>
          <w:p>
            <w:pPr>
              <w:spacing w:before="40" w:after="40"/>
            </w:pPr>
            <w:r/>
            <w:r>
              <w:rPr>
                <w:b w:val="0"/>
                <w:sz w:val="18"/>
              </w:rPr>
              <w:t>Not incurred</w:t>
            </w:r>
          </w:p>
        </w:tc>
      </w:tr>
      <w:tr>
        <w:tc>
          <w:tcPr>
            <w:tcW w:type="dxa" w:w="4608"/>
          </w:tcPr>
          <w:p>
            <w:pPr>
              <w:spacing w:before="40" w:after="40"/>
            </w:pPr>
            <w:r/>
            <w:r>
              <w:rPr>
                <w:b w:val="0"/>
                <w:sz w:val="18"/>
              </w:rPr>
              <w:t>Refund processing charges</w:t>
            </w:r>
          </w:p>
        </w:tc>
        <w:tc>
          <w:tcPr>
            <w:tcW w:type="dxa" w:w="2592"/>
          </w:tcPr>
          <w:p>
            <w:pPr>
              <w:spacing w:before="40" w:after="40"/>
            </w:pPr>
            <w:r/>
            <w:r>
              <w:rPr>
                <w:b w:val="0"/>
                <w:sz w:val="18"/>
              </w:rPr>
              <w:t>Gateway fee often non-refundable</w:t>
            </w:r>
          </w:p>
        </w:tc>
        <w:tc>
          <w:tcPr>
            <w:tcW w:type="dxa" w:w="2448"/>
          </w:tcPr>
          <w:p>
            <w:pPr>
              <w:spacing w:before="40" w:after="40"/>
            </w:pPr>
            <w:r/>
            <w:r>
              <w:rPr>
                <w:b w:val="0"/>
                <w:sz w:val="18"/>
              </w:rPr>
              <w:t>Not incurred</w:t>
            </w:r>
          </w:p>
        </w:tc>
      </w:tr>
      <w:tr>
        <w:tc>
          <w:tcPr>
            <w:tcW w:type="dxa" w:w="4608"/>
            <w:shd w:val="clear" w:color="auto" w:fill="F5EFE4"/>
          </w:tcPr>
          <w:p>
            <w:pPr>
              <w:spacing w:before="40" w:after="40"/>
            </w:pPr>
            <w:r/>
            <w:r>
              <w:rPr>
                <w:b w:val="0"/>
                <w:sz w:val="18"/>
              </w:rPr>
              <w:t>PCI-DSS scope, audit and compliance tooling</w:t>
            </w:r>
          </w:p>
        </w:tc>
        <w:tc>
          <w:tcPr>
            <w:tcW w:type="dxa" w:w="2592"/>
            <w:shd w:val="clear" w:color="auto" w:fill="F5EFE4"/>
          </w:tcPr>
          <w:p>
            <w:pPr>
              <w:spacing w:before="40" w:after="40"/>
            </w:pPr>
            <w:r/>
            <w:r>
              <w:rPr>
                <w:b w:val="0"/>
                <w:sz w:val="18"/>
              </w:rPr>
              <w:t>Substantial annual</w:t>
            </w:r>
          </w:p>
        </w:tc>
        <w:tc>
          <w:tcPr>
            <w:tcW w:type="dxa" w:w="2448"/>
            <w:shd w:val="clear" w:color="auto" w:fill="F5EFE4"/>
          </w:tcPr>
          <w:p>
            <w:pPr>
              <w:spacing w:before="40" w:after="40"/>
            </w:pPr>
            <w:r/>
            <w:r>
              <w:rPr>
                <w:b w:val="0"/>
                <w:sz w:val="18"/>
              </w:rPr>
              <w:t>Not incurred</w:t>
            </w:r>
          </w:p>
        </w:tc>
      </w:tr>
      <w:tr>
        <w:tc>
          <w:tcPr>
            <w:tcW w:type="dxa" w:w="4608"/>
          </w:tcPr>
          <w:p>
            <w:pPr>
              <w:spacing w:before="40" w:after="40"/>
            </w:pPr>
            <w:r/>
            <w:r>
              <w:rPr>
                <w:b w:val="0"/>
                <w:sz w:val="18"/>
              </w:rPr>
              <w:t>Settlement reconciliation and float management</w:t>
            </w:r>
          </w:p>
        </w:tc>
        <w:tc>
          <w:tcPr>
            <w:tcW w:type="dxa" w:w="2592"/>
          </w:tcPr>
          <w:p>
            <w:pPr>
              <w:spacing w:before="40" w:after="40"/>
            </w:pPr>
            <w:r/>
            <w:r>
              <w:rPr>
                <w:b w:val="0"/>
                <w:sz w:val="18"/>
              </w:rPr>
              <w:t>Ongoing operational</w:t>
            </w:r>
          </w:p>
        </w:tc>
        <w:tc>
          <w:tcPr>
            <w:tcW w:type="dxa" w:w="2448"/>
          </w:tcPr>
          <w:p>
            <w:pPr>
              <w:spacing w:before="40" w:after="40"/>
            </w:pPr>
            <w:r/>
            <w:r>
              <w:rPr>
                <w:b w:val="0"/>
                <w:sz w:val="18"/>
              </w:rPr>
              <w:t>Not incurred</w:t>
            </w:r>
          </w:p>
        </w:tc>
      </w:tr>
    </w:tbl>
    <w:p>
      <w:pPr>
        <w:spacing w:after="80"/>
      </w:pPr>
    </w:p>
    <w:p>
      <w:pPr>
        <w:spacing w:after="120"/>
      </w:pPr>
      <w:r>
        <w:rPr>
          <w:b/>
          <w:i w:val="0"/>
          <w:sz w:val="20"/>
        </w:rPr>
        <w:t>At growth-phase volumes a payments model would plausibly have added a five-figure monthly cost in rupees, together with a materially heavier compliance burden. This is the largest single cost avoided by an architectural decision.</w:t>
      </w:r>
    </w:p>
    <w:p>
      <w:r>
        <w:br w:type="page"/>
      </w:r>
    </w:p>
    <w:p>
      <w:pPr>
        <w:pStyle w:val="Heading1"/>
        <w:spacing w:before="320" w:after="120"/>
      </w:pPr>
      <w:r>
        <w:rPr>
          <w:color w:val="3F0E4C"/>
          <w:sz w:val="32"/>
        </w:rPr>
        <w:t>10. Exclusions and Caveats</w:t>
      </w:r>
    </w:p>
    <w:p>
      <w:pPr>
        <w:pStyle w:val="ListBullet"/>
        <w:spacing w:after="60"/>
      </w:pPr>
      <w:r>
        <w:rPr>
          <w:sz w:val="20"/>
        </w:rPr>
        <w:t>This is a planning estimate built from published list prices, not a set of vendor quotations. Actual invoices will differ, and negotiation typically improves the largest lines.</w:t>
      </w:r>
    </w:p>
    <w:p>
      <w:pPr>
        <w:pStyle w:val="ListBullet"/>
        <w:spacing w:after="60"/>
      </w:pPr>
      <w:r>
        <w:rPr>
          <w:sz w:val="20"/>
        </w:rPr>
        <w:t>Salaries, contractor fees, marketing, user-acquisition incentives and office overheads are excluded entirely.</w:t>
      </w:r>
    </w:p>
    <w:p>
      <w:pPr>
        <w:pStyle w:val="ListBullet"/>
        <w:spacing w:after="60"/>
      </w:pPr>
      <w:r>
        <w:rPr>
          <w:sz w:val="20"/>
        </w:rPr>
        <w:t>GST, TDS on foreign remittance, equalisation levy and other statutory charges on overseas vendor payments are excluded and should be added by the finance team.</w:t>
      </w:r>
    </w:p>
    <w:p>
      <w:pPr>
        <w:pStyle w:val="ListBullet"/>
        <w:spacing w:after="60"/>
      </w:pPr>
      <w:r>
        <w:rPr>
          <w:sz w:val="20"/>
        </w:rPr>
        <w:t>The usage assumptions in §4.2 are estimates for a product not yet at scale. They are the largest source of uncertainty in this model — more so than any vendor price.</w:t>
      </w:r>
    </w:p>
    <w:p>
      <w:pPr>
        <w:pStyle w:val="ListBullet"/>
        <w:spacing w:after="60"/>
      </w:pPr>
      <w:r>
        <w:rPr>
          <w:sz w:val="20"/>
        </w:rPr>
        <w:t>Cloudinary costs at growth and scale, and SerpApi allowances above the Big Data tier, require Enterprise agreements and are the two figures most in need of vendor confirmation before commitment.</w:t>
      </w:r>
    </w:p>
    <w:p>
      <w:pPr>
        <w:pStyle w:val="ListBullet"/>
        <w:spacing w:after="60"/>
      </w:pPr>
      <w:r>
        <w:rPr>
          <w:sz w:val="20"/>
        </w:rPr>
        <w:t>Disaster recovery — a warm standby in a second location, cross-region database replication — is not included. Adding it typically increases the infrastructure lines by 40–60%.</w:t>
      </w:r>
    </w:p>
    <w:p>
      <w:pPr>
        <w:pStyle w:val="ListBullet"/>
        <w:spacing w:after="60"/>
      </w:pPr>
      <w:r>
        <w:rPr>
          <w:sz w:val="20"/>
        </w:rPr>
        <w:t>Operational effort for a self-managed VPS estate (patching, backup verification, Redis persistence, certificate renewal, incident response) is a real recurring cost in people rather than rupees, and is not quantified here.</w:t>
      </w:r>
    </w:p>
    <w:p>
      <w:pPr>
        <w:pStyle w:val="ListBullet"/>
        <w:spacing w:after="60"/>
      </w:pPr>
      <w:r>
        <w:rPr>
          <w:sz w:val="20"/>
        </w:rPr>
        <w:t>Customer-support tooling and any content-moderation workforce for the reels moderation queue are excluded.</w:t>
      </w:r>
    </w:p>
    <w:p>
      <w:pPr>
        <w:pStyle w:val="Heading1"/>
        <w:spacing w:before="320" w:after="120"/>
      </w:pPr>
      <w:r>
        <w:rPr>
          <w:color w:val="3F0E4C"/>
          <w:sz w:val="32"/>
        </w:rPr>
        <w:t>11. Sources</w:t>
      </w:r>
    </w:p>
    <w:p>
      <w:pPr>
        <w:spacing w:after="120"/>
      </w:pPr>
      <w:r>
        <w:rPr>
          <w:b w:val="0"/>
          <w:i w:val="0"/>
          <w:sz w:val="20"/>
        </w:rPr>
        <w:t>Vendor pricing verified August 2026. System-specific figures derive from the delivered codebase and its architectural records.</w:t>
      </w:r>
    </w:p>
    <w:tbl>
      <w:tblPr>
        <w:tblStyle w:val="TableGrid"/>
        <w:tblW w:type="auto" w:w="0"/>
        <w:jc w:val="center"/>
        <w:tblLayout w:type="fixed"/>
        <w:tblLook w:firstColumn="1" w:firstRow="1" w:lastColumn="0" w:lastRow="0" w:noHBand="0" w:noVBand="1" w:val="04A0"/>
      </w:tblPr>
      <w:tblGrid>
        <w:gridCol w:w="4968"/>
        <w:gridCol w:w="4968"/>
      </w:tblGrid>
      <w:tr>
        <w:tc>
          <w:tcPr>
            <w:tcW w:type="dxa" w:w="7632"/>
            <w:shd w:val="clear" w:color="auto" w:fill="3F0E4C"/>
          </w:tcPr>
          <w:p>
            <w:pPr>
              <w:spacing w:before="40" w:after="40"/>
            </w:pPr>
            <w:r/>
            <w:r>
              <w:rPr>
                <w:b/>
                <w:color w:val="FFFFFF"/>
                <w:sz w:val="18"/>
              </w:rPr>
              <w:t>Source</w:t>
            </w:r>
          </w:p>
        </w:tc>
        <w:tc>
          <w:tcPr>
            <w:tcW w:type="dxa" w:w="2016"/>
            <w:shd w:val="clear" w:color="auto" w:fill="3F0E4C"/>
          </w:tcPr>
          <w:p>
            <w:pPr>
              <w:spacing w:before="40" w:after="40"/>
            </w:pPr>
            <w:r/>
            <w:r>
              <w:rPr>
                <w:b/>
                <w:color w:val="FFFFFF"/>
                <w:sz w:val="18"/>
              </w:rPr>
              <w:t>Used for</w:t>
            </w:r>
          </w:p>
        </w:tc>
      </w:tr>
      <w:tr>
        <w:tc>
          <w:tcPr>
            <w:tcW w:type="dxa" w:w="7632"/>
          </w:tcPr>
          <w:p>
            <w:pPr>
              <w:spacing w:before="40" w:after="40"/>
            </w:pPr>
            <w:r/>
            <w:r>
              <w:rPr>
                <w:b w:val="0"/>
                <w:sz w:val="18"/>
              </w:rPr>
              <w:t>Hostinger India VPS pricing — KVM 1 to KVM 8, promotional and renewal rates</w:t>
            </w:r>
          </w:p>
        </w:tc>
        <w:tc>
          <w:tcPr>
            <w:tcW w:type="dxa" w:w="2016"/>
          </w:tcPr>
          <w:p>
            <w:pPr>
              <w:spacing w:before="40" w:after="40"/>
            </w:pPr>
            <w:r/>
            <w:r>
              <w:rPr>
                <w:b w:val="0"/>
                <w:sz w:val="18"/>
              </w:rPr>
              <w:t>§5.1</w:t>
            </w:r>
          </w:p>
        </w:tc>
      </w:tr>
      <w:tr>
        <w:tc>
          <w:tcPr>
            <w:tcW w:type="dxa" w:w="7632"/>
            <w:shd w:val="clear" w:color="auto" w:fill="F5EFE4"/>
          </w:tcPr>
          <w:p>
            <w:pPr>
              <w:spacing w:before="40" w:after="40"/>
            </w:pPr>
            <w:r/>
            <w:r>
              <w:rPr>
                <w:b w:val="0"/>
                <w:sz w:val="18"/>
              </w:rPr>
              <w:t>MongoDB Atlas pricing and cluster-configuration cost documentation</w:t>
            </w:r>
          </w:p>
        </w:tc>
        <w:tc>
          <w:tcPr>
            <w:tcW w:type="dxa" w:w="2016"/>
            <w:shd w:val="clear" w:color="auto" w:fill="F5EFE4"/>
          </w:tcPr>
          <w:p>
            <w:pPr>
              <w:spacing w:before="40" w:after="40"/>
            </w:pPr>
            <w:r/>
            <w:r>
              <w:rPr>
                <w:b w:val="0"/>
                <w:sz w:val="18"/>
              </w:rPr>
              <w:t>§5.2</w:t>
            </w:r>
          </w:p>
        </w:tc>
      </w:tr>
      <w:tr>
        <w:tc>
          <w:tcPr>
            <w:tcW w:type="dxa" w:w="7632"/>
          </w:tcPr>
          <w:p>
            <w:pPr>
              <w:spacing w:before="40" w:after="40"/>
            </w:pPr>
            <w:r/>
            <w:r>
              <w:rPr>
                <w:b w:val="0"/>
                <w:sz w:val="18"/>
              </w:rPr>
              <w:t>Cloudinary pricing and credit-unit documentation — Free / Plus / Advanced / Enterprise</w:t>
            </w:r>
          </w:p>
        </w:tc>
        <w:tc>
          <w:tcPr>
            <w:tcW w:type="dxa" w:w="2016"/>
          </w:tcPr>
          <w:p>
            <w:pPr>
              <w:spacing w:before="40" w:after="40"/>
            </w:pPr>
            <w:r/>
            <w:r>
              <w:rPr>
                <w:b w:val="0"/>
                <w:sz w:val="18"/>
              </w:rPr>
              <w:t>§5.4</w:t>
            </w:r>
          </w:p>
        </w:tc>
      </w:tr>
      <w:tr>
        <w:tc>
          <w:tcPr>
            <w:tcW w:type="dxa" w:w="7632"/>
            <w:shd w:val="clear" w:color="auto" w:fill="F5EFE4"/>
          </w:tcPr>
          <w:p>
            <w:pPr>
              <w:spacing w:before="40" w:after="40"/>
            </w:pPr>
            <w:r/>
            <w:r>
              <w:rPr>
                <w:b w:val="0"/>
                <w:sz w:val="18"/>
              </w:rPr>
              <w:t>SerpApi published plan tiers — Free through Infrastructure</w:t>
            </w:r>
          </w:p>
        </w:tc>
        <w:tc>
          <w:tcPr>
            <w:tcW w:type="dxa" w:w="2016"/>
            <w:shd w:val="clear" w:color="auto" w:fill="F5EFE4"/>
          </w:tcPr>
          <w:p>
            <w:pPr>
              <w:spacing w:before="40" w:after="40"/>
            </w:pPr>
            <w:r/>
            <w:r>
              <w:rPr>
                <w:b w:val="0"/>
                <w:sz w:val="18"/>
              </w:rPr>
              <w:t>§5.5</w:t>
            </w:r>
          </w:p>
        </w:tc>
      </w:tr>
      <w:tr>
        <w:tc>
          <w:tcPr>
            <w:tcW w:type="dxa" w:w="7632"/>
          </w:tcPr>
          <w:p>
            <w:pPr>
              <w:spacing w:before="40" w:after="40"/>
            </w:pPr>
            <w:r/>
            <w:r>
              <w:rPr>
                <w:b w:val="0"/>
                <w:sz w:val="18"/>
              </w:rPr>
              <w:t>Indian bulk-SMS market rates and DLT registration schedule</w:t>
            </w:r>
          </w:p>
        </w:tc>
        <w:tc>
          <w:tcPr>
            <w:tcW w:type="dxa" w:w="2016"/>
          </w:tcPr>
          <w:p>
            <w:pPr>
              <w:spacing w:before="40" w:after="40"/>
            </w:pPr>
            <w:r/>
            <w:r>
              <w:rPr>
                <w:b w:val="0"/>
                <w:sz w:val="18"/>
              </w:rPr>
              <w:t>§5.6, §9.1</w:t>
            </w:r>
          </w:p>
        </w:tc>
      </w:tr>
      <w:tr>
        <w:tc>
          <w:tcPr>
            <w:tcW w:type="dxa" w:w="7632"/>
            <w:shd w:val="clear" w:color="auto" w:fill="F5EFE4"/>
          </w:tcPr>
          <w:p>
            <w:pPr>
              <w:spacing w:before="40" w:after="40"/>
            </w:pPr>
            <w:r/>
            <w:r>
              <w:rPr>
                <w:b w:val="0"/>
                <w:sz w:val="18"/>
              </w:rPr>
              <w:t>India-billed transactional email provider rates</w:t>
            </w:r>
          </w:p>
        </w:tc>
        <w:tc>
          <w:tcPr>
            <w:tcW w:type="dxa" w:w="2016"/>
            <w:shd w:val="clear" w:color="auto" w:fill="F5EFE4"/>
          </w:tcPr>
          <w:p>
            <w:pPr>
              <w:spacing w:before="40" w:after="40"/>
            </w:pPr>
            <w:r/>
            <w:r>
              <w:rPr>
                <w:b w:val="0"/>
                <w:sz w:val="18"/>
              </w:rPr>
              <w:t>§5.6</w:t>
            </w:r>
          </w:p>
        </w:tc>
      </w:tr>
      <w:tr>
        <w:tc>
          <w:tcPr>
            <w:tcW w:type="dxa" w:w="7632"/>
          </w:tcPr>
          <w:p>
            <w:pPr>
              <w:spacing w:before="40" w:after="40"/>
            </w:pPr>
            <w:r/>
            <w:r>
              <w:rPr>
                <w:b w:val="0"/>
                <w:sz w:val="18"/>
              </w:rPr>
              <w:t>Sentry pricing — Team plan and error-overage tiers</w:t>
            </w:r>
          </w:p>
        </w:tc>
        <w:tc>
          <w:tcPr>
            <w:tcW w:type="dxa" w:w="2016"/>
          </w:tcPr>
          <w:p>
            <w:pPr>
              <w:spacing w:before="40" w:after="40"/>
            </w:pPr>
            <w:r/>
            <w:r>
              <w:rPr>
                <w:b w:val="0"/>
                <w:sz w:val="18"/>
              </w:rPr>
              <w:t>§5.7</w:t>
            </w:r>
          </w:p>
        </w:tc>
      </w:tr>
      <w:tr>
        <w:tc>
          <w:tcPr>
            <w:tcW w:type="dxa" w:w="7632"/>
            <w:shd w:val="clear" w:color="auto" w:fill="F5EFE4"/>
          </w:tcPr>
          <w:p>
            <w:pPr>
              <w:spacing w:before="40" w:after="40"/>
            </w:pPr>
            <w:r/>
            <w:r>
              <w:rPr>
                <w:b w:val="0"/>
                <w:sz w:val="18"/>
              </w:rPr>
              <w:t>Apple Developer Program and Google Play Console fees</w:t>
            </w:r>
          </w:p>
        </w:tc>
        <w:tc>
          <w:tcPr>
            <w:tcW w:type="dxa" w:w="2016"/>
            <w:shd w:val="clear" w:color="auto" w:fill="F5EFE4"/>
          </w:tcPr>
          <w:p>
            <w:pPr>
              <w:spacing w:before="40" w:after="40"/>
            </w:pPr>
            <w:r/>
            <w:r>
              <w:rPr>
                <w:b w:val="0"/>
                <w:sz w:val="18"/>
              </w:rPr>
              <w:t>§5.8, §9.1</w:t>
            </w:r>
          </w:p>
        </w:tc>
      </w:tr>
      <w:tr>
        <w:tc>
          <w:tcPr>
            <w:tcW w:type="dxa" w:w="7632"/>
          </w:tcPr>
          <w:p>
            <w:pPr>
              <w:spacing w:before="40" w:after="40"/>
            </w:pPr>
            <w:r/>
            <w:r>
              <w:rPr>
                <w:b w:val="0"/>
                <w:sz w:val="18"/>
              </w:rPr>
              <w:t>Wishtick backend — service configuration, deployment runbook and dependency manifest</w:t>
            </w:r>
          </w:p>
        </w:tc>
        <w:tc>
          <w:tcPr>
            <w:tcW w:type="dxa" w:w="2016"/>
          </w:tcPr>
          <w:p>
            <w:pPr>
              <w:spacing w:before="40" w:after="40"/>
            </w:pPr>
            <w:r/>
            <w:r>
              <w:rPr>
                <w:b w:val="0"/>
                <w:sz w:val="18"/>
              </w:rPr>
              <w:t>§3, §8.1</w:t>
            </w:r>
          </w:p>
        </w:tc>
      </w:tr>
      <w:tr>
        <w:tc>
          <w:tcPr>
            <w:tcW w:type="dxa" w:w="7632"/>
            <w:shd w:val="clear" w:color="auto" w:fill="F5EFE4"/>
          </w:tcPr>
          <w:p>
            <w:pPr>
              <w:spacing w:before="40" w:after="40"/>
            </w:pPr>
            <w:r/>
            <w:r>
              <w:rPr>
                <w:b w:val="0"/>
                <w:sz w:val="18"/>
              </w:rPr>
              <w:t>Wishtick architecture and sprint records — catalogue cost split, caching behaviour and the money-model decision</w:t>
            </w:r>
          </w:p>
        </w:tc>
        <w:tc>
          <w:tcPr>
            <w:tcW w:type="dxa" w:w="2016"/>
            <w:shd w:val="clear" w:color="auto" w:fill="F5EFE4"/>
          </w:tcPr>
          <w:p>
            <w:pPr>
              <w:spacing w:before="40" w:after="40"/>
            </w:pPr>
            <w:r/>
            <w:r>
              <w:rPr>
                <w:b w:val="0"/>
                <w:sz w:val="18"/>
              </w:rPr>
              <w:t>§5.5, §9.2</w:t>
            </w:r>
          </w:p>
        </w:tc>
      </w:tr>
    </w:tbl>
    <w:p>
      <w:pPr>
        <w:spacing w:after="80"/>
      </w:pPr>
    </w:p>
    <w:p/>
    <w:p>
      <w:pPr>
        <w:jc w:val="center"/>
      </w:pPr>
      <w:r>
        <w:rPr>
          <w:i/>
          <w:color w:val="6A647E"/>
          <w:sz w:val="18"/>
        </w:rPr>
        <w:t>— End of document —</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A647E"/>
        <w:sz w:val="16"/>
      </w:rPr>
      <w:t xml:space="preserve">Wishtick — Recurring Cost Analysis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