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500"/>
              <w:left w:type="dxa" w:w="440"/>
              <w:bottom w:type="dxa" w:w="500"/>
              <w:right w:type="dxa" w:w="440"/>
            </w:tcMar>
          </w:tcPr>
          <w:p>
            <w:pPr>
              <w:spacing w:after="80" w:before="0"/>
              <w:jc w:val="left"/>
            </w:pPr>
            <w:r>
              <w:rPr>
                <w:rFonts w:ascii="Arial" w:cs="Arial" w:eastAsia="Arial" w:hAnsi="Arial"/>
                <w:b/>
                <w:bCs/>
                <w:color w:val="FFFFFF"/>
                <w:sz w:val="56"/>
                <w:szCs w:val="56"/>
              </w:rPr>
              <w:t xml:space="preserve">INTELLIX</w:t>
            </w:r>
            <w:r>
              <w:rPr>
                <w:rFonts w:ascii="Arial" w:cs="Arial" w:eastAsia="Arial" w:hAnsi="Arial"/>
                <w:b/>
                <w:bCs/>
                <w:color w:val="00B4D8"/>
                <w:sz w:val="56"/>
                <w:szCs w:val="56"/>
              </w:rPr>
              <w:t xml:space="preserve">BOM</w:t>
            </w:r>
          </w:p>
          <w:p>
            <w:pPr>
              <w:spacing w:after="120" w:before="0"/>
              <w:jc w:val="left"/>
            </w:pPr>
            <w:r>
              <w:rPr>
                <w:rFonts w:ascii="Arial" w:cs="Arial" w:eastAsia="Arial" w:hAnsi="Arial"/>
                <w:i/>
                <w:iCs/>
                <w:color w:val="A8D8EA"/>
                <w:sz w:val="18"/>
                <w:szCs w:val="18"/>
              </w:rPr>
              <w:t xml:space="preserve">End-to-End BOM Governance  |  Supply Chain Security  |  Compliance Intelligence</w:t>
            </w:r>
          </w:p>
          <w:p>
            <w:pPr>
              <w:spacing w:after="0" w:before="120"/>
              <w:jc w:val="left"/>
            </w:pPr>
            <w:r>
              <w:rPr>
                <w:rFonts w:ascii="Arial" w:cs="Arial" w:eastAsia="Arial" w:hAnsi="Arial"/>
                <w:b/>
                <w:bCs/>
                <w:color w:val="00B4D8"/>
                <w:sz w:val="40"/>
                <w:szCs w:val="40"/>
              </w:rPr>
              <w:t xml:space="preserve">PRIVACY POLICY</w:t>
            </w:r>
          </w:p>
          <w:p>
            <w:pPr>
              <w:spacing w:after="0" w:before="60"/>
              <w:jc w:val="left"/>
            </w:pPr>
            <w:r>
              <w:rPr>
                <w:rFonts w:ascii="Arial" w:cs="Arial" w:eastAsia="Arial" w:hAnsi="Arial"/>
                <w:color w:val="A8D8EA"/>
                <w:sz w:val="18"/>
                <w:szCs w:val="18"/>
              </w:rPr>
              <w:t xml:space="preserve">Effective Date: June 1, 2025  |  Version 1.0</w:t>
            </w:r>
          </w:p>
        </w:tc>
      </w:tr>
    </w:tbl>
    <w:p>
      <w:pPr>
        <w:spacing w:after="3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6"/>
              <w:left w:val="none" w:color="FFFFFF" w:sz="0"/>
              <w:bottom w:val="single" w:color="D1E8F0" w:sz="2"/>
              <w:right w:val="none" w:color="FFFFFF" w:sz="0"/>
            </w:tcBorders>
            <w:shd w:fill="F4F6F8" w:val="clear"/>
            <w:tcMar>
              <w:top w:type="dxa" w:w="200"/>
              <w:left w:type="dxa" w:w="280"/>
              <w:bottom w:type="dxa" w:w="200"/>
              <w:right w:type="dxa" w:w="280"/>
            </w:tcMar>
          </w:tcPr>
          <w:p>
            <w:pPr>
              <w:spacing w:after="80" w:before="0"/>
            </w:pPr>
            <w:r>
              <w:rPr>
                <w:rFonts w:ascii="Arial" w:cs="Arial" w:eastAsia="Arial" w:hAnsi="Arial"/>
                <w:b/>
                <w:bCs/>
                <w:color w:val="0D1B2A"/>
                <w:sz w:val="22"/>
                <w:szCs w:val="22"/>
              </w:rPr>
              <w:t xml:space="preserve">At a Glance</w:t>
            </w:r>
          </w:p>
          <w:p>
            <w:pPr>
              <w:spacing w:after="60" w:before="0"/>
            </w:pPr>
            <w:r>
              <w:rPr>
                <w:rFonts w:ascii="Arial" w:cs="Arial" w:eastAsia="Arial" w:hAnsi="Arial"/>
                <w:color w:val="2C2C3E"/>
                <w:sz w:val="20"/>
                <w:szCs w:val="20"/>
              </w:rPr>
              <w:t xml:space="preserve">IntellixBOM (operated by IntelliNative Technologies) provides enterprise software and services for Bill of Materials (BOM) governance, supply chain security, and compliance management. This Privacy Policy describes how we collect, use, and protect personal data in connection with our website, platform, and professional services. This policy has been drafted in compliance with India's Digital Personal Data Protection (DPDP) Act, 2023, the Information Technology Act, 2000, and applicable CERT-In guidelines.</w:t>
            </w:r>
          </w:p>
        </w:tc>
      </w:tr>
    </w:tbl>
    <w:p>
      <w:pPr>
        <w:spacing w:after="24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 Data Fiduciary Information</w:t>
      </w:r>
    </w:p>
    <w:p>
      <w:pPr>
        <w:spacing w:after="120" w:before="60"/>
      </w:pPr>
      <w:r>
        <w:rPr>
          <w:rFonts w:ascii="Arial" w:cs="Arial" w:eastAsia="Arial" w:hAnsi="Arial"/>
          <w:color w:val="2C2C3E"/>
          <w:sz w:val="20"/>
          <w:szCs w:val="20"/>
        </w:rPr>
        <w:t xml:space="preserve">IntellixBOM, operated by IntelliNative Technologies, is the Data Fiduciary as defined under the Digital Personal Data Protection Act, 2023 (DPDP Act). We are responsible for determining the purposes and means of processing your personal data.</w:t>
      </w:r>
    </w:p>
    <w:p>
      <w:pPr>
        <w:spacing w:after="80" w:before="0"/>
      </w:pPr>
      <w:r>
        <w:t xml:space="preserve"/>
      </w:r>
    </w:p>
    <w:tbl>
      <w:tblPr>
        <w:tblW w:type="dxa" w:w="9360"/>
        <w:tblBorders>
          <w:top w:val="single" w:color="D1E8F0" w:sz="1"/>
          <w:left w:val="single" w:color="D1E8F0" w:sz="1"/>
          <w:bottom w:val="single" w:color="D1E8F0" w:sz="1"/>
          <w:right w:val="single" w:color="D1E8F0" w:sz="1"/>
          <w:insideH w:val="single" w:color="auto" w:sz="4"/>
          <w:insideV w:val="single" w:color="auto" w:sz="4"/>
        </w:tblBorders>
      </w:tblPr>
      <w:tblGrid>
        <w:gridCol w:w="2800"/>
        <w:gridCol w:w="6560"/>
      </w:tblGrid>
      <w:tr>
        <w:tc>
          <w:tcPr>
            <w:tcW w:type="dxa" w:w="2800"/>
            <w:tcBorders>
              <w:top w:val="single" w:color="D1E8F0" w:sz="1"/>
              <w:left w:val="single" w:color="D1E8F0" w:sz="1"/>
              <w:bottom w:val="single" w:color="D1E8F0" w:sz="1"/>
              <w:right w:val="single" w:color="D1E8F0" w:sz="1"/>
            </w:tcBorders>
            <w:shd w:fill="D1E8F0" w:val="clear"/>
            <w:tcMar>
              <w:top w:type="dxa" w:w="100"/>
              <w:left w:type="dxa" w:w="160"/>
              <w:bottom w:type="dxa" w:w="100"/>
              <w:right w:type="dxa" w:w="160"/>
            </w:tcMar>
            <w:vAlign w:val="center"/>
          </w:tcPr>
          <w:p>
            <w:r>
              <w:rPr>
                <w:rFonts w:ascii="Arial" w:cs="Arial" w:eastAsia="Arial" w:hAnsi="Arial"/>
                <w:b/>
                <w:bCs/>
                <w:color w:val="0D1B2A"/>
                <w:sz w:val="20"/>
                <w:szCs w:val="20"/>
              </w:rPr>
              <w:t xml:space="preserve">Entity Name</w:t>
            </w:r>
          </w:p>
        </w:tc>
        <w:tc>
          <w:tcPr>
            <w:tcW w:type="dxa" w:w="6560"/>
            <w:tcBorders>
              <w:top w:val="single" w:color="D1E8F0" w:sz="1"/>
              <w:left w:val="single" w:color="D1E8F0" w:sz="1"/>
              <w:bottom w:val="single" w:color="D1E8F0" w:sz="1"/>
              <w:right w:val="single" w:color="D1E8F0" w:sz="1"/>
            </w:tcBorders>
            <w:shd w:fill="FFFFFF" w:val="clear"/>
            <w:tcMar>
              <w:top w:type="dxa" w:w="100"/>
              <w:left w:type="dxa" w:w="160"/>
              <w:bottom w:type="dxa" w:w="100"/>
              <w:right w:type="dxa" w:w="160"/>
            </w:tcMar>
          </w:tcPr>
          <w:p>
            <w:r>
              <w:rPr>
                <w:rFonts w:ascii="Arial" w:cs="Arial" w:eastAsia="Arial" w:hAnsi="Arial"/>
                <w:color w:val="2C2C3E"/>
                <w:sz w:val="20"/>
                <w:szCs w:val="20"/>
              </w:rPr>
              <w:t xml:space="preserve">IntelliNative Technologies (operating as IntellixBOM)</w:t>
            </w:r>
          </w:p>
        </w:tc>
      </w:tr>
    </w:tbl>
    <w:p>
      <w:pPr>
        <w:spacing w:after="40" w:before="0"/>
      </w:pPr>
      <w:r>
        <w:t xml:space="preserve"/>
      </w:r>
    </w:p>
    <w:tbl>
      <w:tblPr>
        <w:tblW w:type="dxa" w:w="9360"/>
        <w:tblBorders>
          <w:top w:val="single" w:color="D1E8F0" w:sz="1"/>
          <w:left w:val="single" w:color="D1E8F0" w:sz="1"/>
          <w:bottom w:val="single" w:color="D1E8F0" w:sz="1"/>
          <w:right w:val="single" w:color="D1E8F0" w:sz="1"/>
          <w:insideH w:val="single" w:color="auto" w:sz="4"/>
          <w:insideV w:val="single" w:color="auto" w:sz="4"/>
        </w:tblBorders>
      </w:tblPr>
      <w:tblGrid>
        <w:gridCol w:w="2800"/>
        <w:gridCol w:w="6560"/>
      </w:tblGrid>
      <w:tr>
        <w:tc>
          <w:tcPr>
            <w:tcW w:type="dxa" w:w="2800"/>
            <w:tcBorders>
              <w:top w:val="single" w:color="D1E8F0" w:sz="1"/>
              <w:left w:val="single" w:color="D1E8F0" w:sz="1"/>
              <w:bottom w:val="single" w:color="D1E8F0" w:sz="1"/>
              <w:right w:val="single" w:color="D1E8F0" w:sz="1"/>
            </w:tcBorders>
            <w:shd w:fill="D1E8F0" w:val="clear"/>
            <w:tcMar>
              <w:top w:type="dxa" w:w="100"/>
              <w:left w:type="dxa" w:w="160"/>
              <w:bottom w:type="dxa" w:w="100"/>
              <w:right w:type="dxa" w:w="160"/>
            </w:tcMar>
            <w:vAlign w:val="center"/>
          </w:tcPr>
          <w:p>
            <w:r>
              <w:rPr>
                <w:rFonts w:ascii="Arial" w:cs="Arial" w:eastAsia="Arial" w:hAnsi="Arial"/>
                <w:b/>
                <w:bCs/>
                <w:color w:val="0D1B2A"/>
                <w:sz w:val="20"/>
                <w:szCs w:val="20"/>
              </w:rPr>
              <w:t xml:space="preserve">Registered Address</w:t>
            </w:r>
          </w:p>
        </w:tc>
        <w:tc>
          <w:tcPr>
            <w:tcW w:type="dxa" w:w="6560"/>
            <w:tcBorders>
              <w:top w:val="single" w:color="D1E8F0" w:sz="1"/>
              <w:left w:val="single" w:color="D1E8F0" w:sz="1"/>
              <w:bottom w:val="single" w:color="D1E8F0" w:sz="1"/>
              <w:right w:val="single" w:color="D1E8F0" w:sz="1"/>
            </w:tcBorders>
            <w:shd w:fill="FFFFFF" w:val="clear"/>
            <w:tcMar>
              <w:top w:type="dxa" w:w="100"/>
              <w:left w:type="dxa" w:w="160"/>
              <w:bottom w:type="dxa" w:w="100"/>
              <w:right w:type="dxa" w:w="160"/>
            </w:tcMar>
          </w:tcPr>
          <w:p>
            <w:r>
              <w:rPr>
                <w:rFonts w:ascii="Arial" w:cs="Arial" w:eastAsia="Arial" w:hAnsi="Arial"/>
                <w:color w:val="2C2C3E"/>
                <w:sz w:val="20"/>
                <w:szCs w:val="20"/>
              </w:rPr>
              <w:t xml:space="preserve">India</w:t>
            </w:r>
          </w:p>
        </w:tc>
      </w:tr>
    </w:tbl>
    <w:p>
      <w:pPr>
        <w:spacing w:after="40" w:before="0"/>
      </w:pPr>
      <w:r>
        <w:t xml:space="preserve"/>
      </w:r>
    </w:p>
    <w:tbl>
      <w:tblPr>
        <w:tblW w:type="dxa" w:w="9360"/>
        <w:tblBorders>
          <w:top w:val="single" w:color="D1E8F0" w:sz="1"/>
          <w:left w:val="single" w:color="D1E8F0" w:sz="1"/>
          <w:bottom w:val="single" w:color="D1E8F0" w:sz="1"/>
          <w:right w:val="single" w:color="D1E8F0" w:sz="1"/>
          <w:insideH w:val="single" w:color="auto" w:sz="4"/>
          <w:insideV w:val="single" w:color="auto" w:sz="4"/>
        </w:tblBorders>
      </w:tblPr>
      <w:tblGrid>
        <w:gridCol w:w="2800"/>
        <w:gridCol w:w="6560"/>
      </w:tblGrid>
      <w:tr>
        <w:tc>
          <w:tcPr>
            <w:tcW w:type="dxa" w:w="2800"/>
            <w:tcBorders>
              <w:top w:val="single" w:color="D1E8F0" w:sz="1"/>
              <w:left w:val="single" w:color="D1E8F0" w:sz="1"/>
              <w:bottom w:val="single" w:color="D1E8F0" w:sz="1"/>
              <w:right w:val="single" w:color="D1E8F0" w:sz="1"/>
            </w:tcBorders>
            <w:shd w:fill="D1E8F0" w:val="clear"/>
            <w:tcMar>
              <w:top w:type="dxa" w:w="100"/>
              <w:left w:type="dxa" w:w="160"/>
              <w:bottom w:type="dxa" w:w="100"/>
              <w:right w:type="dxa" w:w="160"/>
            </w:tcMar>
            <w:vAlign w:val="center"/>
          </w:tcPr>
          <w:p>
            <w:r>
              <w:rPr>
                <w:rFonts w:ascii="Arial" w:cs="Arial" w:eastAsia="Arial" w:hAnsi="Arial"/>
                <w:b/>
                <w:bCs/>
                <w:color w:val="0D1B2A"/>
                <w:sz w:val="20"/>
                <w:szCs w:val="20"/>
              </w:rPr>
              <w:t xml:space="preserve">Website</w:t>
            </w:r>
          </w:p>
        </w:tc>
        <w:tc>
          <w:tcPr>
            <w:tcW w:type="dxa" w:w="6560"/>
            <w:tcBorders>
              <w:top w:val="single" w:color="D1E8F0" w:sz="1"/>
              <w:left w:val="single" w:color="D1E8F0" w:sz="1"/>
              <w:bottom w:val="single" w:color="D1E8F0" w:sz="1"/>
              <w:right w:val="single" w:color="D1E8F0" w:sz="1"/>
            </w:tcBorders>
            <w:shd w:fill="FFFFFF" w:val="clear"/>
            <w:tcMar>
              <w:top w:type="dxa" w:w="100"/>
              <w:left w:type="dxa" w:w="160"/>
              <w:bottom w:type="dxa" w:w="100"/>
              <w:right w:type="dxa" w:w="160"/>
            </w:tcMar>
          </w:tcPr>
          <w:p>
            <w:r>
              <w:rPr>
                <w:rFonts w:ascii="Arial" w:cs="Arial" w:eastAsia="Arial" w:hAnsi="Arial"/>
                <w:color w:val="2C2C3E"/>
                <w:sz w:val="20"/>
                <w:szCs w:val="20"/>
              </w:rPr>
              <w:t xml:space="preserve">www.intellixbom.com</w:t>
            </w:r>
          </w:p>
        </w:tc>
      </w:tr>
    </w:tbl>
    <w:p>
      <w:pPr>
        <w:spacing w:after="40" w:before="0"/>
      </w:pPr>
      <w:r>
        <w:t xml:space="preserve"/>
      </w:r>
    </w:p>
    <w:tbl>
      <w:tblPr>
        <w:tblW w:type="dxa" w:w="9360"/>
        <w:tblBorders>
          <w:top w:val="single" w:color="D1E8F0" w:sz="1"/>
          <w:left w:val="single" w:color="D1E8F0" w:sz="1"/>
          <w:bottom w:val="single" w:color="D1E8F0" w:sz="1"/>
          <w:right w:val="single" w:color="D1E8F0" w:sz="1"/>
          <w:insideH w:val="single" w:color="auto" w:sz="4"/>
          <w:insideV w:val="single" w:color="auto" w:sz="4"/>
        </w:tblBorders>
      </w:tblPr>
      <w:tblGrid>
        <w:gridCol w:w="2800"/>
        <w:gridCol w:w="6560"/>
      </w:tblGrid>
      <w:tr>
        <w:tc>
          <w:tcPr>
            <w:tcW w:type="dxa" w:w="2800"/>
            <w:tcBorders>
              <w:top w:val="single" w:color="D1E8F0" w:sz="1"/>
              <w:left w:val="single" w:color="D1E8F0" w:sz="1"/>
              <w:bottom w:val="single" w:color="D1E8F0" w:sz="1"/>
              <w:right w:val="single" w:color="D1E8F0" w:sz="1"/>
            </w:tcBorders>
            <w:shd w:fill="D1E8F0" w:val="clear"/>
            <w:tcMar>
              <w:top w:type="dxa" w:w="100"/>
              <w:left w:type="dxa" w:w="160"/>
              <w:bottom w:type="dxa" w:w="100"/>
              <w:right w:type="dxa" w:w="160"/>
            </w:tcMar>
            <w:vAlign w:val="center"/>
          </w:tcPr>
          <w:p>
            <w:r>
              <w:rPr>
                <w:rFonts w:ascii="Arial" w:cs="Arial" w:eastAsia="Arial" w:hAnsi="Arial"/>
                <w:b/>
                <w:bCs/>
                <w:color w:val="0D1B2A"/>
                <w:sz w:val="20"/>
                <w:szCs w:val="20"/>
              </w:rPr>
              <w:t xml:space="preserve">Contact Email</w:t>
            </w:r>
          </w:p>
        </w:tc>
        <w:tc>
          <w:tcPr>
            <w:tcW w:type="dxa" w:w="6560"/>
            <w:tcBorders>
              <w:top w:val="single" w:color="D1E8F0" w:sz="1"/>
              <w:left w:val="single" w:color="D1E8F0" w:sz="1"/>
              <w:bottom w:val="single" w:color="D1E8F0" w:sz="1"/>
              <w:right w:val="single" w:color="D1E8F0" w:sz="1"/>
            </w:tcBorders>
            <w:shd w:fill="FFFFFF" w:val="clear"/>
            <w:tcMar>
              <w:top w:type="dxa" w:w="100"/>
              <w:left w:type="dxa" w:w="160"/>
              <w:bottom w:type="dxa" w:w="100"/>
              <w:right w:type="dxa" w:w="160"/>
            </w:tcMar>
          </w:tcPr>
          <w:p>
            <w:r>
              <w:rPr>
                <w:rFonts w:ascii="Arial" w:cs="Arial" w:eastAsia="Arial" w:hAnsi="Arial"/>
                <w:color w:val="2C2C3E"/>
                <w:sz w:val="20"/>
                <w:szCs w:val="20"/>
              </w:rPr>
              <w:t xml:space="preserve">privacy@intellixbom.com</w:t>
            </w:r>
          </w:p>
        </w:tc>
      </w:tr>
    </w:tbl>
    <w:p>
      <w:pPr>
        <w:spacing w:after="40" w:before="0"/>
      </w:pPr>
      <w:r>
        <w:t xml:space="preserve"/>
      </w:r>
    </w:p>
    <w:tbl>
      <w:tblPr>
        <w:tblW w:type="dxa" w:w="9360"/>
        <w:tblBorders>
          <w:top w:val="single" w:color="D1E8F0" w:sz="1"/>
          <w:left w:val="single" w:color="D1E8F0" w:sz="1"/>
          <w:bottom w:val="single" w:color="D1E8F0" w:sz="1"/>
          <w:right w:val="single" w:color="D1E8F0" w:sz="1"/>
          <w:insideH w:val="single" w:color="auto" w:sz="4"/>
          <w:insideV w:val="single" w:color="auto" w:sz="4"/>
        </w:tblBorders>
      </w:tblPr>
      <w:tblGrid>
        <w:gridCol w:w="2800"/>
        <w:gridCol w:w="6560"/>
      </w:tblGrid>
      <w:tr>
        <w:tc>
          <w:tcPr>
            <w:tcW w:type="dxa" w:w="2800"/>
            <w:tcBorders>
              <w:top w:val="single" w:color="D1E8F0" w:sz="1"/>
              <w:left w:val="single" w:color="D1E8F0" w:sz="1"/>
              <w:bottom w:val="single" w:color="D1E8F0" w:sz="1"/>
              <w:right w:val="single" w:color="D1E8F0" w:sz="1"/>
            </w:tcBorders>
            <w:shd w:fill="D1E8F0" w:val="clear"/>
            <w:tcMar>
              <w:top w:type="dxa" w:w="100"/>
              <w:left w:type="dxa" w:w="160"/>
              <w:bottom w:type="dxa" w:w="100"/>
              <w:right w:type="dxa" w:w="160"/>
            </w:tcMar>
            <w:vAlign w:val="center"/>
          </w:tcPr>
          <w:p>
            <w:r>
              <w:rPr>
                <w:rFonts w:ascii="Arial" w:cs="Arial" w:eastAsia="Arial" w:hAnsi="Arial"/>
                <w:b/>
                <w:bCs/>
                <w:color w:val="0D1B2A"/>
                <w:sz w:val="20"/>
                <w:szCs w:val="20"/>
              </w:rPr>
              <w:t xml:space="preserve">Grievance Officer</w:t>
            </w:r>
          </w:p>
        </w:tc>
        <w:tc>
          <w:tcPr>
            <w:tcW w:type="dxa" w:w="6560"/>
            <w:tcBorders>
              <w:top w:val="single" w:color="D1E8F0" w:sz="1"/>
              <w:left w:val="single" w:color="D1E8F0" w:sz="1"/>
              <w:bottom w:val="single" w:color="D1E8F0" w:sz="1"/>
              <w:right w:val="single" w:color="D1E8F0" w:sz="1"/>
            </w:tcBorders>
            <w:shd w:fill="FFFFFF" w:val="clear"/>
            <w:tcMar>
              <w:top w:type="dxa" w:w="100"/>
              <w:left w:type="dxa" w:w="160"/>
              <w:bottom w:type="dxa" w:w="100"/>
              <w:right w:type="dxa" w:w="160"/>
            </w:tcMar>
          </w:tcPr>
          <w:p>
            <w:r>
              <w:rPr>
                <w:rFonts w:ascii="Arial" w:cs="Arial" w:eastAsia="Arial" w:hAnsi="Arial"/>
                <w:color w:val="2C2C3E"/>
                <w:sz w:val="20"/>
                <w:szCs w:val="20"/>
              </w:rPr>
              <w:t xml:space="preserve">Designated Grievance Officer — Contact via privacy@intellixbom.com</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2. Scope and Applicability</w:t>
      </w:r>
    </w:p>
    <w:p>
      <w:pPr>
        <w:spacing w:after="120" w:before="60"/>
      </w:pPr>
      <w:r>
        <w:rPr>
          <w:rFonts w:ascii="Arial" w:cs="Arial" w:eastAsia="Arial" w:hAnsi="Arial"/>
          <w:color w:val="2C2C3E"/>
          <w:sz w:val="20"/>
          <w:szCs w:val="20"/>
        </w:rPr>
        <w:t xml:space="preserve">This Privacy Policy applies to:</w:t>
      </w:r>
    </w:p>
    <w:p>
      <w:pPr>
        <w:pStyle w:val="ListParagraph"/>
        <w:numPr>
          <w:ilvl w:val="0"/>
          <w:numId w:val="2"/>
        </w:numPr>
        <w:spacing w:after="80" w:before="40"/>
      </w:pPr>
      <w:r>
        <w:rPr>
          <w:rFonts w:ascii="Arial" w:cs="Arial" w:eastAsia="Arial" w:hAnsi="Arial"/>
          <w:color w:val="2C2C3E"/>
          <w:sz w:val="20"/>
          <w:szCs w:val="20"/>
        </w:rPr>
        <w:t xml:space="preserve">Visitors to our website at www.intellixbom.com</w:t>
      </w:r>
    </w:p>
    <w:p>
      <w:pPr>
        <w:pStyle w:val="ListParagraph"/>
        <w:numPr>
          <w:ilvl w:val="0"/>
          <w:numId w:val="2"/>
        </w:numPr>
        <w:spacing w:after="80" w:before="40"/>
      </w:pPr>
      <w:r>
        <w:rPr>
          <w:rFonts w:ascii="Arial" w:cs="Arial" w:eastAsia="Arial" w:hAnsi="Arial"/>
          <w:color w:val="2C2C3E"/>
          <w:sz w:val="20"/>
          <w:szCs w:val="20"/>
        </w:rPr>
        <w:t xml:space="preserve">Registered users of the IntellixBOM platform</w:t>
      </w:r>
    </w:p>
    <w:p>
      <w:pPr>
        <w:pStyle w:val="ListParagraph"/>
        <w:numPr>
          <w:ilvl w:val="0"/>
          <w:numId w:val="2"/>
        </w:numPr>
        <w:spacing w:after="80" w:before="40"/>
      </w:pPr>
      <w:r>
        <w:rPr>
          <w:rFonts w:ascii="Arial" w:cs="Arial" w:eastAsia="Arial" w:hAnsi="Arial"/>
          <w:color w:val="2C2C3E"/>
          <w:sz w:val="20"/>
          <w:szCs w:val="20"/>
        </w:rPr>
        <w:t xml:space="preserve">Business contacts, prospects, and representatives of client organisations</w:t>
      </w:r>
    </w:p>
    <w:p>
      <w:pPr>
        <w:pStyle w:val="ListParagraph"/>
        <w:numPr>
          <w:ilvl w:val="0"/>
          <w:numId w:val="2"/>
        </w:numPr>
        <w:spacing w:after="80" w:before="40"/>
      </w:pPr>
      <w:r>
        <w:rPr>
          <w:rFonts w:ascii="Arial" w:cs="Arial" w:eastAsia="Arial" w:hAnsi="Arial"/>
          <w:color w:val="2C2C3E"/>
          <w:sz w:val="20"/>
          <w:szCs w:val="20"/>
        </w:rPr>
        <w:t xml:space="preserve">Participants in demonstrations, webinars, or events organised by IntellixBOM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single" w:color="00B4D8" w:sz="4"/>
              <w:bottom w:val="single" w:color="00B4D8" w:sz="4"/>
              <w:right w:val="single" w:color="00B4D8" w:sz="4"/>
            </w:tcBorders>
            <w:shd w:fill="E8F7FB" w:val="clear"/>
            <w:tcMar>
              <w:top w:type="dxa" w:w="140"/>
              <w:left w:type="dxa" w:w="200"/>
              <w:bottom w:type="dxa" w:w="140"/>
              <w:right w:type="dxa" w:w="200"/>
            </w:tcMar>
          </w:tcPr>
          <w:p>
            <w:r>
              <w:rPr>
                <w:rFonts w:ascii="Arial" w:cs="Arial" w:eastAsia="Arial" w:hAnsi="Arial"/>
                <w:color w:val="005F7A"/>
                <w:sz w:val="19"/>
                <w:szCs w:val="19"/>
              </w:rPr>
              <w:t xml:space="preserve">Note: IntellixBOM is a B2B enterprise platform. We primarily process business contact information and professional data of individuals acting in their organisational capacity. We do not knowingly collect personal data from individuals below the age of 18.</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3. Personal Data We Collect</w:t>
      </w:r>
    </w:p>
    <w:p>
      <w:pPr>
        <w:spacing w:after="120" w:before="60"/>
      </w:pPr>
      <w:r>
        <w:rPr>
          <w:rFonts w:ascii="Arial" w:cs="Arial" w:eastAsia="Arial" w:hAnsi="Arial"/>
          <w:color w:val="2C2C3E"/>
          <w:sz w:val="20"/>
          <w:szCs w:val="20"/>
        </w:rPr>
        <w:t xml:space="preserve">We collect only such personal data as is necessary for the purposes described in this policy. The categories of data we may collect include:</w:t>
      </w:r>
    </w:p>
    <w:p>
      <w:pPr>
        <w:spacing w:after="80" w:before="0"/>
      </w:pPr>
      <w:r>
        <w:t xml:space="preserve"/>
      </w:r>
    </w:p>
    <w:p>
      <w:pPr>
        <w:pStyle w:val="Heading2"/>
        <w:spacing w:after="100" w:before="280"/>
      </w:pPr>
      <w:r>
        <w:rPr>
          <w:rFonts w:ascii="Arial" w:cs="Arial" w:eastAsia="Arial" w:hAnsi="Arial"/>
          <w:b/>
          <w:bCs/>
          <w:color w:val="005F7A"/>
          <w:sz w:val="24"/>
          <w:szCs w:val="24"/>
        </w:rPr>
        <w:t xml:space="preserve">3.1 Data You Provide Directly</w:t>
      </w:r>
    </w:p>
    <w:p>
      <w:pPr>
        <w:pStyle w:val="ListParagraph"/>
        <w:numPr>
          <w:ilvl w:val="0"/>
          <w:numId w:val="2"/>
        </w:numPr>
        <w:spacing w:after="80" w:before="40"/>
      </w:pPr>
      <w:r>
        <w:rPr>
          <w:rFonts w:ascii="Arial" w:cs="Arial" w:eastAsia="Arial" w:hAnsi="Arial"/>
          <w:color w:val="2C2C3E"/>
          <w:sz w:val="20"/>
          <w:szCs w:val="20"/>
        </w:rPr>
        <w:t xml:space="preserve">Contact details: full name, business email address, phone number, designation, company name</w:t>
      </w:r>
    </w:p>
    <w:p>
      <w:pPr>
        <w:pStyle w:val="ListParagraph"/>
        <w:numPr>
          <w:ilvl w:val="0"/>
          <w:numId w:val="2"/>
        </w:numPr>
        <w:spacing w:after="80" w:before="40"/>
      </w:pPr>
      <w:r>
        <w:rPr>
          <w:rFonts w:ascii="Arial" w:cs="Arial" w:eastAsia="Arial" w:hAnsi="Arial"/>
          <w:color w:val="2C2C3E"/>
          <w:sz w:val="20"/>
          <w:szCs w:val="20"/>
        </w:rPr>
        <w:t xml:space="preserve">Account credentials: username and encrypted password (for platform users)</w:t>
      </w:r>
    </w:p>
    <w:p>
      <w:pPr>
        <w:pStyle w:val="ListParagraph"/>
        <w:numPr>
          <w:ilvl w:val="0"/>
          <w:numId w:val="2"/>
        </w:numPr>
        <w:spacing w:after="80" w:before="40"/>
      </w:pPr>
      <w:r>
        <w:rPr>
          <w:rFonts w:ascii="Arial" w:cs="Arial" w:eastAsia="Arial" w:hAnsi="Arial"/>
          <w:color w:val="2C2C3E"/>
          <w:sz w:val="20"/>
          <w:szCs w:val="20"/>
        </w:rPr>
        <w:t xml:space="preserve">Correspondence: messages submitted via contact forms, support tickets, or email enquiries</w:t>
      </w:r>
    </w:p>
    <w:p>
      <w:pPr>
        <w:pStyle w:val="ListParagraph"/>
        <w:numPr>
          <w:ilvl w:val="0"/>
          <w:numId w:val="2"/>
        </w:numPr>
        <w:spacing w:after="80" w:before="40"/>
      </w:pPr>
      <w:r>
        <w:rPr>
          <w:rFonts w:ascii="Arial" w:cs="Arial" w:eastAsia="Arial" w:hAnsi="Arial"/>
          <w:color w:val="2C2C3E"/>
          <w:sz w:val="20"/>
          <w:szCs w:val="20"/>
        </w:rPr>
        <w:t xml:space="preserve">Event registrations: data submitted when registering for webinars or product demonstrations</w:t>
      </w:r>
    </w:p>
    <w:p>
      <w:pPr>
        <w:spacing w:after="80" w:before="0"/>
      </w:pPr>
      <w:r>
        <w:t xml:space="preserve"/>
      </w:r>
    </w:p>
    <w:p>
      <w:pPr>
        <w:pStyle w:val="Heading2"/>
        <w:spacing w:after="100" w:before="280"/>
      </w:pPr>
      <w:r>
        <w:rPr>
          <w:rFonts w:ascii="Arial" w:cs="Arial" w:eastAsia="Arial" w:hAnsi="Arial"/>
          <w:b/>
          <w:bCs/>
          <w:color w:val="005F7A"/>
          <w:sz w:val="24"/>
          <w:szCs w:val="24"/>
        </w:rPr>
        <w:t xml:space="preserve">3.2 Data Collected Automatically</w:t>
      </w:r>
    </w:p>
    <w:p>
      <w:pPr>
        <w:pStyle w:val="ListParagraph"/>
        <w:numPr>
          <w:ilvl w:val="0"/>
          <w:numId w:val="2"/>
        </w:numPr>
        <w:spacing w:after="80" w:before="40"/>
      </w:pPr>
      <w:r>
        <w:rPr>
          <w:rFonts w:ascii="Arial" w:cs="Arial" w:eastAsia="Arial" w:hAnsi="Arial"/>
          <w:color w:val="2C2C3E"/>
          <w:sz w:val="20"/>
          <w:szCs w:val="20"/>
        </w:rPr>
        <w:t xml:space="preserve">Technical data: IP address, browser type and version, device type, operating system</w:t>
      </w:r>
    </w:p>
    <w:p>
      <w:pPr>
        <w:pStyle w:val="ListParagraph"/>
        <w:numPr>
          <w:ilvl w:val="0"/>
          <w:numId w:val="2"/>
        </w:numPr>
        <w:spacing w:after="80" w:before="40"/>
      </w:pPr>
      <w:r>
        <w:rPr>
          <w:rFonts w:ascii="Arial" w:cs="Arial" w:eastAsia="Arial" w:hAnsi="Arial"/>
          <w:color w:val="2C2C3E"/>
          <w:sz w:val="20"/>
          <w:szCs w:val="20"/>
        </w:rPr>
        <w:t xml:space="preserve">Usage data: pages visited, session duration, navigation paths, feature interactions</w:t>
      </w:r>
    </w:p>
    <w:p>
      <w:pPr>
        <w:pStyle w:val="ListParagraph"/>
        <w:numPr>
          <w:ilvl w:val="0"/>
          <w:numId w:val="2"/>
        </w:numPr>
        <w:spacing w:after="80" w:before="40"/>
      </w:pPr>
      <w:r>
        <w:rPr>
          <w:rFonts w:ascii="Arial" w:cs="Arial" w:eastAsia="Arial" w:hAnsi="Arial"/>
          <w:color w:val="2C2C3E"/>
          <w:sz w:val="20"/>
          <w:szCs w:val="20"/>
        </w:rPr>
        <w:t xml:space="preserve">Cookie data: as described in Section 8 of this policy</w:t>
      </w:r>
    </w:p>
    <w:p>
      <w:pPr>
        <w:spacing w:after="80" w:before="0"/>
      </w:pPr>
      <w:r>
        <w:t xml:space="preserve"/>
      </w:r>
    </w:p>
    <w:p>
      <w:pPr>
        <w:pStyle w:val="Heading2"/>
        <w:spacing w:after="100" w:before="280"/>
      </w:pPr>
      <w:r>
        <w:rPr>
          <w:rFonts w:ascii="Arial" w:cs="Arial" w:eastAsia="Arial" w:hAnsi="Arial"/>
          <w:b/>
          <w:bCs/>
          <w:color w:val="005F7A"/>
          <w:sz w:val="24"/>
          <w:szCs w:val="24"/>
        </w:rPr>
        <w:t xml:space="preserve">3.3 Data from Third Parties</w:t>
      </w:r>
    </w:p>
    <w:p>
      <w:pPr>
        <w:pStyle w:val="ListParagraph"/>
        <w:numPr>
          <w:ilvl w:val="0"/>
          <w:numId w:val="2"/>
        </w:numPr>
        <w:spacing w:after="80" w:before="40"/>
      </w:pPr>
      <w:r>
        <w:rPr>
          <w:rFonts w:ascii="Arial" w:cs="Arial" w:eastAsia="Arial" w:hAnsi="Arial"/>
          <w:color w:val="2C2C3E"/>
          <w:sz w:val="20"/>
          <w:szCs w:val="20"/>
        </w:rPr>
        <w:t xml:space="preserve">Publicly available professional information (e.g., LinkedIn profiles for business outreach)</w:t>
      </w:r>
    </w:p>
    <w:p>
      <w:pPr>
        <w:pStyle w:val="ListParagraph"/>
        <w:numPr>
          <w:ilvl w:val="0"/>
          <w:numId w:val="2"/>
        </w:numPr>
        <w:spacing w:after="80" w:before="40"/>
      </w:pPr>
      <w:r>
        <w:rPr>
          <w:rFonts w:ascii="Arial" w:cs="Arial" w:eastAsia="Arial" w:hAnsi="Arial"/>
          <w:color w:val="2C2C3E"/>
          <w:sz w:val="20"/>
          <w:szCs w:val="20"/>
        </w:rPr>
        <w:t xml:space="preserve">Referrals from existing clients or partner organisations</w:t>
      </w:r>
    </w:p>
    <w:p>
      <w:pPr>
        <w:spacing w:after="80" w:before="0"/>
      </w:pPr>
      <w:r>
        <w:t xml:space="preserve"/>
      </w:r>
    </w:p>
    <w:p>
      <w:pPr>
        <w:pBdr>
          <w:top w:val="none" w:color="FFFFFF" w:sz="0"/>
          <w:left w:val="single" w:color="00B4D8" w:sz="16"/>
          <w:bottom w:val="none" w:color="FFFFFF" w:sz="0"/>
          <w:right w:val="none" w:color="FFFFFF" w:sz="0"/>
        </w:pBdr>
        <w:spacing w:after="80" w:before="80"/>
        <w:ind w:left="480"/>
      </w:pPr>
      <w:r>
        <w:rPr>
          <w:rFonts w:ascii="Arial" w:cs="Arial" w:eastAsia="Arial" w:hAnsi="Arial"/>
          <w:i/>
          <w:iCs/>
          <w:color w:val="2C2C3E"/>
          <w:sz w:val="20"/>
          <w:szCs w:val="20"/>
        </w:rPr>
        <w:t xml:space="preserve">We do not collect sensitive personal data such as financial information, health data, biometric data, religious or political beliefs, or any data relating to an individual's personal life unless specifically required and separately consented to.</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4. Purposes of Processing and Legal Basis</w:t>
      </w:r>
    </w:p>
    <w:p>
      <w:pPr>
        <w:spacing w:after="120" w:before="60"/>
      </w:pPr>
      <w:r>
        <w:rPr>
          <w:rFonts w:ascii="Arial" w:cs="Arial" w:eastAsia="Arial" w:hAnsi="Arial"/>
          <w:color w:val="2C2C3E"/>
          <w:sz w:val="20"/>
          <w:szCs w:val="20"/>
        </w:rPr>
        <w:t xml:space="preserve">We process personal data only for legitimate, specified purposes. Under the DPDP Act, 2023, we rely on the following legal bases: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760"/>
        <w:gridCol w:w="2400"/>
      </w:tblGrid>
      <w:tr>
        <w:trPr>
          <w:tblHeader/>
        </w:trPr>
        <w:tc>
          <w:tcPr>
            <w:tcW w:type="dxa" w:w="3200"/>
            <w:tcBorders>
              <w:top w:val="single" w:color="D1E8F0" w:sz="1"/>
              <w:left w:val="single" w:color="D1E8F0" w:sz="1"/>
              <w:bottom w:val="single" w:color="D1E8F0" w:sz="1"/>
              <w:right w:val="single" w:color="D1E8F0"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3760"/>
            <w:tcBorders>
              <w:top w:val="single" w:color="D1E8F0" w:sz="1"/>
              <w:left w:val="single" w:color="D1E8F0" w:sz="1"/>
              <w:bottom w:val="single" w:color="D1E8F0" w:sz="1"/>
              <w:right w:val="single" w:color="D1E8F0"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Data Used</w:t>
            </w:r>
          </w:p>
        </w:tc>
        <w:tc>
          <w:tcPr>
            <w:tcW w:type="dxa" w:w="2400"/>
            <w:tcBorders>
              <w:top w:val="single" w:color="D1E8F0" w:sz="1"/>
              <w:left w:val="single" w:color="D1E8F0" w:sz="1"/>
              <w:bottom w:val="single" w:color="D1E8F0" w:sz="1"/>
              <w:right w:val="single" w:color="D1E8F0"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Legal Basis</w:t>
            </w:r>
          </w:p>
        </w:tc>
      </w:tr>
      <w:tr>
        <w:tc>
          <w:tcPr>
            <w:tcW w:type="dxa" w:w="32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Platform access &amp; account management</w:t>
            </w:r>
          </w:p>
        </w:tc>
        <w:tc>
          <w:tcPr>
            <w:tcW w:type="dxa" w:w="37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Name, email, credentials</w:t>
            </w:r>
          </w:p>
        </w:tc>
        <w:tc>
          <w:tcPr>
            <w:tcW w:type="dxa" w:w="24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Consent / Contract</w:t>
            </w:r>
          </w:p>
        </w:tc>
      </w:tr>
      <w:tr>
        <w:tc>
          <w:tcPr>
            <w:tcW w:type="dxa" w:w="32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Responding to enquiries and support</w:t>
            </w:r>
          </w:p>
        </w:tc>
        <w:tc>
          <w:tcPr>
            <w:tcW w:type="dxa" w:w="37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Name, email, message content</w:t>
            </w:r>
          </w:p>
        </w:tc>
        <w:tc>
          <w:tcPr>
            <w:tcW w:type="dxa" w:w="24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Consent / Legitimate Interest</w:t>
            </w:r>
          </w:p>
        </w:tc>
      </w:tr>
      <w:tr>
        <w:tc>
          <w:tcPr>
            <w:tcW w:type="dxa" w:w="32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Providing licensed software &amp; services</w:t>
            </w:r>
          </w:p>
        </w:tc>
        <w:tc>
          <w:tcPr>
            <w:tcW w:type="dxa" w:w="37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Business contact, usage data</w:t>
            </w:r>
          </w:p>
        </w:tc>
        <w:tc>
          <w:tcPr>
            <w:tcW w:type="dxa" w:w="24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Contract Performance</w:t>
            </w:r>
          </w:p>
        </w:tc>
      </w:tr>
      <w:tr>
        <w:tc>
          <w:tcPr>
            <w:tcW w:type="dxa" w:w="32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Product updates and security notices</w:t>
            </w:r>
          </w:p>
        </w:tc>
        <w:tc>
          <w:tcPr>
            <w:tcW w:type="dxa" w:w="37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Email address</w:t>
            </w:r>
          </w:p>
        </w:tc>
        <w:tc>
          <w:tcPr>
            <w:tcW w:type="dxa" w:w="24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Legitimate Interest</w:t>
            </w:r>
          </w:p>
        </w:tc>
      </w:tr>
      <w:tr>
        <w:tc>
          <w:tcPr>
            <w:tcW w:type="dxa" w:w="32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Marketing communications (opt-in only)</w:t>
            </w:r>
          </w:p>
        </w:tc>
        <w:tc>
          <w:tcPr>
            <w:tcW w:type="dxa" w:w="37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Name, email, company</w:t>
            </w:r>
          </w:p>
        </w:tc>
        <w:tc>
          <w:tcPr>
            <w:tcW w:type="dxa" w:w="24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Consent</w:t>
            </w:r>
          </w:p>
        </w:tc>
      </w:tr>
      <w:tr>
        <w:tc>
          <w:tcPr>
            <w:tcW w:type="dxa" w:w="32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Compliance &amp; legal obligations</w:t>
            </w:r>
          </w:p>
        </w:tc>
        <w:tc>
          <w:tcPr>
            <w:tcW w:type="dxa" w:w="37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As required by law</w:t>
            </w:r>
          </w:p>
        </w:tc>
        <w:tc>
          <w:tcPr>
            <w:tcW w:type="dxa" w:w="24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Legal Obligation</w:t>
            </w:r>
          </w:p>
        </w:tc>
      </w:tr>
      <w:tr>
        <w:tc>
          <w:tcPr>
            <w:tcW w:type="dxa" w:w="32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Security monitoring &amp; fraud prevention</w:t>
            </w:r>
          </w:p>
        </w:tc>
        <w:tc>
          <w:tcPr>
            <w:tcW w:type="dxa" w:w="37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IP, access logs, usage data</w:t>
            </w:r>
          </w:p>
        </w:tc>
        <w:tc>
          <w:tcPr>
            <w:tcW w:type="dxa" w:w="24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Legitimate Interest</w:t>
            </w:r>
          </w:p>
        </w:tc>
      </w:tr>
      <w:tr>
        <w:tc>
          <w:tcPr>
            <w:tcW w:type="dxa" w:w="32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Analytics and product improvement</w:t>
            </w:r>
          </w:p>
        </w:tc>
        <w:tc>
          <w:tcPr>
            <w:tcW w:type="dxa" w:w="37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Anonymised usage data</w:t>
            </w:r>
          </w:p>
        </w:tc>
        <w:tc>
          <w:tcPr>
            <w:tcW w:type="dxa" w:w="24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Legitimate Interest</w:t>
            </w:r>
          </w:p>
        </w:tc>
      </w:tr>
      <w:tr>
        <w:tc>
          <w:tcPr>
            <w:tcW w:type="dxa" w:w="32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CERT-In compliance and incident reporting</w:t>
            </w:r>
          </w:p>
        </w:tc>
        <w:tc>
          <w:tcPr>
            <w:tcW w:type="dxa" w:w="37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As mandated by CERT-In</w:t>
            </w:r>
          </w:p>
        </w:tc>
        <w:tc>
          <w:tcPr>
            <w:tcW w:type="dxa" w:w="24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Legal Obligation</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5. Consent and Notice</w:t>
      </w:r>
    </w:p>
    <w:p>
      <w:pPr>
        <w:spacing w:after="120" w:before="60"/>
      </w:pPr>
      <w:r>
        <w:rPr>
          <w:rFonts w:ascii="Arial" w:cs="Arial" w:eastAsia="Arial" w:hAnsi="Arial"/>
          <w:color w:val="2C2C3E"/>
          <w:sz w:val="20"/>
          <w:szCs w:val="20"/>
        </w:rPr>
        <w:t xml:space="preserve">In accordance with the DPDP Act, 2023, where we rely on consent as the legal basis for processing:</w:t>
      </w:r>
    </w:p>
    <w:p>
      <w:pPr>
        <w:pStyle w:val="ListParagraph"/>
        <w:numPr>
          <w:ilvl w:val="0"/>
          <w:numId w:val="2"/>
        </w:numPr>
        <w:spacing w:after="80" w:before="40"/>
      </w:pPr>
      <w:r>
        <w:rPr>
          <w:rFonts w:ascii="Arial" w:cs="Arial" w:eastAsia="Arial" w:hAnsi="Arial"/>
          <w:color w:val="2C2C3E"/>
          <w:sz w:val="20"/>
          <w:szCs w:val="20"/>
        </w:rPr>
        <w:t xml:space="preserve">We will provide a clear and itemised notice describing the personal data being collected, the purpose of processing, and how consent may be withdrawn</w:t>
      </w:r>
    </w:p>
    <w:p>
      <w:pPr>
        <w:pStyle w:val="ListParagraph"/>
        <w:numPr>
          <w:ilvl w:val="0"/>
          <w:numId w:val="2"/>
        </w:numPr>
        <w:spacing w:after="80" w:before="40"/>
      </w:pPr>
      <w:r>
        <w:rPr>
          <w:rFonts w:ascii="Arial" w:cs="Arial" w:eastAsia="Arial" w:hAnsi="Arial"/>
          <w:color w:val="2C2C3E"/>
          <w:sz w:val="20"/>
          <w:szCs w:val="20"/>
        </w:rPr>
        <w:t xml:space="preserve">Consent will be obtained freely, specifically, informedly, unconditionally, and unambiguously through a clear affirmative action</w:t>
      </w:r>
    </w:p>
    <w:p>
      <w:pPr>
        <w:pStyle w:val="ListParagraph"/>
        <w:numPr>
          <w:ilvl w:val="0"/>
          <w:numId w:val="2"/>
        </w:numPr>
        <w:spacing w:after="80" w:before="40"/>
      </w:pPr>
      <w:r>
        <w:rPr>
          <w:rFonts w:ascii="Arial" w:cs="Arial" w:eastAsia="Arial" w:hAnsi="Arial"/>
          <w:color w:val="2C2C3E"/>
          <w:sz w:val="20"/>
          <w:szCs w:val="20"/>
        </w:rPr>
        <w:t xml:space="preserve">We will not process personal data for purposes beyond those notified without obtaining fresh consent</w:t>
      </w:r>
    </w:p>
    <w:p>
      <w:pPr>
        <w:pStyle w:val="ListParagraph"/>
        <w:numPr>
          <w:ilvl w:val="0"/>
          <w:numId w:val="2"/>
        </w:numPr>
        <w:spacing w:after="80" w:before="40"/>
      </w:pPr>
      <w:r>
        <w:rPr>
          <w:rFonts w:ascii="Arial" w:cs="Arial" w:eastAsia="Arial" w:hAnsi="Arial"/>
          <w:color w:val="2C2C3E"/>
          <w:sz w:val="20"/>
          <w:szCs w:val="20"/>
        </w:rPr>
        <w:t xml:space="preserve">You may withdraw consent at any time by contacting us at privacy@intellixbom.com; withdrawal does not affect the lawfulness of processing prior to withdrawal</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single" w:color="00B4D8" w:sz="4"/>
              <w:bottom w:val="single" w:color="00B4D8" w:sz="4"/>
              <w:right w:val="single" w:color="00B4D8" w:sz="4"/>
            </w:tcBorders>
            <w:shd w:fill="E8F7FB" w:val="clear"/>
            <w:tcMar>
              <w:top w:type="dxa" w:w="140"/>
              <w:left w:type="dxa" w:w="200"/>
              <w:bottom w:type="dxa" w:w="140"/>
              <w:right w:type="dxa" w:w="200"/>
            </w:tcMar>
          </w:tcPr>
          <w:p>
            <w:r>
              <w:rPr>
                <w:rFonts w:ascii="Arial" w:cs="Arial" w:eastAsia="Arial" w:hAnsi="Arial"/>
                <w:color w:val="005F7A"/>
                <w:sz w:val="19"/>
                <w:szCs w:val="19"/>
              </w:rPr>
              <w:t xml:space="preserve">Marketing emails: We will only send promotional communications where you have opted in. Each communication includes an unsubscribe option.</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6. Sharing and Disclosure of Personal Data</w:t>
      </w:r>
    </w:p>
    <w:p>
      <w:pPr>
        <w:spacing w:after="120" w:before="60"/>
      </w:pPr>
      <w:r>
        <w:rPr>
          <w:rFonts w:ascii="Arial" w:cs="Arial" w:eastAsia="Arial" w:hAnsi="Arial"/>
          <w:color w:val="2C2C3E"/>
          <w:sz w:val="20"/>
          <w:szCs w:val="20"/>
        </w:rPr>
        <w:t xml:space="preserve">IntellixBOM does not sell, rent, or trade personal data. We may share data with trusted parties solely as needed:</w:t>
      </w:r>
    </w:p>
    <w:p>
      <w:pPr>
        <w:spacing w:after="80" w:before="0"/>
      </w:pPr>
      <w:r>
        <w:t xml:space="preserve"/>
      </w:r>
    </w:p>
    <w:p>
      <w:pPr>
        <w:pStyle w:val="Heading2"/>
        <w:spacing w:after="100" w:before="280"/>
      </w:pPr>
      <w:r>
        <w:rPr>
          <w:rFonts w:ascii="Arial" w:cs="Arial" w:eastAsia="Arial" w:hAnsi="Arial"/>
          <w:b/>
          <w:bCs/>
          <w:color w:val="005F7A"/>
          <w:sz w:val="24"/>
          <w:szCs w:val="24"/>
        </w:rPr>
        <w:t xml:space="preserve">6.1 Within Our Organisation</w:t>
      </w:r>
    </w:p>
    <w:p>
      <w:pPr>
        <w:spacing w:after="120" w:before="60"/>
      </w:pPr>
      <w:r>
        <w:rPr>
          <w:rFonts w:ascii="Arial" w:cs="Arial" w:eastAsia="Arial" w:hAnsi="Arial"/>
          <w:color w:val="2C2C3E"/>
          <w:sz w:val="20"/>
          <w:szCs w:val="20"/>
        </w:rPr>
        <w:t xml:space="preserve">Personal data is shared internally only with staff who need it to fulfil a business purpose, subject to confidentiality obligations.</w:t>
      </w:r>
    </w:p>
    <w:p>
      <w:pPr>
        <w:pStyle w:val="Heading2"/>
        <w:spacing w:after="100" w:before="280"/>
      </w:pPr>
      <w:r>
        <w:rPr>
          <w:rFonts w:ascii="Arial" w:cs="Arial" w:eastAsia="Arial" w:hAnsi="Arial"/>
          <w:b/>
          <w:bCs/>
          <w:color w:val="005F7A"/>
          <w:sz w:val="24"/>
          <w:szCs w:val="24"/>
        </w:rPr>
        <w:t xml:space="preserve">6.2 Authorised Service Providers (Data Processors)</w:t>
      </w:r>
    </w:p>
    <w:p>
      <w:pPr>
        <w:spacing w:after="120" w:before="60"/>
      </w:pPr>
      <w:r>
        <w:rPr>
          <w:rFonts w:ascii="Arial" w:cs="Arial" w:eastAsia="Arial" w:hAnsi="Arial"/>
          <w:color w:val="2C2C3E"/>
          <w:sz w:val="20"/>
          <w:szCs w:val="20"/>
        </w:rPr>
        <w:t xml:space="preserve">We engage third-party service providers to assist with platform operations, analytics, communication, and cloud infrastructure. These providers are:</w:t>
      </w:r>
    </w:p>
    <w:p>
      <w:pPr>
        <w:pStyle w:val="ListParagraph"/>
        <w:numPr>
          <w:ilvl w:val="0"/>
          <w:numId w:val="2"/>
        </w:numPr>
        <w:spacing w:after="80" w:before="40"/>
      </w:pPr>
      <w:r>
        <w:rPr>
          <w:rFonts w:ascii="Arial" w:cs="Arial" w:eastAsia="Arial" w:hAnsi="Arial"/>
          <w:color w:val="2C2C3E"/>
          <w:sz w:val="20"/>
          <w:szCs w:val="20"/>
        </w:rPr>
        <w:t xml:space="preserve">Bound by written data processing agreements ensuring DPDP Act compliance</w:t>
      </w:r>
    </w:p>
    <w:p>
      <w:pPr>
        <w:pStyle w:val="ListParagraph"/>
        <w:numPr>
          <w:ilvl w:val="0"/>
          <w:numId w:val="2"/>
        </w:numPr>
        <w:spacing w:after="80" w:before="40"/>
      </w:pPr>
      <w:r>
        <w:rPr>
          <w:rFonts w:ascii="Arial" w:cs="Arial" w:eastAsia="Arial" w:hAnsi="Arial"/>
          <w:color w:val="2C2C3E"/>
          <w:sz w:val="20"/>
          <w:szCs w:val="20"/>
        </w:rPr>
        <w:t xml:space="preserve">Prohibited from using your data for any purpose other than providing the contracted service</w:t>
      </w:r>
    </w:p>
    <w:p>
      <w:pPr>
        <w:pStyle w:val="ListParagraph"/>
        <w:numPr>
          <w:ilvl w:val="0"/>
          <w:numId w:val="2"/>
        </w:numPr>
        <w:spacing w:after="80" w:before="40"/>
      </w:pPr>
      <w:r>
        <w:rPr>
          <w:rFonts w:ascii="Arial" w:cs="Arial" w:eastAsia="Arial" w:hAnsi="Arial"/>
          <w:color w:val="2C2C3E"/>
          <w:sz w:val="20"/>
          <w:szCs w:val="20"/>
        </w:rPr>
        <w:t xml:space="preserve">Vetted for security and data protection standards</w:t>
      </w:r>
    </w:p>
    <w:p>
      <w:pPr>
        <w:pStyle w:val="Heading2"/>
        <w:spacing w:after="100" w:before="280"/>
      </w:pPr>
      <w:r>
        <w:rPr>
          <w:rFonts w:ascii="Arial" w:cs="Arial" w:eastAsia="Arial" w:hAnsi="Arial"/>
          <w:b/>
          <w:bCs/>
          <w:color w:val="005F7A"/>
          <w:sz w:val="24"/>
          <w:szCs w:val="24"/>
        </w:rPr>
        <w:t xml:space="preserve">6.3 Law Enforcement and Regulatory Bodies</w:t>
      </w:r>
    </w:p>
    <w:p>
      <w:pPr>
        <w:spacing w:after="120" w:before="60"/>
      </w:pPr>
      <w:r>
        <w:rPr>
          <w:rFonts w:ascii="Arial" w:cs="Arial" w:eastAsia="Arial" w:hAnsi="Arial"/>
          <w:color w:val="2C2C3E"/>
          <w:sz w:val="20"/>
          <w:szCs w:val="20"/>
        </w:rPr>
        <w:t xml:space="preserve">We may disclose personal data where required by law, court order, CERT-In directives, or directions from any competent Indian government authority. We will, to the extent permitted by law, notify affected Data Principals before such disclosure.</w:t>
      </w:r>
    </w:p>
    <w:p>
      <w:pPr>
        <w:pStyle w:val="Heading2"/>
        <w:spacing w:after="100" w:before="280"/>
      </w:pPr>
      <w:r>
        <w:rPr>
          <w:rFonts w:ascii="Arial" w:cs="Arial" w:eastAsia="Arial" w:hAnsi="Arial"/>
          <w:b/>
          <w:bCs/>
          <w:color w:val="005F7A"/>
          <w:sz w:val="24"/>
          <w:szCs w:val="24"/>
        </w:rPr>
        <w:t xml:space="preserve">6.4 Business Transfers</w:t>
      </w:r>
    </w:p>
    <w:p>
      <w:pPr>
        <w:spacing w:after="120" w:before="60"/>
      </w:pPr>
      <w:r>
        <w:rPr>
          <w:rFonts w:ascii="Arial" w:cs="Arial" w:eastAsia="Arial" w:hAnsi="Arial"/>
          <w:color w:val="2C2C3E"/>
          <w:sz w:val="20"/>
          <w:szCs w:val="20"/>
        </w:rPr>
        <w:t xml:space="preserve">In the event of a merger, acquisition, or sale of assets, personal data may be transferred to the successor entity, subject to equivalent privacy protections.</w:t>
      </w:r>
    </w:p>
    <w:p>
      <w:pPr>
        <w:spacing w:after="80" w:before="0"/>
      </w:pPr>
      <w:r>
        <w:t xml:space="preserve"/>
      </w:r>
    </w:p>
    <w:p>
      <w:pPr>
        <w:pBdr>
          <w:top w:val="none" w:color="FFFFFF" w:sz="0"/>
          <w:left w:val="single" w:color="00B4D8" w:sz="16"/>
          <w:bottom w:val="none" w:color="FFFFFF" w:sz="0"/>
          <w:right w:val="none" w:color="FFFFFF" w:sz="0"/>
        </w:pBdr>
        <w:spacing w:after="80" w:before="80"/>
        <w:ind w:left="480"/>
      </w:pPr>
      <w:r>
        <w:rPr>
          <w:rFonts w:ascii="Arial" w:cs="Arial" w:eastAsia="Arial" w:hAnsi="Arial"/>
          <w:i/>
          <w:iCs/>
          <w:color w:val="2C2C3E"/>
          <w:sz w:val="20"/>
          <w:szCs w:val="20"/>
        </w:rPr>
        <w:t xml:space="preserve">We ensure that all third parties with whom we share personal data are contractually obligated to protect it to a standard consistent with this policy and applicable law.</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7. Cross-Border Data Transfers</w:t>
      </w:r>
    </w:p>
    <w:p>
      <w:pPr>
        <w:spacing w:after="120" w:before="60"/>
      </w:pPr>
      <w:r>
        <w:rPr>
          <w:rFonts w:ascii="Arial" w:cs="Arial" w:eastAsia="Arial" w:hAnsi="Arial"/>
          <w:color w:val="2C2C3E"/>
          <w:sz w:val="20"/>
          <w:szCs w:val="20"/>
        </w:rPr>
        <w:t xml:space="preserve">IntellixBOM primarily processes and stores personal data within India. Where we transfer personal data outside India (for example, to cloud infrastructure providers), such transfers will be:</w:t>
      </w:r>
    </w:p>
    <w:p>
      <w:pPr>
        <w:pStyle w:val="ListParagraph"/>
        <w:numPr>
          <w:ilvl w:val="0"/>
          <w:numId w:val="2"/>
        </w:numPr>
        <w:spacing w:after="80" w:before="40"/>
      </w:pPr>
      <w:r>
        <w:rPr>
          <w:rFonts w:ascii="Arial" w:cs="Arial" w:eastAsia="Arial" w:hAnsi="Arial"/>
          <w:color w:val="2C2C3E"/>
          <w:sz w:val="20"/>
          <w:szCs w:val="20"/>
        </w:rPr>
        <w:t xml:space="preserve">Made only to countries or entities notified as permissible under the DPDP Act, 2023 or as directed by the Central Government</w:t>
      </w:r>
    </w:p>
    <w:p>
      <w:pPr>
        <w:pStyle w:val="ListParagraph"/>
        <w:numPr>
          <w:ilvl w:val="0"/>
          <w:numId w:val="2"/>
        </w:numPr>
        <w:spacing w:after="80" w:before="40"/>
      </w:pPr>
      <w:r>
        <w:rPr>
          <w:rFonts w:ascii="Arial" w:cs="Arial" w:eastAsia="Arial" w:hAnsi="Arial"/>
          <w:color w:val="2C2C3E"/>
          <w:sz w:val="20"/>
          <w:szCs w:val="20"/>
        </w:rPr>
        <w:t xml:space="preserve">Subject to contractual safeguards ensuring equivalent data protection</w:t>
      </w:r>
    </w:p>
    <w:p>
      <w:pPr>
        <w:pStyle w:val="ListParagraph"/>
        <w:numPr>
          <w:ilvl w:val="0"/>
          <w:numId w:val="2"/>
        </w:numPr>
        <w:spacing w:after="80" w:before="40"/>
      </w:pPr>
      <w:r>
        <w:rPr>
          <w:rFonts w:ascii="Arial" w:cs="Arial" w:eastAsia="Arial" w:hAnsi="Arial"/>
          <w:color w:val="2C2C3E"/>
          <w:sz w:val="20"/>
          <w:szCs w:val="20"/>
        </w:rPr>
        <w:t xml:space="preserve">Conducted only to the extent necessary for delivering our services</w:t>
      </w:r>
    </w:p>
    <w:p>
      <w:pPr>
        <w:spacing w:after="80" w:before="0"/>
      </w:pPr>
      <w:r>
        <w:t xml:space="preserve"/>
      </w:r>
    </w:p>
    <w:p>
      <w:pPr>
        <w:spacing w:after="120" w:before="60"/>
      </w:pPr>
      <w:r>
        <w:rPr>
          <w:rFonts w:ascii="Arial" w:cs="Arial" w:eastAsia="Arial" w:hAnsi="Arial"/>
          <w:color w:val="2C2C3E"/>
          <w:sz w:val="20"/>
          <w:szCs w:val="20"/>
        </w:rPr>
        <w:t xml:space="preserve">We will update this section as and when the Central Government issues further rules and whitelisted jurisdictions under the DPDP Act.</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8. Data Retention</w:t>
      </w:r>
    </w:p>
    <w:p>
      <w:pPr>
        <w:spacing w:after="120" w:before="60"/>
      </w:pPr>
      <w:r>
        <w:rPr>
          <w:rFonts w:ascii="Arial" w:cs="Arial" w:eastAsia="Arial" w:hAnsi="Arial"/>
          <w:color w:val="2C2C3E"/>
          <w:sz w:val="20"/>
          <w:szCs w:val="20"/>
        </w:rPr>
        <w:t xml:space="preserve">We retain personal data only for as long as necessary to fulfil the purposes for which it was collected, or as required by applicable law. Our retention principles:</w:t>
      </w:r>
    </w:p>
    <w:p>
      <w:pPr>
        <w:pStyle w:val="ListParagraph"/>
        <w:numPr>
          <w:ilvl w:val="0"/>
          <w:numId w:val="2"/>
        </w:numPr>
        <w:spacing w:after="80" w:before="40"/>
      </w:pPr>
      <w:r>
        <w:rPr>
          <w:rFonts w:ascii="Arial" w:cs="Arial" w:eastAsia="Arial" w:hAnsi="Arial"/>
          <w:color w:val="2C2C3E"/>
          <w:sz w:val="20"/>
          <w:szCs w:val="20"/>
        </w:rPr>
        <w:t xml:space="preserve">Account data is retained for the duration of your engagement with us and up to 3 years thereafter for legal and audit purposes</w:t>
      </w:r>
    </w:p>
    <w:p>
      <w:pPr>
        <w:pStyle w:val="ListParagraph"/>
        <w:numPr>
          <w:ilvl w:val="0"/>
          <w:numId w:val="2"/>
        </w:numPr>
        <w:spacing w:after="80" w:before="40"/>
      </w:pPr>
      <w:r>
        <w:rPr>
          <w:rFonts w:ascii="Arial" w:cs="Arial" w:eastAsia="Arial" w:hAnsi="Arial"/>
          <w:color w:val="2C2C3E"/>
          <w:sz w:val="20"/>
          <w:szCs w:val="20"/>
        </w:rPr>
        <w:t xml:space="preserve">Marketing contact data is retained until consent is withdrawn or you opt out</w:t>
      </w:r>
    </w:p>
    <w:p>
      <w:pPr>
        <w:pStyle w:val="ListParagraph"/>
        <w:numPr>
          <w:ilvl w:val="0"/>
          <w:numId w:val="2"/>
        </w:numPr>
        <w:spacing w:after="80" w:before="40"/>
      </w:pPr>
      <w:r>
        <w:rPr>
          <w:rFonts w:ascii="Arial" w:cs="Arial" w:eastAsia="Arial" w:hAnsi="Arial"/>
          <w:color w:val="2C2C3E"/>
          <w:sz w:val="20"/>
          <w:szCs w:val="20"/>
        </w:rPr>
        <w:t xml:space="preserve">Security and access logs are retained for 1 year in line with CERT-In guidelines (or such period as mandated by law)</w:t>
      </w:r>
    </w:p>
    <w:p>
      <w:pPr>
        <w:pStyle w:val="ListParagraph"/>
        <w:numPr>
          <w:ilvl w:val="0"/>
          <w:numId w:val="2"/>
        </w:numPr>
        <w:spacing w:after="80" w:before="40"/>
      </w:pPr>
      <w:r>
        <w:rPr>
          <w:rFonts w:ascii="Arial" w:cs="Arial" w:eastAsia="Arial" w:hAnsi="Arial"/>
          <w:color w:val="2C2C3E"/>
          <w:sz w:val="20"/>
          <w:szCs w:val="20"/>
        </w:rPr>
        <w:t xml:space="preserve">Legal correspondence and compliance records are retained for such periods as required under applicable Indian law</w:t>
      </w:r>
    </w:p>
    <w:p>
      <w:pPr>
        <w:spacing w:after="80" w:before="0"/>
      </w:pPr>
      <w:r>
        <w:t xml:space="preserve"/>
      </w:r>
    </w:p>
    <w:p>
      <w:pPr>
        <w:spacing w:after="120" w:before="60"/>
      </w:pPr>
      <w:r>
        <w:rPr>
          <w:rFonts w:ascii="Arial" w:cs="Arial" w:eastAsia="Arial" w:hAnsi="Arial"/>
          <w:color w:val="2C2C3E"/>
          <w:sz w:val="20"/>
          <w:szCs w:val="20"/>
        </w:rPr>
        <w:t xml:space="preserve">Upon expiry of the applicable retention period, personal data will be securely deleted or anonymised.</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9. Cookies and Tracking Technologies</w:t>
      </w:r>
    </w:p>
    <w:p>
      <w:pPr>
        <w:spacing w:after="120" w:before="60"/>
      </w:pPr>
      <w:r>
        <w:rPr>
          <w:rFonts w:ascii="Arial" w:cs="Arial" w:eastAsia="Arial" w:hAnsi="Arial"/>
          <w:color w:val="2C2C3E"/>
          <w:sz w:val="20"/>
          <w:szCs w:val="20"/>
        </w:rPr>
        <w:t xml:space="preserve">Our website uses cookies and similar technologies to enhance user experience and analyse site performance. We use: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tcBorders>
              <w:top w:val="single" w:color="D1E8F0" w:sz="1"/>
              <w:left w:val="single" w:color="D1E8F0" w:sz="1"/>
              <w:bottom w:val="single" w:color="D1E8F0" w:sz="1"/>
              <w:right w:val="single" w:color="D1E8F0" w:sz="1"/>
            </w:tcBorders>
            <w:shd w:fill="0D1B2A" w:val="clear"/>
            <w:tcMar>
              <w:top w:type="dxa" w:w="80"/>
              <w:left w:type="dxa" w:w="160"/>
              <w:bottom w:type="dxa" w:w="80"/>
              <w:right w:type="dxa" w:w="160"/>
            </w:tcMar>
          </w:tcPr>
          <w:p>
            <w:r>
              <w:rPr>
                <w:rFonts w:ascii="Arial" w:cs="Arial" w:eastAsia="Arial" w:hAnsi="Arial"/>
                <w:b/>
                <w:bCs/>
                <w:color w:val="FFFFFF"/>
                <w:sz w:val="20"/>
                <w:szCs w:val="20"/>
              </w:rPr>
              <w:t xml:space="preserve">Cookie Type</w:t>
            </w:r>
          </w:p>
        </w:tc>
        <w:tc>
          <w:tcPr>
            <w:tcW w:type="dxa" w:w="4160"/>
            <w:tcBorders>
              <w:top w:val="single" w:color="D1E8F0" w:sz="1"/>
              <w:left w:val="single" w:color="D1E8F0" w:sz="1"/>
              <w:bottom w:val="single" w:color="D1E8F0" w:sz="1"/>
              <w:right w:val="single" w:color="D1E8F0" w:sz="1"/>
            </w:tcBorders>
            <w:shd w:fill="0D1B2A" w:val="clear"/>
            <w:tcMar>
              <w:top w:type="dxa" w:w="80"/>
              <w:left w:type="dxa" w:w="160"/>
              <w:bottom w:type="dxa" w:w="80"/>
              <w:right w:type="dxa" w:w="160"/>
            </w:tcMar>
          </w:tcPr>
          <w:p>
            <w:r>
              <w:rPr>
                <w:rFonts w:ascii="Arial" w:cs="Arial" w:eastAsia="Arial" w:hAnsi="Arial"/>
                <w:b/>
                <w:bCs/>
                <w:color w:val="FFFFFF"/>
                <w:sz w:val="20"/>
                <w:szCs w:val="20"/>
              </w:rPr>
              <w:t xml:space="preserve">Purpose</w:t>
            </w:r>
          </w:p>
        </w:tc>
        <w:tc>
          <w:tcPr>
            <w:tcW w:type="dxa" w:w="2600"/>
            <w:tcBorders>
              <w:top w:val="single" w:color="D1E8F0" w:sz="1"/>
              <w:left w:val="single" w:color="D1E8F0" w:sz="1"/>
              <w:bottom w:val="single" w:color="D1E8F0" w:sz="1"/>
              <w:right w:val="single" w:color="D1E8F0" w:sz="1"/>
            </w:tcBorders>
            <w:shd w:fill="0D1B2A" w:val="clear"/>
            <w:tcMar>
              <w:top w:type="dxa" w:w="80"/>
              <w:left w:type="dxa" w:w="160"/>
              <w:bottom w:type="dxa" w:w="80"/>
              <w:right w:type="dxa" w:w="160"/>
            </w:tcMar>
          </w:tcPr>
          <w:p>
            <w:r>
              <w:rPr>
                <w:rFonts w:ascii="Arial" w:cs="Arial" w:eastAsia="Arial" w:hAnsi="Arial"/>
                <w:b/>
                <w:bCs/>
                <w:color w:val="FFFFFF"/>
                <w:sz w:val="20"/>
                <w:szCs w:val="20"/>
              </w:rPr>
              <w:t xml:space="preserve">Can be Disabled?</w:t>
            </w:r>
          </w:p>
        </w:tc>
      </w:tr>
      <w:tr>
        <w:tc>
          <w:tcPr>
            <w:tcW w:type="dxa" w:w="26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Essential Cookies</w:t>
            </w:r>
          </w:p>
        </w:tc>
        <w:tc>
          <w:tcPr>
            <w:tcW w:type="dxa" w:w="41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Required for website functionality and security; cannot be disabled without affecting site operation</w:t>
            </w:r>
          </w:p>
        </w:tc>
        <w:tc>
          <w:tcPr>
            <w:tcW w:type="dxa" w:w="26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No</w:t>
            </w:r>
          </w:p>
        </w:tc>
      </w:tr>
      <w:tr>
        <w:tc>
          <w:tcPr>
            <w:tcW w:type="dxa" w:w="26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Analytics Cookies</w:t>
            </w:r>
          </w:p>
        </w:tc>
        <w:tc>
          <w:tcPr>
            <w:tcW w:type="dxa" w:w="41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Help us understand how visitors interact with our site (e.g., Google Analytics — anonymised)</w:t>
            </w:r>
          </w:p>
        </w:tc>
        <w:tc>
          <w:tcPr>
            <w:tcW w:type="dxa" w:w="26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Yes</w:t>
            </w:r>
          </w:p>
        </w:tc>
      </w:tr>
      <w:tr>
        <w:tc>
          <w:tcPr>
            <w:tcW w:type="dxa" w:w="26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Preference Cookies</w:t>
            </w:r>
          </w:p>
        </w:tc>
        <w:tc>
          <w:tcPr>
            <w:tcW w:type="dxa" w:w="416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Remember your settings and preferences across sessions</w:t>
            </w:r>
          </w:p>
        </w:tc>
        <w:tc>
          <w:tcPr>
            <w:tcW w:type="dxa" w:w="2600"/>
            <w:tcBorders>
              <w:top w:val="single" w:color="D1E8F0" w:sz="1"/>
              <w:left w:val="single" w:color="D1E8F0" w:sz="1"/>
              <w:bottom w:val="single" w:color="D1E8F0" w:sz="1"/>
              <w:right w:val="single" w:color="D1E8F0" w:sz="1"/>
            </w:tcBorders>
            <w:shd w:fill="FFFFFF" w:val="clear"/>
            <w:tcMar>
              <w:top w:type="dxa" w:w="80"/>
              <w:left w:type="dxa" w:w="160"/>
              <w:bottom w:type="dxa" w:w="80"/>
              <w:right w:type="dxa" w:w="160"/>
            </w:tcMar>
          </w:tcPr>
          <w:p>
            <w:r>
              <w:rPr>
                <w:rFonts w:ascii="Arial" w:cs="Arial" w:eastAsia="Arial" w:hAnsi="Arial"/>
                <w:color w:val="2C2C3E"/>
                <w:sz w:val="19"/>
                <w:szCs w:val="19"/>
              </w:rPr>
              <w:t xml:space="preserve">Yes</w:t>
            </w:r>
          </w:p>
        </w:tc>
      </w:tr>
      <w:tr>
        <w:tc>
          <w:tcPr>
            <w:tcW w:type="dxa" w:w="26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Marketing Cookies</w:t>
            </w:r>
          </w:p>
        </w:tc>
        <w:tc>
          <w:tcPr>
            <w:tcW w:type="dxa" w:w="416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Used only if you have opted in to marketing communications</w:t>
            </w:r>
          </w:p>
        </w:tc>
        <w:tc>
          <w:tcPr>
            <w:tcW w:type="dxa" w:w="2600"/>
            <w:tcBorders>
              <w:top w:val="single" w:color="D1E8F0" w:sz="1"/>
              <w:left w:val="single" w:color="D1E8F0" w:sz="1"/>
              <w:bottom w:val="single" w:color="D1E8F0" w:sz="1"/>
              <w:right w:val="single" w:color="D1E8F0" w:sz="1"/>
            </w:tcBorders>
            <w:shd w:fill="F4F6F8" w:val="clear"/>
            <w:tcMar>
              <w:top w:type="dxa" w:w="80"/>
              <w:left w:type="dxa" w:w="160"/>
              <w:bottom w:type="dxa" w:w="80"/>
              <w:right w:type="dxa" w:w="160"/>
            </w:tcMar>
          </w:tcPr>
          <w:p>
            <w:r>
              <w:rPr>
                <w:rFonts w:ascii="Arial" w:cs="Arial" w:eastAsia="Arial" w:hAnsi="Arial"/>
                <w:color w:val="2C2C3E"/>
                <w:sz w:val="19"/>
                <w:szCs w:val="19"/>
              </w:rPr>
              <w:t xml:space="preserve">Yes</w:t>
            </w:r>
          </w:p>
        </w:tc>
      </w:tr>
    </w:tbl>
    <w:p>
      <w:pPr>
        <w:spacing w:after="120" w:before="0"/>
      </w:pPr>
      <w:r>
        <w:t xml:space="preserve"/>
      </w:r>
    </w:p>
    <w:p>
      <w:pPr>
        <w:spacing w:after="120" w:before="60"/>
      </w:pPr>
      <w:r>
        <w:rPr>
          <w:rFonts w:ascii="Arial" w:cs="Arial" w:eastAsia="Arial" w:hAnsi="Arial"/>
          <w:color w:val="2C2C3E"/>
          <w:sz w:val="20"/>
          <w:szCs w:val="20"/>
        </w:rPr>
        <w:t xml:space="preserve">You may manage cookie preferences via your browser settings or our cookie consent banner. Disabling non-essential cookies will not affect your ability to use our core services.</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10. Rights of Data Principals</w:t>
      </w:r>
    </w:p>
    <w:p>
      <w:pPr>
        <w:spacing w:after="120" w:before="60"/>
      </w:pPr>
      <w:r>
        <w:rPr>
          <w:rFonts w:ascii="Arial" w:cs="Arial" w:eastAsia="Arial" w:hAnsi="Arial"/>
          <w:color w:val="2C2C3E"/>
          <w:sz w:val="20"/>
          <w:szCs w:val="20"/>
        </w:rPr>
        <w:t xml:space="preserve">As a Data Principal under the DPDP Act, 2023, you have the following rights in relation to your personal data:</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E8F0" w:sz="1"/>
              <w:left w:val="single" w:color="D1E8F0" w:sz="1"/>
              <w:bottom w:val="single" w:color="D1E8F0" w:sz="1"/>
              <w:right w:val="single" w:color="D1E8F0"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Right</w:t>
            </w:r>
          </w:p>
        </w:tc>
        <w:tc>
          <w:tcPr>
            <w:tcW w:type="dxa" w:w="6560"/>
            <w:tcBorders>
              <w:top w:val="single" w:color="D1E8F0" w:sz="1"/>
              <w:left w:val="single" w:color="D1E8F0" w:sz="1"/>
              <w:bottom w:val="single" w:color="D1E8F0" w:sz="1"/>
              <w:right w:val="single" w:color="D1E8F0" w:sz="1"/>
            </w:tcBorders>
            <w:shd w:fill="0D1B2A" w:val="clear"/>
            <w:tcMar>
              <w:top w:type="dxa" w:w="100"/>
              <w:left w:type="dxa" w:w="160"/>
              <w:bottom w:type="dxa" w:w="100"/>
              <w:right w:type="dxa" w:w="160"/>
            </w:tcMar>
          </w:tcPr>
          <w:p>
            <w:r>
              <w:rPr>
                <w:rFonts w:ascii="Arial" w:cs="Arial" w:eastAsia="Arial" w:hAnsi="Arial"/>
                <w:b/>
                <w:bCs/>
                <w:color w:val="FFFFFF"/>
                <w:sz w:val="20"/>
                <w:szCs w:val="20"/>
              </w:rPr>
              <w:t xml:space="preserve">What This Means</w:t>
            </w:r>
          </w:p>
        </w:tc>
      </w:tr>
      <w:tr>
        <w:tc>
          <w:tcPr>
            <w:tcW w:type="dxa" w:w="280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Right to Information</w:t>
            </w:r>
          </w:p>
        </w:tc>
        <w:tc>
          <w:tcPr>
            <w:tcW w:type="dxa" w:w="656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You may request a summary of the personal data we hold about you and the purposes for which it is being processed.</w:t>
            </w:r>
          </w:p>
        </w:tc>
      </w:tr>
      <w:tr>
        <w:tc>
          <w:tcPr>
            <w:tcW w:type="dxa" w:w="280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Right to Correction</w:t>
            </w:r>
          </w:p>
        </w:tc>
        <w:tc>
          <w:tcPr>
            <w:tcW w:type="dxa" w:w="656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You may request correction of inaccurate or outdated personal data. You may also request completion of incomplete data.</w:t>
            </w:r>
          </w:p>
        </w:tc>
      </w:tr>
      <w:tr>
        <w:tc>
          <w:tcPr>
            <w:tcW w:type="dxa" w:w="280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Right to Erasure</w:t>
            </w:r>
          </w:p>
        </w:tc>
        <w:tc>
          <w:tcPr>
            <w:tcW w:type="dxa" w:w="656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You may request deletion of your personal data where the purpose for processing has been fulfilled, subject to our legal retention obligations.</w:t>
            </w:r>
          </w:p>
        </w:tc>
      </w:tr>
      <w:tr>
        <w:tc>
          <w:tcPr>
            <w:tcW w:type="dxa" w:w="280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Right to Grievance Redressal</w:t>
            </w:r>
          </w:p>
        </w:tc>
        <w:tc>
          <w:tcPr>
            <w:tcW w:type="dxa" w:w="656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You have the right to a timely response to any privacy complaint or grievance raised with our Grievance Officer.</w:t>
            </w:r>
          </w:p>
        </w:tc>
      </w:tr>
      <w:tr>
        <w:tc>
          <w:tcPr>
            <w:tcW w:type="dxa" w:w="280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Right to Nominate</w:t>
            </w:r>
          </w:p>
        </w:tc>
        <w:tc>
          <w:tcPr>
            <w:tcW w:type="dxa" w:w="6560"/>
            <w:tcBorders>
              <w:top w:val="single" w:color="D1E8F0" w:sz="1"/>
              <w:left w:val="single" w:color="D1E8F0" w:sz="1"/>
              <w:bottom w:val="single" w:color="D1E8F0" w:sz="1"/>
              <w:right w:val="single" w:color="D1E8F0" w:sz="1"/>
            </w:tcBorders>
            <w:shd w:fill="FFFFFF" w:val="clear"/>
            <w:tcMar>
              <w:top w:type="dxa" w:w="90"/>
              <w:left w:type="dxa" w:w="160"/>
              <w:bottom w:type="dxa" w:w="90"/>
              <w:right w:type="dxa" w:w="160"/>
            </w:tcMar>
          </w:tcPr>
          <w:p>
            <w:r>
              <w:rPr>
                <w:rFonts w:ascii="Arial" w:cs="Arial" w:eastAsia="Arial" w:hAnsi="Arial"/>
                <w:color w:val="2C2C3E"/>
                <w:sz w:val="19"/>
                <w:szCs w:val="19"/>
              </w:rPr>
              <w:t xml:space="preserve">You may nominate an individual to exercise your rights in the event of your death or incapacity.</w:t>
            </w:r>
          </w:p>
        </w:tc>
      </w:tr>
      <w:tr>
        <w:tc>
          <w:tcPr>
            <w:tcW w:type="dxa" w:w="280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Right to Withdraw Consent</w:t>
            </w:r>
          </w:p>
        </w:tc>
        <w:tc>
          <w:tcPr>
            <w:tcW w:type="dxa" w:w="6560"/>
            <w:tcBorders>
              <w:top w:val="single" w:color="D1E8F0" w:sz="1"/>
              <w:left w:val="single" w:color="D1E8F0" w:sz="1"/>
              <w:bottom w:val="single" w:color="D1E8F0" w:sz="1"/>
              <w:right w:val="single" w:color="D1E8F0" w:sz="1"/>
            </w:tcBorders>
            <w:shd w:fill="F4F6F8" w:val="clear"/>
            <w:tcMar>
              <w:top w:type="dxa" w:w="90"/>
              <w:left w:type="dxa" w:w="160"/>
              <w:bottom w:type="dxa" w:w="90"/>
              <w:right w:type="dxa" w:w="160"/>
            </w:tcMar>
          </w:tcPr>
          <w:p>
            <w:r>
              <w:rPr>
                <w:rFonts w:ascii="Arial" w:cs="Arial" w:eastAsia="Arial" w:hAnsi="Arial"/>
                <w:color w:val="2C2C3E"/>
                <w:sz w:val="19"/>
                <w:szCs w:val="19"/>
              </w:rPr>
              <w:t xml:space="preserve">Where processing is based on consent, you may withdraw consent at any time. This does not affect prior processing.</w:t>
            </w:r>
          </w:p>
        </w:tc>
      </w:tr>
    </w:tbl>
    <w:p>
      <w:pPr>
        <w:spacing w:after="120" w:before="0"/>
      </w:pPr>
      <w:r>
        <w:t xml:space="preserve"/>
      </w:r>
    </w:p>
    <w:p>
      <w:pPr>
        <w:spacing w:after="120" w:before="60"/>
      </w:pPr>
      <w:r>
        <w:rPr>
          <w:rFonts w:ascii="Arial" w:cs="Arial" w:eastAsia="Arial" w:hAnsi="Arial"/>
          <w:color w:val="2C2C3E"/>
          <w:sz w:val="20"/>
          <w:szCs w:val="20"/>
        </w:rPr>
        <w:t xml:space="preserve">To exercise any of these rights, submit a written request to privacy@intellixbom.com. We will respond within the timeframes prescribed by the DPDP Act (generally within 30 days, or as legally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4"/>
              <w:left w:val="single" w:color="00B4D8" w:sz="4"/>
              <w:bottom w:val="single" w:color="00B4D8" w:sz="4"/>
              <w:right w:val="single" w:color="00B4D8" w:sz="4"/>
            </w:tcBorders>
            <w:shd w:fill="E8F7FB" w:val="clear"/>
            <w:tcMar>
              <w:top w:type="dxa" w:w="140"/>
              <w:left w:type="dxa" w:w="200"/>
              <w:bottom w:type="dxa" w:w="140"/>
              <w:right w:type="dxa" w:w="200"/>
            </w:tcMar>
          </w:tcPr>
          <w:p>
            <w:r>
              <w:rPr>
                <w:rFonts w:ascii="Arial" w:cs="Arial" w:eastAsia="Arial" w:hAnsi="Arial"/>
                <w:color w:val="005F7A"/>
                <w:sz w:val="19"/>
                <w:szCs w:val="19"/>
              </w:rPr>
              <w:t xml:space="preserve">We reserve the right to verify the identity of the requestor before acting on any data rights request. Requests that are manifestly unfounded, repetitive, or excessive may be refused or a reasonable administrative fee charged, in accordance with DPDP Act provisions.</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11. Security Safeguards</w:t>
      </w:r>
    </w:p>
    <w:p>
      <w:pPr>
        <w:spacing w:after="120" w:before="60"/>
      </w:pPr>
      <w:r>
        <w:rPr>
          <w:rFonts w:ascii="Arial" w:cs="Arial" w:eastAsia="Arial" w:hAnsi="Arial"/>
          <w:color w:val="2C2C3E"/>
          <w:sz w:val="20"/>
          <w:szCs w:val="20"/>
        </w:rPr>
        <w:t xml:space="preserve">IntellixBOM takes the security of personal data seriously. As a cybersecurity and BOM governance company, we apply industry-leading security controls:</w:t>
      </w:r>
    </w:p>
    <w:p>
      <w:pPr>
        <w:pStyle w:val="ListParagraph"/>
        <w:numPr>
          <w:ilvl w:val="0"/>
          <w:numId w:val="2"/>
        </w:numPr>
        <w:spacing w:after="80" w:before="40"/>
      </w:pPr>
      <w:r>
        <w:rPr>
          <w:rFonts w:ascii="Arial" w:cs="Arial" w:eastAsia="Arial" w:hAnsi="Arial"/>
          <w:color w:val="2C2C3E"/>
          <w:sz w:val="20"/>
          <w:szCs w:val="20"/>
        </w:rPr>
        <w:t xml:space="preserve">Encryption: Data in transit is protected by TLS 1.2+ encryption; data at rest is encrypted using AES-256 or equivalent</w:t>
      </w:r>
    </w:p>
    <w:p>
      <w:pPr>
        <w:pStyle w:val="ListParagraph"/>
        <w:numPr>
          <w:ilvl w:val="0"/>
          <w:numId w:val="2"/>
        </w:numPr>
        <w:spacing w:after="80" w:before="40"/>
      </w:pPr>
      <w:r>
        <w:rPr>
          <w:rFonts w:ascii="Arial" w:cs="Arial" w:eastAsia="Arial" w:hAnsi="Arial"/>
          <w:color w:val="2C2C3E"/>
          <w:sz w:val="20"/>
          <w:szCs w:val="20"/>
        </w:rPr>
        <w:t xml:space="preserve">Access Control: Role-based access control (RBAC) ensures data is accessible only on a need-to-know basis</w:t>
      </w:r>
    </w:p>
    <w:p>
      <w:pPr>
        <w:pStyle w:val="ListParagraph"/>
        <w:numPr>
          <w:ilvl w:val="0"/>
          <w:numId w:val="2"/>
        </w:numPr>
        <w:spacing w:after="80" w:before="40"/>
      </w:pPr>
      <w:r>
        <w:rPr>
          <w:rFonts w:ascii="Arial" w:cs="Arial" w:eastAsia="Arial" w:hAnsi="Arial"/>
          <w:color w:val="2C2C3E"/>
          <w:sz w:val="20"/>
          <w:szCs w:val="20"/>
        </w:rPr>
        <w:t xml:space="preserve">Infrastructure Security: Our platform is hosted on secure, certified cloud infrastructure with regular vulnerability assessments</w:t>
      </w:r>
    </w:p>
    <w:p>
      <w:pPr>
        <w:pStyle w:val="ListParagraph"/>
        <w:numPr>
          <w:ilvl w:val="0"/>
          <w:numId w:val="2"/>
        </w:numPr>
        <w:spacing w:after="80" w:before="40"/>
      </w:pPr>
      <w:r>
        <w:rPr>
          <w:rFonts w:ascii="Arial" w:cs="Arial" w:eastAsia="Arial" w:hAnsi="Arial"/>
          <w:color w:val="2C2C3E"/>
          <w:sz w:val="20"/>
          <w:szCs w:val="20"/>
        </w:rPr>
        <w:t xml:space="preserve">Incident Response: We maintain a documented incident response plan aligned with CERT-In guidelines (IT Amendment Act, 2008 and CERT-In Directions 2022)</w:t>
      </w:r>
    </w:p>
    <w:p>
      <w:pPr>
        <w:pStyle w:val="ListParagraph"/>
        <w:numPr>
          <w:ilvl w:val="0"/>
          <w:numId w:val="2"/>
        </w:numPr>
        <w:spacing w:after="80" w:before="40"/>
      </w:pPr>
      <w:r>
        <w:rPr>
          <w:rFonts w:ascii="Arial" w:cs="Arial" w:eastAsia="Arial" w:hAnsi="Arial"/>
          <w:color w:val="2C2C3E"/>
          <w:sz w:val="20"/>
          <w:szCs w:val="20"/>
        </w:rPr>
        <w:t xml:space="preserve">Data Breach Notification: In the event of a personal data breach that is likely to cause harm, we will notify the Data Protection Board of India and affected Data Principals as required under the DPDP Act</w:t>
      </w:r>
    </w:p>
    <w:p>
      <w:pPr>
        <w:pStyle w:val="ListParagraph"/>
        <w:numPr>
          <w:ilvl w:val="0"/>
          <w:numId w:val="2"/>
        </w:numPr>
        <w:spacing w:after="80" w:before="40"/>
      </w:pPr>
      <w:r>
        <w:rPr>
          <w:rFonts w:ascii="Arial" w:cs="Arial" w:eastAsia="Arial" w:hAnsi="Arial"/>
          <w:color w:val="2C2C3E"/>
          <w:sz w:val="20"/>
          <w:szCs w:val="20"/>
        </w:rPr>
        <w:t xml:space="preserve">Security Audits: We conduct periodic internal and third-party security audits and penetration tests</w:t>
      </w:r>
    </w:p>
    <w:p>
      <w:pPr>
        <w:spacing w:after="80" w:before="0"/>
      </w:pPr>
      <w:r>
        <w:t xml:space="preserve"/>
      </w:r>
    </w:p>
    <w:p>
      <w:pPr>
        <w:pBdr>
          <w:top w:val="none" w:color="FFFFFF" w:sz="0"/>
          <w:left w:val="single" w:color="00B4D8" w:sz="16"/>
          <w:bottom w:val="none" w:color="FFFFFF" w:sz="0"/>
          <w:right w:val="none" w:color="FFFFFF" w:sz="0"/>
        </w:pBdr>
        <w:spacing w:after="80" w:before="80"/>
        <w:ind w:left="480"/>
      </w:pPr>
      <w:r>
        <w:rPr>
          <w:rFonts w:ascii="Arial" w:cs="Arial" w:eastAsia="Arial" w:hAnsi="Arial"/>
          <w:i/>
          <w:iCs/>
          <w:color w:val="2C2C3E"/>
          <w:sz w:val="20"/>
          <w:szCs w:val="20"/>
        </w:rPr>
        <w:t xml:space="preserve">While we implement robust security measures, no system can guarantee absolute security. We encourage users to safeguard their account credentials and report any suspected security incidents promptly.</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12. Children's Privacy</w:t>
      </w:r>
    </w:p>
    <w:p>
      <w:pPr>
        <w:spacing w:after="120" w:before="60"/>
      </w:pPr>
      <w:r>
        <w:rPr>
          <w:rFonts w:ascii="Arial" w:cs="Arial" w:eastAsia="Arial" w:hAnsi="Arial"/>
          <w:color w:val="2C2C3E"/>
          <w:sz w:val="20"/>
          <w:szCs w:val="20"/>
        </w:rPr>
        <w:t xml:space="preserve">IntellixBOM's platform and services are intended exclusively for business and enterprise use. We do not knowingly collect, process, or store personal data of individuals below the age of 18 years. If we become aware that personal data of a minor has been inadvertently collected, we will promptly delete it. If you believe we may have collected data belonging to a minor, please contact us at privacy@intellixbom.com immediately.</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13. Third-Party Links and Integrations</w:t>
      </w:r>
    </w:p>
    <w:p>
      <w:pPr>
        <w:spacing w:after="120" w:before="60"/>
      </w:pPr>
      <w:r>
        <w:rPr>
          <w:rFonts w:ascii="Arial" w:cs="Arial" w:eastAsia="Arial" w:hAnsi="Arial"/>
          <w:color w:val="2C2C3E"/>
          <w:sz w:val="20"/>
          <w:szCs w:val="20"/>
        </w:rPr>
        <w:t xml:space="preserve">Our website and platform may contain links to third-party websites, integration partners, or embedded content. This Privacy Policy does not apply to such third-party sites. IntellixBOM is not responsible for the privacy practices of any third party. We recommend that you review the privacy policies of any third-party service you access through our platform.</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14. Grievance Redressal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4D8" w:sz="8"/>
              <w:left w:val="single" w:color="D1E8F0" w:sz="2"/>
              <w:bottom w:val="single" w:color="D1E8F0" w:sz="2"/>
              <w:right w:val="single" w:color="D1E8F0" w:sz="2"/>
            </w:tcBorders>
            <w:shd w:fill="F4F6F8" w:val="clear"/>
            <w:tcMar>
              <w:top w:type="dxa" w:w="200"/>
              <w:left w:type="dxa" w:w="280"/>
              <w:bottom w:type="dxa" w:w="200"/>
              <w:right w:type="dxa" w:w="280"/>
            </w:tcMar>
          </w:tcPr>
          <w:p>
            <w:pPr>
              <w:spacing w:after="60" w:before="0"/>
            </w:pPr>
            <w:r>
              <w:rPr>
                <w:rFonts w:ascii="Arial" w:cs="Arial" w:eastAsia="Arial" w:hAnsi="Arial"/>
                <w:b/>
                <w:bCs/>
                <w:color w:val="0D1B2A"/>
                <w:sz w:val="22"/>
                <w:szCs w:val="22"/>
              </w:rPr>
              <w:t xml:space="preserve">Grievance Officer</w:t>
            </w:r>
          </w:p>
          <w:p>
            <w:pPr>
              <w:spacing w:after="40" w:before="0"/>
            </w:pPr>
            <w:r>
              <w:rPr>
                <w:rFonts w:ascii="Arial" w:cs="Arial" w:eastAsia="Arial" w:hAnsi="Arial"/>
                <w:color w:val="2C2C3E"/>
                <w:sz w:val="20"/>
                <w:szCs w:val="20"/>
              </w:rPr>
              <w:t xml:space="preserve">IntelliNative Technologies (IntellixBOM)</w:t>
            </w:r>
          </w:p>
          <w:p>
            <w:pPr>
              <w:spacing w:after="40" w:before="0"/>
            </w:pPr>
            <w:r>
              <w:rPr>
                <w:rFonts w:ascii="Arial" w:cs="Arial" w:eastAsia="Arial" w:hAnsi="Arial"/>
                <w:b/>
                <w:bCs/>
                <w:color w:val="2C2C3E"/>
                <w:sz w:val="20"/>
                <w:szCs w:val="20"/>
              </w:rPr>
              <w:t xml:space="preserve">Email: </w:t>
            </w:r>
            <w:r>
              <w:rPr>
                <w:rFonts w:ascii="Arial" w:cs="Arial" w:eastAsia="Arial" w:hAnsi="Arial"/>
                <w:color w:val="00B4D8"/>
                <w:sz w:val="20"/>
                <w:szCs w:val="20"/>
              </w:rPr>
              <w:t xml:space="preserve">privacy@intellixbom.com</w:t>
            </w:r>
          </w:p>
          <w:p>
            <w:pPr>
              <w:spacing w:after="40" w:before="0"/>
            </w:pPr>
            <w:r>
              <w:rPr>
                <w:rFonts w:ascii="Arial" w:cs="Arial" w:eastAsia="Arial" w:hAnsi="Arial"/>
                <w:b/>
                <w:bCs/>
                <w:color w:val="2C2C3E"/>
                <w:sz w:val="20"/>
                <w:szCs w:val="20"/>
              </w:rPr>
              <w:t xml:space="preserve">Response time: </w:t>
            </w:r>
            <w:r>
              <w:rPr>
                <w:rFonts w:ascii="Arial" w:cs="Arial" w:eastAsia="Arial" w:hAnsi="Arial"/>
                <w:color w:val="2C2C3E"/>
                <w:sz w:val="20"/>
                <w:szCs w:val="20"/>
              </w:rPr>
              <w:t xml:space="preserve">Within 30 days of receipt of grievance, or as prescribed by applicable law</w:t>
            </w:r>
          </w:p>
          <w:p>
            <w:pPr>
              <w:spacing w:after="0" w:before="40"/>
            </w:pPr>
            <w:r>
              <w:rPr>
                <w:rFonts w:ascii="Arial" w:cs="Arial" w:eastAsia="Arial" w:hAnsi="Arial"/>
                <w:i/>
                <w:iCs/>
                <w:color w:val="6B7280"/>
                <w:sz w:val="19"/>
                <w:szCs w:val="19"/>
              </w:rPr>
              <w:t xml:space="preserve">If your grievance is not resolved to your satisfaction, you may approach the Data Protection Board of India, once established under the DPDP Act, 2023.</w:t>
            </w:r>
          </w:p>
        </w:tc>
      </w:tr>
    </w:tbl>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15. Updates to This Privacy Policy</w:t>
      </w:r>
    </w:p>
    <w:p>
      <w:pPr>
        <w:spacing w:after="120" w:before="60"/>
      </w:pPr>
      <w:r>
        <w:rPr>
          <w:rFonts w:ascii="Arial" w:cs="Arial" w:eastAsia="Arial" w:hAnsi="Arial"/>
          <w:color w:val="2C2C3E"/>
          <w:sz w:val="20"/>
          <w:szCs w:val="20"/>
        </w:rPr>
        <w:t xml:space="preserve">IntellixBOM may update this Privacy Policy from time to time to reflect changes in our practices, legal obligations, or the introduction of new features. When we make material changes, we will:</w:t>
      </w:r>
    </w:p>
    <w:p>
      <w:pPr>
        <w:pStyle w:val="ListParagraph"/>
        <w:numPr>
          <w:ilvl w:val="0"/>
          <w:numId w:val="2"/>
        </w:numPr>
        <w:spacing w:after="80" w:before="40"/>
      </w:pPr>
      <w:r>
        <w:rPr>
          <w:rFonts w:ascii="Arial" w:cs="Arial" w:eastAsia="Arial" w:hAnsi="Arial"/>
          <w:color w:val="2C2C3E"/>
          <w:sz w:val="20"/>
          <w:szCs w:val="20"/>
        </w:rPr>
        <w:t xml:space="preserve">Post the updated policy on our website with a revised effective date</w:t>
      </w:r>
    </w:p>
    <w:p>
      <w:pPr>
        <w:pStyle w:val="ListParagraph"/>
        <w:numPr>
          <w:ilvl w:val="0"/>
          <w:numId w:val="2"/>
        </w:numPr>
        <w:spacing w:after="80" w:before="40"/>
      </w:pPr>
      <w:r>
        <w:rPr>
          <w:rFonts w:ascii="Arial" w:cs="Arial" w:eastAsia="Arial" w:hAnsi="Arial"/>
          <w:color w:val="2C2C3E"/>
          <w:sz w:val="20"/>
          <w:szCs w:val="20"/>
        </w:rPr>
        <w:t xml:space="preserve">Notify registered users via email or an in-platform notification where required</w:t>
      </w:r>
    </w:p>
    <w:p>
      <w:pPr>
        <w:pStyle w:val="ListParagraph"/>
        <w:numPr>
          <w:ilvl w:val="0"/>
          <w:numId w:val="2"/>
        </w:numPr>
        <w:spacing w:after="80" w:before="40"/>
      </w:pPr>
      <w:r>
        <w:rPr>
          <w:rFonts w:ascii="Arial" w:cs="Arial" w:eastAsia="Arial" w:hAnsi="Arial"/>
          <w:color w:val="2C2C3E"/>
          <w:sz w:val="20"/>
          <w:szCs w:val="20"/>
        </w:rPr>
        <w:t xml:space="preserve">Obtain fresh consent where a material change affects how we process data based on consent</w:t>
      </w:r>
    </w:p>
    <w:p>
      <w:pPr>
        <w:spacing w:after="80" w:before="0"/>
      </w:pPr>
      <w:r>
        <w:t xml:space="preserve"/>
      </w:r>
    </w:p>
    <w:p>
      <w:pPr>
        <w:spacing w:after="120" w:before="60"/>
      </w:pPr>
      <w:r>
        <w:rPr>
          <w:rFonts w:ascii="Arial" w:cs="Arial" w:eastAsia="Arial" w:hAnsi="Arial"/>
          <w:color w:val="2C2C3E"/>
          <w:sz w:val="20"/>
          <w:szCs w:val="20"/>
        </w:rPr>
        <w:t xml:space="preserve">Continued use of our website or platform after the effective date of a revised policy constitutes acceptance of the updated terms, subject to any applicable consent requirements under the DPDP Act.</w:t>
      </w:r>
    </w:p>
    <w:p>
      <w:pPr>
        <w:spacing w:after="200" w:before="0"/>
      </w:pPr>
      <w:r>
        <w:t xml:space="preserve"/>
      </w:r>
    </w:p>
    <w:p>
      <w:pPr>
        <w:pStyle w:val="Heading1"/>
        <w:pBdr>
          <w:bottom w:val="single" w:color="00B4D8" w:sz="6" w:space="4"/>
        </w:pBdr>
        <w:spacing w:after="120" w:before="360"/>
      </w:pPr>
      <w:r>
        <w:rPr>
          <w:rFonts w:ascii="Arial" w:cs="Arial" w:eastAsia="Arial" w:hAnsi="Arial"/>
          <w:b/>
          <w:bCs/>
          <w:color w:val="0D1B2A"/>
          <w:sz w:val="28"/>
          <w:szCs w:val="28"/>
        </w:rPr>
        <w:t xml:space="preserve">16. Governing Law and Jurisdiction</w:t>
      </w:r>
    </w:p>
    <w:p>
      <w:pPr>
        <w:spacing w:after="120" w:before="60"/>
      </w:pPr>
      <w:r>
        <w:rPr>
          <w:rFonts w:ascii="Arial" w:cs="Arial" w:eastAsia="Arial" w:hAnsi="Arial"/>
          <w:color w:val="2C2C3E"/>
          <w:sz w:val="20"/>
          <w:szCs w:val="20"/>
        </w:rPr>
        <w:t xml:space="preserve">This Privacy Policy is governed by the laws of India, including but not limited to:</w:t>
      </w:r>
    </w:p>
    <w:p>
      <w:pPr>
        <w:pStyle w:val="ListParagraph"/>
        <w:numPr>
          <w:ilvl w:val="0"/>
          <w:numId w:val="2"/>
        </w:numPr>
        <w:spacing w:after="80" w:before="40"/>
      </w:pPr>
      <w:r>
        <w:rPr>
          <w:rFonts w:ascii="Arial" w:cs="Arial" w:eastAsia="Arial" w:hAnsi="Arial"/>
          <w:color w:val="2C2C3E"/>
          <w:sz w:val="20"/>
          <w:szCs w:val="20"/>
        </w:rPr>
        <w:t xml:space="preserve">The Digital Personal Data Protection Act, 2023 (DPDP Act)</w:t>
      </w:r>
    </w:p>
    <w:p>
      <w:pPr>
        <w:pStyle w:val="ListParagraph"/>
        <w:numPr>
          <w:ilvl w:val="0"/>
          <w:numId w:val="2"/>
        </w:numPr>
        <w:spacing w:after="80" w:before="40"/>
      </w:pPr>
      <w:r>
        <w:rPr>
          <w:rFonts w:ascii="Arial" w:cs="Arial" w:eastAsia="Arial" w:hAnsi="Arial"/>
          <w:color w:val="2C2C3E"/>
          <w:sz w:val="20"/>
          <w:szCs w:val="20"/>
        </w:rPr>
        <w:t xml:space="preserve">The Information Technology Act, 2000, and rules made thereunder</w:t>
      </w:r>
    </w:p>
    <w:p>
      <w:pPr>
        <w:pStyle w:val="ListParagraph"/>
        <w:numPr>
          <w:ilvl w:val="0"/>
          <w:numId w:val="2"/>
        </w:numPr>
        <w:spacing w:after="80" w:before="40"/>
      </w:pPr>
      <w:r>
        <w:rPr>
          <w:rFonts w:ascii="Arial" w:cs="Arial" w:eastAsia="Arial" w:hAnsi="Arial"/>
          <w:color w:val="2C2C3E"/>
          <w:sz w:val="20"/>
          <w:szCs w:val="20"/>
        </w:rPr>
        <w:t xml:space="preserve">CERT-In Directions on Cybersecurity, 2022</w:t>
      </w:r>
    </w:p>
    <w:p>
      <w:pPr>
        <w:pStyle w:val="ListParagraph"/>
        <w:numPr>
          <w:ilvl w:val="0"/>
          <w:numId w:val="2"/>
        </w:numPr>
        <w:spacing w:after="80" w:before="40"/>
      </w:pPr>
      <w:r>
        <w:rPr>
          <w:rFonts w:ascii="Arial" w:cs="Arial" w:eastAsia="Arial" w:hAnsi="Arial"/>
          <w:color w:val="2C2C3E"/>
          <w:sz w:val="20"/>
          <w:szCs w:val="20"/>
        </w:rPr>
        <w:t xml:space="preserve">Any rules, regulations, and guidelines issued by the Data Protection Board of India</w:t>
      </w:r>
    </w:p>
    <w:p>
      <w:pPr>
        <w:spacing w:after="80" w:before="0"/>
      </w:pPr>
      <w:r>
        <w:t xml:space="preserve"/>
      </w:r>
    </w:p>
    <w:p>
      <w:pPr>
        <w:spacing w:after="120" w:before="60"/>
      </w:pPr>
      <w:r>
        <w:rPr>
          <w:rFonts w:ascii="Arial" w:cs="Arial" w:eastAsia="Arial" w:hAnsi="Arial"/>
          <w:color w:val="2C2C3E"/>
          <w:sz w:val="20"/>
          <w:szCs w:val="20"/>
        </w:rPr>
        <w:t xml:space="preserve">Any disputes arising out of or in connection with this Privacy Policy shall be subject to the exclusive jurisdiction of courts in India.</w:t>
      </w:r>
    </w:p>
    <w:p>
      <w:pPr>
        <w:spacing w:after="200" w:before="0"/>
      </w:pPr>
      <w:r>
        <w:t xml:space="preserve"/>
      </w:r>
    </w:p>
    <w:p>
      <w:pPr>
        <w:pBdr>
          <w:bottom w:val="single" w:color="D1E8F0" w:sz="2" w:space="1"/>
        </w:pBdr>
        <w:spacing w:after="200" w:before="200"/>
      </w:pPr>
      <w:r>
        <w:t xml:space="preserve"/>
      </w:r>
    </w:p>
    <w:p>
      <w:pPr>
        <w:spacing w:after="120" w:before="0"/>
      </w:pPr>
      <w:r>
        <w:t xml:space="preserve"/>
      </w:r>
    </w:p>
    <w:p>
      <w:pPr>
        <w:spacing w:after="60" w:before="0"/>
        <w:jc w:val="center"/>
      </w:pPr>
      <w:r>
        <w:rPr>
          <w:rFonts w:ascii="Arial" w:cs="Arial" w:eastAsia="Arial" w:hAnsi="Arial"/>
          <w:b/>
          <w:bCs/>
          <w:color w:val="0D1B2A"/>
          <w:sz w:val="18"/>
          <w:szCs w:val="18"/>
        </w:rPr>
        <w:t xml:space="preserve">IntellixBOM Privacy Policy  |  Version 1.0  |  Effective June 1, 2025</w:t>
      </w:r>
    </w:p>
    <w:p>
      <w:pPr>
        <w:spacing w:after="40" w:before="0"/>
        <w:jc w:val="center"/>
      </w:pPr>
      <w:r>
        <w:rPr>
          <w:rFonts w:ascii="Arial" w:cs="Arial" w:eastAsia="Arial" w:hAnsi="Arial"/>
          <w:color w:val="6B7280"/>
          <w:sz w:val="18"/>
          <w:szCs w:val="18"/>
        </w:rPr>
        <w:t xml:space="preserve">For questions, contact: privacy@intellixbom.com</w:t>
      </w:r>
    </w:p>
    <w:p>
      <w:pPr>
        <w:spacing w:after="0" w:before="0"/>
        <w:jc w:val="center"/>
      </w:pPr>
      <w:r>
        <w:rPr>
          <w:rFonts w:ascii="Arial" w:cs="Arial" w:eastAsia="Arial" w:hAnsi="Arial"/>
          <w:i/>
          <w:iCs/>
          <w:color w:val="6B7280"/>
          <w:sz w:val="17"/>
          <w:szCs w:val="17"/>
        </w:rPr>
        <w:t xml:space="preserve">© 2025 IntelliNative Technologies.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4D8" w:sz="2" w:space="4"/>
      </w:pBdr>
      <w:spacing w:after="0" w:before="120"/>
      <w:jc w:val="center"/>
    </w:pPr>
    <w:r>
      <w:rPr>
        <w:rFonts w:ascii="Arial" w:cs="Arial" w:eastAsia="Arial" w:hAnsi="Arial"/>
        <w:color w:val="6B7280"/>
        <w:sz w:val="16"/>
        <w:szCs w:val="16"/>
      </w:rPr>
      <w:t xml:space="preserve">IntellixBOM — Confidential &amp; Proprietary  |  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4D8" w:sz="4" w:space="4"/>
      </w:pBdr>
      <w:spacing w:after="120" w:before="0"/>
      <w:jc w:val="right"/>
    </w:pPr>
    <w:r>
      <w:rPr>
        <w:rFonts w:ascii="Arial" w:cs="Arial" w:eastAsia="Arial" w:hAnsi="Arial"/>
        <w:color w:val="6B7280"/>
        <w:sz w:val="18"/>
        <w:szCs w:val="18"/>
      </w:rPr>
      <w:t xml:space="preserve">IntellixBOM  |  Privacy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lvl w:ilvl="1" w15:tentative="1">
      <w:start w:val="1"/>
      <w:numFmt w:val="bullet"/>
      <w:lvlText w:val="◦"/>
      <w:lvlJc w:val="left"/>
      <w:pPr>
        <w:ind w:left="108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3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005F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2026-05-26T09:04:59.343Z</dcterms:created>
  <dcterms:modified xsi:type="dcterms:W3CDTF">2026-05-26T09:04:59.345Z</dcterms:modified>
</cp:coreProperties>
</file>

<file path=docProps/custom.xml><?xml version="1.0" encoding="utf-8"?>
<Properties xmlns="http://schemas.openxmlformats.org/officeDocument/2006/custom-properties" xmlns:vt="http://schemas.openxmlformats.org/officeDocument/2006/docPropsVTypes"/>
</file>