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sz w:val="56"/>
          <w:szCs w:val="56"/>
        </w:rPr>
        <w:t xml:space="preserve">Sector Residual Reversion: An ETF-Hedged Residual Reversion Strategy in US Large-Cap Stocks</w:t>
      </w:r>
    </w:p>
    <w:p>
      <w:pPr>
        <w:spacing w:after="0"/>
        <w:jc w:val="center"/>
      </w:pPr>
      <w:r>
        <w:rPr>
          <w:rFonts w:ascii="Times New Roman" w:cs="Times New Roman" w:eastAsia="Times New Roman" w:hAnsi="Times New Roman"/>
          <w:color w:val="595959"/>
          <w:sz w:val="24"/>
          <w:szCs w:val="24"/>
        </w:rPr>
        <w:t xml:space="preserve">Nakul Pillai</w:t>
      </w:r>
    </w:p>
    <w:p>
      <w:r>
        <w:br w:type="page"/>
      </w:r>
    </w:p>
    <w:p>
      <w:pPr>
        <w:pStyle w:val="Heading1"/>
      </w:pPr>
      <w:r>
        <w:rPr>
          <w:rFonts w:ascii="Times New Roman" w:cs="Times New Roman" w:eastAsia="Times New Roman" w:hAnsi="Times New Roman"/>
        </w:rPr>
        <w:t xml:space="preserve">1. Hypothesis Pitch</w:t>
      </w:r>
    </w:p>
    <w:p>
      <w:pPr>
        <w:spacing w:after="240"/>
      </w:pPr>
      <w:r>
        <w:rPr>
          <w:rFonts w:ascii="Times New Roman" w:cs="Times New Roman" w:eastAsia="Times New Roman" w:hAnsi="Times New Roman"/>
          <w:sz w:val="24"/>
          <w:szCs w:val="24"/>
        </w:rPr>
        <w:t xml:space="preserve">When a large US stock moves sharply for reasons specific to that company, rather than because its whole sector moved, part of that move should reverse the next day. This study tests whether the reversal is big enough to trade once costs are paid.</w:t>
      </w:r>
    </w:p>
    <w:p>
      <w:pPr>
        <w:spacing w:after="240"/>
      </w:pPr>
      <w:r>
        <w:rPr>
          <w:rFonts w:ascii="Times New Roman" w:cs="Times New Roman" w:eastAsia="Times New Roman" w:hAnsi="Times New Roman"/>
          <w:sz w:val="24"/>
          <w:szCs w:val="24"/>
        </w:rPr>
        <w:t xml:space="preserve">This informs the strategy. Each day, take every S&amp;P 500 stock and remove the part of its return that its sector ETF explains. What is left is the residual. Divide the residual by its own recent volatility to get a z-score. Buy the stocks whose residual was unusually negative (z of -1 or lower), short the ones whose residual was unusually positive (z of +1 or higher), enter at the next open and exit at the open after that. Whatever sector exposure is left over is offset with a position in the sector ETFs, so the book is dollar-neutral and close to market-neutral.</w:t>
      </w:r>
    </w:p>
    <w:p>
      <w:pPr>
        <w:spacing w:after="240"/>
      </w:pPr>
      <w:r>
        <w:rPr>
          <w:rFonts w:ascii="Times New Roman" w:cs="Times New Roman" w:eastAsia="Times New Roman" w:hAnsi="Times New Roman"/>
          <w:sz w:val="24"/>
          <w:szCs w:val="24"/>
        </w:rPr>
        <w:t xml:space="preserve">Short-term reversal is one of the oldest documented effects in equities (Jegadeesh 1990; Lehmann 1990; verify both). Residual-reversal and ETF-hedged statistical arbitrage are discussed by, for example, Avellaneda and Lee (2010; verify). A standing concern is that the gross profits have shrunk and that trading costs absorb what is left (Nagel 2012, on liquidity provision; verify). This study does not claim a new idea. It tests an old one with free daily data, point-in-time index membership and a pre-registered, one-shot holdout, so that the answer can be trusted whichever way it points.</w:t>
      </w:r>
    </w:p>
    <w:p>
      <w:pPr>
        <w:spacing w:after="240"/>
      </w:pPr>
      <w:r>
        <w:rPr>
          <w:rFonts w:ascii="Times New Roman" w:cs="Times New Roman" w:eastAsia="Times New Roman" w:hAnsi="Times New Roman"/>
          <w:sz w:val="24"/>
          <w:szCs w:val="24"/>
        </w:rPr>
        <w:t xml:space="preserve">The mechanism is liquidity pressure. A move that follows from sector news is more likely to be information and so should stick. The leftover, stock-specific part is more likely to come from one-sided trading that pushes the price away from fair value for a day, and that part should revert. Splitting the move in two is the point of the strategy.</w:t>
      </w:r>
    </w:p>
    <w:p>
      <w:pPr>
        <w:spacing w:after="240"/>
      </w:pPr>
      <w:r>
        <w:rPr>
          <w:rFonts w:ascii="Times New Roman" w:cs="Times New Roman" w:eastAsia="Times New Roman" w:hAnsi="Times New Roman"/>
          <w:sz w:val="24"/>
          <w:szCs w:val="24"/>
        </w:rPr>
        <w:t xml:space="preserve">The parameters and the decision rule were locked in a written pre-registration before any data was downloaded. The in-sample period is 1 October 2018 to 31 December 2023 (1,321 trading days). The holdout is 1 January 2024 to 30 September 2026 (689 trading days) and was run once. The holdout calendar is the same as in my news-sentiment study, so the two could be combined later. The pre-registered prior was a result that I called "gross-only": a detectable effect before costs that does not survive costs. A null result was declared in advance to be a clean result.</w:t>
      </w:r>
    </w:p>
    <w:p>
      <w:pPr>
        <w:spacing w:after="240"/>
      </w:pPr>
      <w:r>
        <w:rPr>
          <w:rFonts w:ascii="Times New Roman" w:cs="Times New Roman" w:eastAsia="Times New Roman" w:hAnsi="Times New Roman"/>
          <w:sz w:val="24"/>
          <w:szCs w:val="24"/>
        </w:rPr>
        <w:t xml:space="preserve">What would prove this wrong, fixed in advance:</w:t>
      </w:r>
    </w:p>
    <w:p>
      <w:pPr>
        <w:pStyle w:val="ListParagraph"/>
        <w:numPr>
          <w:ilvl w:val="0"/>
          <w:numId w:val="2"/>
        </w:numPr>
        <w:spacing w:after="80"/>
      </w:pPr>
      <w:r>
        <w:rPr>
          <w:rFonts w:ascii="Times New Roman" w:cs="Times New Roman" w:eastAsia="Times New Roman" w:hAnsi="Times New Roman"/>
          <w:b/>
          <w:bCs/>
          <w:sz w:val="24"/>
          <w:szCs w:val="24"/>
        </w:rPr>
        <w:t xml:space="preserve">H1a.</w:t>
      </w:r>
      <w:r>
        <w:rPr>
          <w:rFonts w:ascii="Times New Roman" w:cs="Times New Roman" w:eastAsia="Times New Roman" w:hAnsi="Times New Roman"/>
          <w:sz w:val="24"/>
          <w:szCs w:val="24"/>
        </w:rPr>
        <w:t xml:space="preserve"> In the holdout, the mean Fama-MacBeth coefficient of next-day residual on today's residual is not negative with a Newey-West (5 lags) t-statistic below -2. That would mean there is no reliable next-day reversal in residuals.</w:t>
      </w:r>
    </w:p>
    <w:p>
      <w:pPr>
        <w:pStyle w:val="ListParagraph"/>
        <w:numPr>
          <w:ilvl w:val="0"/>
          <w:numId w:val="2"/>
        </w:numPr>
        <w:spacing w:after="80"/>
      </w:pPr>
      <w:r>
        <w:rPr>
          <w:rFonts w:ascii="Times New Roman" w:cs="Times New Roman" w:eastAsia="Times New Roman" w:hAnsi="Times New Roman"/>
          <w:b/>
          <w:bCs/>
          <w:sz w:val="24"/>
          <w:szCs w:val="24"/>
        </w:rPr>
        <w:t xml:space="preserve">H1b.</w:t>
      </w:r>
      <w:r>
        <w:rPr>
          <w:rFonts w:ascii="Times New Roman" w:cs="Times New Roman" w:eastAsia="Times New Roman" w:hAnsi="Times New Roman"/>
          <w:sz w:val="24"/>
          <w:szCs w:val="24"/>
        </w:rPr>
        <w:t xml:space="preserve"> In the holdout, the net Sharpe ratio at 5 basis points per side does not have a 95% bootstrap confidence interval entirely above zero, or the alpha against SPY does not have a t-statistic above 2. A reversal that exists but is smaller than the cost is not a strategy.</w:t>
      </w:r>
    </w:p>
    <w:p>
      <w:pPr>
        <w:spacing w:after="120"/>
      </w:pPr>
    </w:p>
    <w:p>
      <w:pPr>
        <w:spacing w:after="240"/>
      </w:pPr>
      <w:r>
        <w:rPr>
          <w:rFonts w:ascii="Times New Roman" w:cs="Times New Roman" w:eastAsia="Times New Roman" w:hAnsi="Times New Roman"/>
          <w:sz w:val="24"/>
          <w:szCs w:val="24"/>
        </w:rPr>
        <w:t xml:space="preserve">The hypothesis is </w:t>
      </w:r>
      <w:r>
        <w:rPr>
          <w:rFonts w:ascii="Times New Roman" w:cs="Times New Roman" w:eastAsia="Times New Roman" w:hAnsi="Times New Roman"/>
          <w:b/>
          <w:bCs/>
          <w:sz w:val="24"/>
          <w:szCs w:val="24"/>
        </w:rPr>
        <w:t xml:space="preserve">SUPPORTED</w:t>
      </w:r>
      <w:r>
        <w:rPr>
          <w:rFonts w:ascii="Times New Roman" w:cs="Times New Roman" w:eastAsia="Times New Roman" w:hAnsi="Times New Roman"/>
          <w:sz w:val="24"/>
          <w:szCs w:val="24"/>
        </w:rPr>
        <w:t xml:space="preserve"> only if both H1a and H1b hold. It is </w:t>
      </w:r>
      <w:r>
        <w:rPr>
          <w:rFonts w:ascii="Times New Roman" w:cs="Times New Roman" w:eastAsia="Times New Roman" w:hAnsi="Times New Roman"/>
          <w:b/>
          <w:bCs/>
          <w:sz w:val="24"/>
          <w:szCs w:val="24"/>
        </w:rPr>
        <w:t xml:space="preserve">GROSS-ONLY</w:t>
      </w:r>
      <w:r>
        <w:rPr>
          <w:rFonts w:ascii="Times New Roman" w:cs="Times New Roman" w:eastAsia="Times New Roman" w:hAnsi="Times New Roman"/>
          <w:sz w:val="24"/>
          <w:szCs w:val="24"/>
        </w:rPr>
        <w:t xml:space="preserve"> if H1a holds, the gross Sharpe interval is above zero, and H1b fails. Anything else is </w:t>
      </w:r>
      <w:r>
        <w:rPr>
          <w:rFonts w:ascii="Times New Roman" w:cs="Times New Roman" w:eastAsia="Times New Roman" w:hAnsi="Times New Roman"/>
          <w:b/>
          <w:bCs/>
          <w:sz w:val="24"/>
          <w:szCs w:val="24"/>
        </w:rPr>
        <w:t xml:space="preserve">NOT SUPPORTED</w:t>
      </w:r>
      <w:r>
        <w:rPr>
          <w:rFonts w:ascii="Times New Roman" w:cs="Times New Roman" w:eastAsia="Times New Roman" w:hAnsi="Times New Roman"/>
          <w:sz w:val="24"/>
          <w:szCs w:val="24"/>
        </w:rPr>
        <w:t xml:space="preserve">. I chose not to add an "inconclusive" verdict. Beating SPY on Sharpe is reported but is not a pass criterion, because a market-neutral book can trail a rising index even with real alpha.</w:t>
      </w:r>
    </w:p>
    <w:p>
      <w:pPr>
        <w:spacing w:after="240"/>
      </w:pPr>
      <w:r>
        <w:rPr>
          <w:rFonts w:ascii="Times New Roman" w:cs="Times New Roman" w:eastAsia="Times New Roman" w:hAnsi="Times New Roman"/>
          <w:sz w:val="24"/>
          <w:szCs w:val="24"/>
        </w:rPr>
        <w:t xml:space="preserve">Four design decisions were made before the build. I dropped a planned ETF-versus-basket negative control. I used point-in-time membership rather than today's holdings. I stayed with daily data, since an intraday study would be separate. And I shortened the holdout from 4.75 to 2.75 years, accepting lower power.</w:t>
      </w:r>
    </w:p>
    <w:p>
      <w:pPr>
        <w:pStyle w:val="Heading1"/>
      </w:pPr>
      <w:r>
        <w:rPr>
          <w:rFonts w:ascii="Times New Roman" w:cs="Times New Roman" w:eastAsia="Times New Roman" w:hAnsi="Times New Roman"/>
        </w:rPr>
        <w:t xml:space="preserve">2. Data Pipeline</w:t>
      </w:r>
    </w:p>
    <w:p>
      <w:pPr>
        <w:spacing w:after="240"/>
      </w:pPr>
      <w:r>
        <w:rPr>
          <w:rFonts w:ascii="Times New Roman" w:cs="Times New Roman" w:eastAsia="Times New Roman" w:hAnsi="Times New Roman"/>
          <w:b/>
          <w:bCs/>
          <w:sz w:val="24"/>
          <w:szCs w:val="24"/>
        </w:rPr>
        <w:t xml:space="preserve">Universe.</w:t>
      </w:r>
      <w:r>
        <w:rPr>
          <w:rFonts w:ascii="Times New Roman" w:cs="Times New Roman" w:eastAsia="Times New Roman" w:hAnsi="Times New Roman"/>
          <w:sz w:val="24"/>
          <w:szCs w:val="24"/>
        </w:rPr>
        <w:t xml:space="preserve"> S&amp;P 500 members at each date, across all 11 GICS sectors, each hedged against its SPDR sector ETF (XLK, XLF, XLE, XLV, XLY, XLP, XLI, XLB, XLU, XLRE and XLC). A stock needs a prior close of at least $5 to be eligible. The benchmark is SPY, and ^IRX is the risk-free proxy used only for benchmark excess returns.</w:t>
      </w:r>
    </w:p>
    <w:p>
      <w:pPr>
        <w:spacing w:after="240"/>
      </w:pPr>
      <w:r>
        <w:rPr>
          <w:rFonts w:ascii="Times New Roman" w:cs="Times New Roman" w:eastAsia="Times New Roman" w:hAnsi="Times New Roman"/>
          <w:b/>
          <w:bCs/>
          <w:sz w:val="24"/>
          <w:szCs w:val="24"/>
        </w:rPr>
        <w:t xml:space="preserve">Membership.</w:t>
      </w:r>
      <w:r>
        <w:rPr>
          <w:rFonts w:ascii="Times New Roman" w:cs="Times New Roman" w:eastAsia="Times New Roman" w:hAnsi="Times New Roman"/>
          <w:sz w:val="24"/>
          <w:szCs w:val="24"/>
        </w:rPr>
        <w:t xml:space="preserve"> Membership is rebuilt by starting from today's Wikipedia constituent list (503 tickers) and undoing the additions and removals in Wikipedia's change table, working backwards. The change table now sits on the "Historical components of the S&amp;P 500" page rather than the page named in my spec, which is logged as a deviation. Five reconstruction issues are logged in a file and were not silently fixed.</w:t>
      </w:r>
    </w:p>
    <w:p>
      <w:pPr>
        <w:spacing w:after="240"/>
      </w:pPr>
      <w:r>
        <w:rPr>
          <w:rFonts w:ascii="Times New Roman" w:cs="Times New Roman" w:eastAsia="Times New Roman" w:hAnsi="Times New Roman"/>
          <w:b/>
          <w:bCs/>
          <w:sz w:val="24"/>
          <w:szCs w:val="24"/>
        </w:rPr>
        <w:t xml:space="preserve">Prices.</w:t>
      </w:r>
      <w:r>
        <w:rPr>
          <w:rFonts w:ascii="Times New Roman" w:cs="Times New Roman" w:eastAsia="Times New Roman" w:hAnsi="Times New Roman"/>
          <w:sz w:val="24"/>
          <w:szCs w:val="24"/>
        </w:rPr>
        <w:t xml:space="preserve"> Prices come from Yahoo Finance through </w:t>
      </w:r>
      <w:r>
        <w:rPr>
          <w:rFonts w:ascii="Courier New" w:cs="Courier New" w:eastAsia="Courier New" w:hAnsi="Courier New"/>
          <w:sz w:val="20"/>
          <w:szCs w:val="20"/>
        </w:rPr>
        <w:t xml:space="preserve">yfinance</w:t>
      </w:r>
      <w:r>
        <w:rPr>
          <w:rFonts w:ascii="Times New Roman" w:cs="Times New Roman" w:eastAsia="Times New Roman" w:hAnsi="Times New Roman"/>
          <w:sz w:val="24"/>
          <w:szCs w:val="24"/>
        </w:rPr>
        <w:t xml:space="preserve"> with </w:t>
      </w:r>
      <w:r>
        <w:rPr>
          <w:rFonts w:ascii="Courier New" w:cs="Courier New" w:eastAsia="Courier New" w:hAnsi="Courier New"/>
          <w:sz w:val="20"/>
          <w:szCs w:val="20"/>
        </w:rPr>
        <w:t xml:space="preserve">auto_adjust=False</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Close</w:t>
      </w:r>
      <w:r>
        <w:rPr>
          <w:rFonts w:ascii="Times New Roman" w:cs="Times New Roman" w:eastAsia="Times New Roman" w:hAnsi="Times New Roman"/>
          <w:sz w:val="24"/>
          <w:szCs w:val="24"/>
        </w:rPr>
        <w:t xml:space="preserve"> is adjusted for splits but not for dividends, so the $5 filter can differ slightly from true traded prices. Returns use </w:t>
      </w:r>
      <w:r>
        <w:rPr>
          <w:rFonts w:ascii="Courier New" w:cs="Courier New" w:eastAsia="Courier New" w:hAnsi="Courier New"/>
          <w:sz w:val="20"/>
          <w:szCs w:val="20"/>
        </w:rPr>
        <w:t xml:space="preserve">Adj Close</w:t>
      </w:r>
      <w:r>
        <w:rPr>
          <w:rFonts w:ascii="Times New Roman" w:cs="Times New Roman" w:eastAsia="Times New Roman" w:hAnsi="Times New Roman"/>
          <w:sz w:val="24"/>
          <w:szCs w:val="24"/>
        </w:rPr>
        <w:t xml:space="preserve">, and open-to-open returns use an adjusted open computed as Open x AdjClose / Close. The data has no delisting returns.</w:t>
      </w:r>
    </w:p>
    <w:p>
      <w:pPr>
        <w:spacing w:after="240"/>
      </w:pPr>
      <w:r>
        <w:rPr>
          <w:rFonts w:ascii="Times New Roman" w:cs="Times New Roman" w:eastAsia="Times New Roman" w:hAnsi="Times New Roman"/>
          <w:b/>
          <w:bCs/>
          <w:sz w:val="24"/>
          <w:szCs w:val="24"/>
        </w:rPr>
        <w:t xml:space="preserve">Sample.</w:t>
      </w:r>
      <w:r>
        <w:rPr>
          <w:rFonts w:ascii="Times New Roman" w:cs="Times New Roman" w:eastAsia="Times New Roman" w:hAnsi="Times New Roman"/>
          <w:sz w:val="24"/>
          <w:szCs w:val="24"/>
        </w:rPr>
        <w:t xml:space="preserve"> Price data starts on 1 June 2018 as a warm-up. Signals start on 1 October 2018, because XLRE and XLC exist by then and the 2018 GICS restructuring makes sector labels cleaner. The raw prices were split into in-sample and holdout files at download. Every return and regression observation is stamped by its exit date, so the first holdout trades use signals from the last in-sample days, but no in-sample statistic uses a holdout price.</w:t>
      </w:r>
    </w:p>
    <w:p>
      <w:pPr>
        <w:spacing w:after="240"/>
      </w:pPr>
      <w:r>
        <w:rPr>
          <w:rFonts w:ascii="Times New Roman" w:cs="Times New Roman" w:eastAsia="Times New Roman" w:hAnsi="Times New Roman"/>
          <w:b/>
          <w:bCs/>
          <w:sz w:val="24"/>
          <w:szCs w:val="24"/>
        </w:rPr>
        <w:t xml:space="preserve">Coverage.</w:t>
      </w:r>
      <w:r>
        <w:rPr>
          <w:rFonts w:ascii="Times New Roman" w:cs="Times New Roman" w:eastAsia="Times New Roman" w:hAnsi="Times New Roman"/>
          <w:sz w:val="24"/>
          <w:szCs w:val="24"/>
        </w:rPr>
        <w:t xml:space="preserve"> Table 1 shows what share of point-in-time members could actually be traded each year. Stocks that were removed from the index (acquired, bankrupt or shrunk) often have no Yahoo prices and no sector label, so survivors are over-represented, most strongly early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62"/>
        <w:gridCol w:w="2816"/>
        <w:gridCol w:w="1429"/>
        <w:gridCol w:w="1630"/>
        <w:gridCol w:w="1789"/>
      </w:tblGrid>
      <w:tr>
        <w:trPr>
          <w:cantSplit/>
          <w:tblHeader/>
        </w:trPr>
        <w:tc>
          <w:tcPr>
            <w:tcW w:type="dxa" w:w="1362"/>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0"/>
                <w:szCs w:val="20"/>
              </w:rPr>
              <w:t xml:space="preserve">Year</w:t>
            </w:r>
          </w:p>
        </w:tc>
        <w:tc>
          <w:tcPr>
            <w:tcW w:type="dxa" w:w="2816"/>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0"/>
                <w:szCs w:val="20"/>
              </w:rPr>
              <w:t xml:space="preserve">Avg. point-in-time members</w:t>
            </w:r>
          </w:p>
        </w:tc>
        <w:tc>
          <w:tcPr>
            <w:tcW w:type="dxa" w:w="1429"/>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0"/>
                <w:szCs w:val="20"/>
              </w:rPr>
              <w:t xml:space="preserve">With price data</w:t>
            </w:r>
          </w:p>
        </w:tc>
        <w:tc>
          <w:tcPr>
            <w:tcW w:type="dxa" w:w="1630"/>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0"/>
                <w:szCs w:val="20"/>
              </w:rPr>
              <w:t xml:space="preserve">With sector label</w:t>
            </w:r>
          </w:p>
        </w:tc>
        <w:tc>
          <w:tcPr>
            <w:tcW w:type="dxa" w:w="1789"/>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0"/>
                <w:szCs w:val="20"/>
              </w:rPr>
              <w:t xml:space="preserve">Usable for trading</w:t>
            </w:r>
          </w:p>
        </w:tc>
      </w:tr>
      <w:tr>
        <w:trPr>
          <w:cantSplit/>
          <w:tblHeader w:val="off"/>
        </w:trPr>
        <w:tc>
          <w:tcPr>
            <w:tcW w:type="dxa" w:w="136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2018</w:t>
            </w:r>
          </w:p>
        </w:tc>
        <w:tc>
          <w:tcPr>
            <w:tcW w:type="dxa" w:w="281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508.0</w:t>
            </w:r>
          </w:p>
        </w:tc>
        <w:tc>
          <w:tcPr>
            <w:tcW w:type="dxa" w:w="142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86.0%</w:t>
            </w:r>
          </w:p>
        </w:tc>
        <w:tc>
          <w:tcPr>
            <w:tcW w:type="dxa" w:w="163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87.6%</w:t>
            </w:r>
          </w:p>
        </w:tc>
        <w:tc>
          <w:tcPr>
            <w:tcW w:type="dxa" w:w="178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86.0% (below 90%)</w:t>
            </w:r>
          </w:p>
        </w:tc>
      </w:tr>
      <w:tr>
        <w:trPr>
          <w:cantSplit/>
          <w:tblHeader w:val="off"/>
        </w:trPr>
        <w:tc>
          <w:tcPr>
            <w:tcW w:type="dxa" w:w="136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2019</w:t>
            </w:r>
          </w:p>
        </w:tc>
        <w:tc>
          <w:tcPr>
            <w:tcW w:type="dxa" w:w="281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506.4</w:t>
            </w:r>
          </w:p>
        </w:tc>
        <w:tc>
          <w:tcPr>
            <w:tcW w:type="dxa" w:w="142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88.0%</w:t>
            </w:r>
          </w:p>
        </w:tc>
        <w:tc>
          <w:tcPr>
            <w:tcW w:type="dxa" w:w="163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89.2%</w:t>
            </w:r>
          </w:p>
        </w:tc>
        <w:tc>
          <w:tcPr>
            <w:tcW w:type="dxa" w:w="178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88.0% (below 90%)</w:t>
            </w:r>
          </w:p>
        </w:tc>
      </w:tr>
      <w:tr>
        <w:trPr>
          <w:cantSplit/>
          <w:tblHeader w:val="off"/>
        </w:trPr>
        <w:tc>
          <w:tcPr>
            <w:tcW w:type="dxa" w:w="136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2020</w:t>
            </w:r>
          </w:p>
        </w:tc>
        <w:tc>
          <w:tcPr>
            <w:tcW w:type="dxa" w:w="281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506.0</w:t>
            </w:r>
          </w:p>
        </w:tc>
        <w:tc>
          <w:tcPr>
            <w:tcW w:type="dxa" w:w="142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90.3%</w:t>
            </w:r>
          </w:p>
        </w:tc>
        <w:tc>
          <w:tcPr>
            <w:tcW w:type="dxa" w:w="163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91.1%</w:t>
            </w:r>
          </w:p>
        </w:tc>
        <w:tc>
          <w:tcPr>
            <w:tcW w:type="dxa" w:w="178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90.3%</w:t>
            </w:r>
          </w:p>
        </w:tc>
      </w:tr>
      <w:tr>
        <w:trPr>
          <w:cantSplit/>
          <w:tblHeader w:val="off"/>
        </w:trPr>
        <w:tc>
          <w:tcPr>
            <w:tcW w:type="dxa" w:w="136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2021</w:t>
            </w:r>
          </w:p>
        </w:tc>
        <w:tc>
          <w:tcPr>
            <w:tcW w:type="dxa" w:w="281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506.0</w:t>
            </w:r>
          </w:p>
        </w:tc>
        <w:tc>
          <w:tcPr>
            <w:tcW w:type="dxa" w:w="142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91.8%</w:t>
            </w:r>
          </w:p>
        </w:tc>
        <w:tc>
          <w:tcPr>
            <w:tcW w:type="dxa" w:w="163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92.6%</w:t>
            </w:r>
          </w:p>
        </w:tc>
        <w:tc>
          <w:tcPr>
            <w:tcW w:type="dxa" w:w="178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91.8%</w:t>
            </w:r>
          </w:p>
        </w:tc>
      </w:tr>
      <w:tr>
        <w:trPr>
          <w:cantSplit/>
          <w:tblHeader w:val="off"/>
        </w:trPr>
        <w:tc>
          <w:tcPr>
            <w:tcW w:type="dxa" w:w="136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2022</w:t>
            </w:r>
          </w:p>
        </w:tc>
        <w:tc>
          <w:tcPr>
            <w:tcW w:type="dxa" w:w="281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504.7</w:t>
            </w:r>
          </w:p>
        </w:tc>
        <w:tc>
          <w:tcPr>
            <w:tcW w:type="dxa" w:w="142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93.8%</w:t>
            </w:r>
          </w:p>
        </w:tc>
        <w:tc>
          <w:tcPr>
            <w:tcW w:type="dxa" w:w="163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94.7%</w:t>
            </w:r>
          </w:p>
        </w:tc>
        <w:tc>
          <w:tcPr>
            <w:tcW w:type="dxa" w:w="178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93.8%</w:t>
            </w:r>
          </w:p>
        </w:tc>
      </w:tr>
      <w:tr>
        <w:trPr>
          <w:cantSplit/>
          <w:tblHeader w:val="off"/>
        </w:trPr>
        <w:tc>
          <w:tcPr>
            <w:tcW w:type="dxa" w:w="136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2023</w:t>
            </w:r>
          </w:p>
        </w:tc>
        <w:tc>
          <w:tcPr>
            <w:tcW w:type="dxa" w:w="281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504.0</w:t>
            </w:r>
          </w:p>
        </w:tc>
        <w:tc>
          <w:tcPr>
            <w:tcW w:type="dxa" w:w="142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95.6%</w:t>
            </w:r>
          </w:p>
        </w:tc>
        <w:tc>
          <w:tcPr>
            <w:tcW w:type="dxa" w:w="163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96.5%</w:t>
            </w:r>
          </w:p>
        </w:tc>
        <w:tc>
          <w:tcPr>
            <w:tcW w:type="dxa" w:w="178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95.6%</w:t>
            </w:r>
          </w:p>
        </w:tc>
      </w:tr>
      <w:tr>
        <w:trPr>
          <w:cantSplit/>
          <w:tblHeader w:val="off"/>
        </w:trPr>
        <w:tc>
          <w:tcPr>
            <w:tcW w:type="dxa" w:w="136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2024</w:t>
            </w:r>
          </w:p>
        </w:tc>
        <w:tc>
          <w:tcPr>
            <w:tcW w:type="dxa" w:w="281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504.0</w:t>
            </w:r>
          </w:p>
        </w:tc>
        <w:tc>
          <w:tcPr>
            <w:tcW w:type="dxa" w:w="142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96.5%</w:t>
            </w:r>
          </w:p>
        </w:tc>
        <w:tc>
          <w:tcPr>
            <w:tcW w:type="dxa" w:w="163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97.3%</w:t>
            </w:r>
          </w:p>
        </w:tc>
        <w:tc>
          <w:tcPr>
            <w:tcW w:type="dxa" w:w="178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96.5%</w:t>
            </w:r>
          </w:p>
        </w:tc>
      </w:tr>
      <w:tr>
        <w:trPr>
          <w:cantSplit/>
          <w:tblHeader w:val="off"/>
        </w:trPr>
        <w:tc>
          <w:tcPr>
            <w:tcW w:type="dxa" w:w="136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2025</w:t>
            </w:r>
          </w:p>
        </w:tc>
        <w:tc>
          <w:tcPr>
            <w:tcW w:type="dxa" w:w="281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504.0</w:t>
            </w:r>
          </w:p>
        </w:tc>
        <w:tc>
          <w:tcPr>
            <w:tcW w:type="dxa" w:w="142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97.7%</w:t>
            </w:r>
          </w:p>
        </w:tc>
        <w:tc>
          <w:tcPr>
            <w:tcW w:type="dxa" w:w="163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98.3%</w:t>
            </w:r>
          </w:p>
        </w:tc>
        <w:tc>
          <w:tcPr>
            <w:tcW w:type="dxa" w:w="178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97.7%</w:t>
            </w:r>
          </w:p>
        </w:tc>
      </w:tr>
      <w:tr>
        <w:trPr>
          <w:cantSplit/>
          <w:tblHeader w:val="off"/>
        </w:trPr>
        <w:tc>
          <w:tcPr>
            <w:tcW w:type="dxa" w:w="136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2026 (to 30 Sep)</w:t>
            </w:r>
          </w:p>
        </w:tc>
        <w:tc>
          <w:tcPr>
            <w:tcW w:type="dxa" w:w="281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504.0</w:t>
            </w:r>
          </w:p>
        </w:tc>
        <w:tc>
          <w:tcPr>
            <w:tcW w:type="dxa" w:w="142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99.0%</w:t>
            </w:r>
          </w:p>
        </w:tc>
        <w:tc>
          <w:tcPr>
            <w:tcW w:type="dxa" w:w="163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99.6%</w:t>
            </w:r>
          </w:p>
        </w:tc>
        <w:tc>
          <w:tcPr>
            <w:tcW w:type="dxa" w:w="178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99.0%</w:t>
            </w:r>
          </w:p>
        </w:tc>
      </w:tr>
    </w:tbl>
    <w:p>
      <w:pPr>
        <w:spacing w:after="240" w:before="100"/>
      </w:pPr>
      <w:r>
        <w:rPr>
          <w:rFonts w:ascii="Times New Roman" w:cs="Times New Roman" w:eastAsia="Times New Roman" w:hAnsi="Times New Roman"/>
          <w:i/>
          <w:iCs/>
          <w:color w:val="595959"/>
          <w:sz w:val="20"/>
          <w:szCs w:val="20"/>
        </w:rPr>
        <w:t xml:space="preserve">Table 1: Coverage by calendar year, average over sessions (</w:t>
      </w:r>
      <w:r>
        <w:rPr>
          <w:rFonts w:ascii="Courier New" w:cs="Courier New" w:eastAsia="Courier New" w:hAnsi="Courier New"/>
          <w:i/>
          <w:iCs/>
          <w:color w:val="595959"/>
          <w:sz w:val="18"/>
          <w:szCs w:val="18"/>
        </w:rPr>
        <w:t xml:space="preserve">coverage_by_year.csv</w:t>
      </w:r>
      <w:r>
        <w:rPr>
          <w:rFonts w:ascii="Times New Roman" w:cs="Times New Roman" w:eastAsia="Times New Roman" w:hAnsi="Times New Roman"/>
          <w:i/>
          <w:iCs/>
          <w:color w:val="595959"/>
          <w:sz w:val="20"/>
          <w:szCs w:val="20"/>
        </w:rPr>
        <w:t xml:space="preserve">). Holdout-year price coverage was filled in at Stage 3, after the lock.</w:t>
      </w:r>
    </w:p>
    <w:p>
      <w:pPr>
        <w:spacing w:after="240"/>
      </w:pPr>
      <w:r>
        <w:rPr>
          <w:rFonts w:ascii="Times New Roman" w:cs="Times New Roman" w:eastAsia="Times New Roman" w:hAnsi="Times New Roman"/>
          <w:sz w:val="24"/>
          <w:szCs w:val="24"/>
        </w:rPr>
        <w:t xml:space="preserve">In the in-sample window, 613 tickers were members. 532 had price data and 81 did not, and none had a missing sector label. Of the 157 in-sample members that are no longer in the index, 76 (48%) are usable, against 100% of the survivors. In the holdout window, 21 members had no downloadable prices (ANSS, AVB, CDAY, CMA, CTLT, CTRA, DAY, DFS, EA, FLT, HES, HOLX, IPG, JNPR, K, MRO, PXD, QRVO, SATS, WBA and WBD).</w:t>
      </w:r>
    </w:p>
    <w:p>
      <w:pPr>
        <w:spacing w:after="240"/>
      </w:pPr>
      <w:r>
        <w:rPr>
          <w:rFonts w:ascii="Times New Roman" w:cs="Times New Roman" w:eastAsia="Times New Roman" w:hAnsi="Times New Roman"/>
          <w:b/>
          <w:bCs/>
          <w:sz w:val="24"/>
          <w:szCs w:val="24"/>
        </w:rPr>
        <w:t xml:space="preserve">Price quality.</w:t>
      </w:r>
      <w:r>
        <w:rPr>
          <w:rFonts w:ascii="Times New Roman" w:cs="Times New Roman" w:eastAsia="Times New Roman" w:hAnsi="Times New Roman"/>
          <w:sz w:val="24"/>
          <w:szCs w:val="24"/>
        </w:rPr>
        <w:t xml:space="preserve"> There are no duplicate rows and no NaN or non-positive prices in either window. In sample there are 11 daily moves above 50% in absolute value, and in the holdout 20. None coincided with a split flag. All were kept as downloaded and nothing was winsorised. Eleven of the holdout rows belong to the ticker STI and three to SBNY, both former index members. STI's Yahoo prices start on 2022-05-02 although SunTrust left the index in December 2019, which suggests the ticker now belongs to a different company. SBNY (Signature Bank) left the index in March 2023 and has no in-sample prices. I checked the membership table: STI was a member only from 2018-06-01 to 2019-12-06 and SBNY only from 2021-12-20 to 2023-03-14, so for neither ticker do membership and prices overlap, and neither could be traded. I did not open the trade log itself. One holdout ticker (FISV) is missing one NYSE session.</w:t>
      </w:r>
    </w:p>
    <w:p>
      <w:pPr>
        <w:spacing w:after="240"/>
      </w:pPr>
      <w:r>
        <w:rPr>
          <w:rFonts w:ascii="Times New Roman" w:cs="Times New Roman" w:eastAsia="Times New Roman" w:hAnsi="Times New Roman"/>
          <w:b/>
          <w:bCs/>
          <w:sz w:val="24"/>
          <w:szCs w:val="24"/>
        </w:rPr>
        <w:t xml:space="preserve">Data limits, stated openly.</w:t>
      </w:r>
      <w:r>
        <w:rPr>
          <w:rFonts w:ascii="Times New Roman" w:cs="Times New Roman" w:eastAsia="Times New Roman" w:hAnsi="Times New Roman"/>
          <w:sz w:val="24"/>
          <w:szCs w:val="24"/>
        </w:rPr>
        <w:t xml:space="preserve"> The data is free, and Yahoo adjusted data can contain errors. Current sector labels are applied to the whole sample, so reclassifications are not tracked. Visa, Mastercard and PayPal were Information Technology until March 2023, and they are excluded in a robustness check. The reconstructed membership table may be incomplete.</w:t>
      </w:r>
    </w:p>
    <w:p>
      <w:pPr>
        <w:pStyle w:val="Heading1"/>
      </w:pPr>
      <w:r>
        <w:rPr>
          <w:rFonts w:ascii="Times New Roman" w:cs="Times New Roman" w:eastAsia="Times New Roman" w:hAnsi="Times New Roman"/>
        </w:rPr>
        <w:t xml:space="preserve">3. Methodology</w:t>
      </w:r>
    </w:p>
    <w:p>
      <w:pPr>
        <w:spacing w:after="240"/>
      </w:pPr>
      <w:r>
        <w:rPr>
          <w:rFonts w:ascii="Times New Roman" w:cs="Times New Roman" w:eastAsia="Times New Roman" w:hAnsi="Times New Roman"/>
          <w:sz w:val="24"/>
          <w:szCs w:val="24"/>
        </w:rPr>
        <w:t xml:space="preserve">This section walks through the study in the order it was actually run, from the first decision to the final result, with counts where they exist. The full trading rules are in Section 4.1.</w:t>
      </w:r>
    </w:p>
    <w:p>
      <w:pPr>
        <w:pStyle w:val="Heading2"/>
      </w:pPr>
      <w:r>
        <w:rPr>
          <w:rFonts w:ascii="Times New Roman" w:cs="Times New Roman" w:eastAsia="Times New Roman" w:hAnsi="Times New Roman"/>
        </w:rPr>
        <w:t xml:space="preserve">3.1 From the Idea to the Pre-registration</w:t>
      </w:r>
    </w:p>
    <w:p>
      <w:pPr>
        <w:spacing w:after="240"/>
      </w:pPr>
      <w:r>
        <w:rPr>
          <w:rFonts w:ascii="Times New Roman" w:cs="Times New Roman" w:eastAsia="Times New Roman" w:hAnsi="Times New Roman"/>
          <w:sz w:val="24"/>
          <w:szCs w:val="24"/>
        </w:rPr>
        <w:t xml:space="preserve">The first step was to write down the hypothesis, the decision rule, my prior and every parameter in a pre-registration file, before any data was downloaded. The windows were fixed at the same time: an in-sample period from October 2018 to December 2023, and a holdout from January 2024 to September 2026. From then on, any change had to be recorded as a dated deviation with a statement of whether it was made before or after any result was seen. The data layer was built behind a swappable </w:t>
      </w:r>
      <w:r>
        <w:rPr>
          <w:rFonts w:ascii="Courier New" w:cs="Courier New" w:eastAsia="Courier New" w:hAnsi="Courier New"/>
          <w:sz w:val="20"/>
          <w:szCs w:val="20"/>
        </w:rPr>
        <w:t xml:space="preserve">DataProvider</w:t>
      </w:r>
      <w:r>
        <w:rPr>
          <w:rFonts w:ascii="Times New Roman" w:cs="Times New Roman" w:eastAsia="Times New Roman" w:hAnsi="Times New Roman"/>
          <w:sz w:val="24"/>
          <w:szCs w:val="24"/>
        </w:rPr>
        <w:t xml:space="preserve"> interface, so a Bloomberg or WRDS source can replace Yahoo and Wikipedia later without touching the signal or backtest code.</w:t>
      </w:r>
    </w:p>
    <w:p>
      <w:pPr>
        <w:pStyle w:val="Heading2"/>
      </w:pPr>
      <w:r>
        <w:rPr>
          <w:rFonts w:ascii="Times New Roman" w:cs="Times New Roman" w:eastAsia="Times New Roman" w:hAnsi="Times New Roman"/>
        </w:rPr>
        <w:t xml:space="preserve">3.2 Collecting the Data and Building Membership</w:t>
      </w:r>
    </w:p>
    <w:p>
      <w:pPr>
        <w:spacing w:after="240"/>
      </w:pPr>
      <w:r>
        <w:rPr>
          <w:rFonts w:ascii="Times New Roman" w:cs="Times New Roman" w:eastAsia="Times New Roman" w:hAnsi="Times New Roman"/>
          <w:sz w:val="24"/>
          <w:szCs w:val="24"/>
        </w:rPr>
        <w:t xml:space="preserve">Stage 0 downloaded the raw Yahoo and Wikipedia data, cached it on disk and recorded file hashes in a manifest, so that every later run uses identical inputs. Prices were split into in-sample and holdout files at download, and the code refuses to load the holdout file unless a lock file exists. Membership was rebuilt from today's 503-ticker list backwards through the change table. Stage 0 ends with a coverage report (Table 1) and a data-quality report, which is where the STI and SBNY moves were found.</w:t>
      </w:r>
    </w:p>
    <w:p>
      <w:pPr>
        <w:pStyle w:val="Heading2"/>
      </w:pPr>
      <w:r>
        <w:rPr>
          <w:rFonts w:ascii="Times New Roman" w:cs="Times New Roman" w:eastAsia="Times New Roman" w:hAnsi="Times New Roman"/>
        </w:rPr>
        <w:t xml:space="preserve">3.3 Building the Signal</w:t>
      </w:r>
    </w:p>
    <w:p>
      <w:pPr>
        <w:spacing w:after="240"/>
      </w:pPr>
      <w:r>
        <w:rPr>
          <w:rFonts w:ascii="Times New Roman" w:cs="Times New Roman" w:eastAsia="Times New Roman" w:hAnsi="Times New Roman"/>
          <w:sz w:val="24"/>
          <w:szCs w:val="24"/>
        </w:rPr>
        <w:t xml:space="preserve">For each stock and day, beta is a 60-day rolling regression slope of the stock on its sector ETF, using data only through the previous day, with at least 50 observations. The residual is the stock return minus beta times the ETF return. The signal z is the residual divided by its trailing 60-day standard deviation, again through the previous day. A stock is eligible on a date if it is an index member that day, closed at $5 or more, has a defined beta and z, and the date is on or after 1 October 2018. The rolling betas are computed with rolling sums rather than a regression per window, which is what makes the full panel cheap to compute.</w:t>
      </w:r>
    </w:p>
    <w:p>
      <w:pPr>
        <w:spacing w:after="240"/>
      </w:pPr>
      <w:r>
        <w:rPr>
          <w:rFonts w:ascii="Times New Roman" w:cs="Times New Roman" w:eastAsia="Times New Roman" w:hAnsi="Times New Roman"/>
          <w:sz w:val="24"/>
          <w:szCs w:val="24"/>
        </w:rPr>
        <w:t xml:space="preserve">In the holdout, 24.3% of eligible stock-days have an absolute z of 1 or more (Figure 1). The distribution has fat tails, so the plot clips at +/-8 and about 300 observations pile up at each edge.</w:t>
      </w:r>
    </w:p>
    <w:p>
      <w:pPr>
        <w:keepNext/>
        <w:spacing w:after="60" w:before="120"/>
        <w:jc w:val="center"/>
      </w:pPr>
      <w:r>
        <w:drawing>
          <wp:inline distT="0" distB="0" distL="0" distR="0">
            <wp:extent cx="4381500" cy="2428875"/>
            <wp:effectExtent t="0" r="0" b="0" l="0"/>
            <wp:docPr id="1" name="ho_fig4_z_distribution.png" descr="Distribution of the signal z over eligible stock-days in the holdout, clipped at +/-8 (log scale). Dashed lines mark the +/-1 trading thresholds." title="Distribution of the signal z over eligible stock-days in the holdout, clipped at +/-8 (log scale). Dashed lines mark the +/-1 trading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28875"/>
                    </a:xfrm>
                    <a:prstGeom prst="rect">
                      <a:avLst/>
                    </a:prstGeom>
                  </pic:spPr>
                </pic:pic>
              </a:graphicData>
            </a:graphic>
          </wp:inline>
        </w:drawing>
      </w:r>
    </w:p>
    <w:p>
      <w:pPr>
        <w:spacing w:after="240" w:before="100"/>
      </w:pPr>
      <w:r>
        <w:rPr>
          <w:rFonts w:ascii="Times New Roman" w:cs="Times New Roman" w:eastAsia="Times New Roman" w:hAnsi="Times New Roman"/>
          <w:i/>
          <w:iCs/>
          <w:color w:val="595959"/>
          <w:sz w:val="20"/>
          <w:szCs w:val="20"/>
        </w:rPr>
        <w:t xml:space="preserve">Figure 1: Distribution of the signal z over eligible stock-days in the holdout, clipped at +/-8 (log scale). Dashed lines mark the +/-1 trading thresholds.</w:t>
      </w:r>
    </w:p>
    <w:p>
      <w:pPr>
        <w:pStyle w:val="Heading2"/>
      </w:pPr>
      <w:r>
        <w:rPr>
          <w:rFonts w:ascii="Times New Roman" w:cs="Times New Roman" w:eastAsia="Times New Roman" w:hAnsi="Times New Roman"/>
        </w:rPr>
        <w:t xml:space="preserve">3.4 Turning the Signal into Positions</w:t>
      </w:r>
    </w:p>
    <w:p>
      <w:pPr>
        <w:spacing w:after="240"/>
      </w:pPr>
      <w:r>
        <w:rPr>
          <w:rFonts w:ascii="Times New Roman" w:cs="Times New Roman" w:eastAsia="Times New Roman" w:hAnsi="Times New Roman"/>
          <w:sz w:val="24"/>
          <w:szCs w:val="24"/>
        </w:rPr>
        <w:t xml:space="preserve">Signals are read at the close of day t, trades are entered at the open of t+1 and closed at the open of t+2. Long and short legs each carry half of the gross book. The ETF hedge cancels the net sector beta of the stock positions. Profit and loss is charged at the exit date, and costs are charged on changes in target weights. If either leg is empty on a day, there is no position that day.</w:t>
      </w:r>
    </w:p>
    <w:p>
      <w:pPr>
        <w:pStyle w:val="Heading2"/>
      </w:pPr>
      <w:r>
        <w:rPr>
          <w:rFonts w:ascii="Times New Roman" w:cs="Times New Roman" w:eastAsia="Times New Roman" w:hAnsi="Times New Roman"/>
        </w:rPr>
        <w:t xml:space="preserve">3.5 Testing the Code Before Looking at Any Return</w:t>
      </w:r>
    </w:p>
    <w:p>
      <w:pPr>
        <w:spacing w:after="240"/>
      </w:pPr>
      <w:r>
        <w:rPr>
          <w:rFonts w:ascii="Times New Roman" w:cs="Times New Roman" w:eastAsia="Times New Roman" w:hAnsi="Times New Roman"/>
          <w:sz w:val="24"/>
          <w:szCs w:val="24"/>
        </w:rPr>
        <w:t xml:space="preserve">Before any real return was looked at, the pipeline was tested on made-up data and with unit tests. The pipeline recovers a planted reversal, finds nothing in a null world, and finds nothing when each stock is hedged against a deliberately wrong ETF. All Stage 1 checks passed (200 simulations per world) before the in-sample analysis was allowed to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35"/>
        <w:gridCol w:w="3812"/>
        <w:gridCol w:w="1279"/>
      </w:tblGrid>
      <w:tr>
        <w:trPr>
          <w:cantSplit/>
          <w:tblHeader/>
        </w:trPr>
        <w:tc>
          <w:tcPr>
            <w:tcW w:type="dxa" w:w="3935"/>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Check</w:t>
            </w:r>
          </w:p>
        </w:tc>
        <w:tc>
          <w:tcPr>
            <w:tcW w:type="dxa" w:w="3812"/>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Result</w:t>
            </w:r>
          </w:p>
        </w:tc>
        <w:tc>
          <w:tcPr>
            <w:tcW w:type="dxa" w:w="1279"/>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Passed</w:t>
            </w:r>
          </w:p>
        </w:tc>
      </w:tr>
      <w:tr>
        <w:trPr>
          <w:cantSplit/>
          <w:tblHeader w:val="off"/>
        </w:trPr>
        <w:tc>
          <w:tcPr>
            <w:tcW w:type="dxa" w:w="393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1a Planted AR(1) residual reversal (phi = -0.10): mean Fama-MacBeth coefficient within 0.02 of -0.10</w:t>
            </w:r>
          </w:p>
        </w:tc>
        <w:tc>
          <w:tcPr>
            <w:tcW w:type="dxa" w:w="381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-0.0984</w:t>
            </w:r>
          </w:p>
        </w:tc>
        <w:tc>
          <w:tcPr>
            <w:tcW w:type="dxa" w:w="127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Yes</w:t>
            </w:r>
          </w:p>
        </w:tc>
      </w:tr>
      <w:tr>
        <w:trPr>
          <w:cantSplit/>
          <w:tblHeader w:val="off"/>
        </w:trPr>
        <w:tc>
          <w:tcPr>
            <w:tcW w:type="dxa" w:w="393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1a Planted: mean gross daily return above 0</w:t>
            </w:r>
          </w:p>
        </w:tc>
        <w:tc>
          <w:tcPr>
            <w:tcW w:type="dxa" w:w="381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1.43e-03, positive in 100% of simulations</w:t>
            </w:r>
          </w:p>
        </w:tc>
        <w:tc>
          <w:tcPr>
            <w:tcW w:type="dxa" w:w="127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Yes</w:t>
            </w:r>
          </w:p>
        </w:tc>
      </w:tr>
      <w:tr>
        <w:trPr>
          <w:cantSplit/>
          <w:tblHeader w:val="off"/>
        </w:trPr>
        <w:tc>
          <w:tcPr>
            <w:tcW w:type="dxa" w:w="393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1b Null world (phi = 0): share of simulations with Fama-MacBeth |t| &gt; 2 at most 10%</w:t>
            </w:r>
          </w:p>
        </w:tc>
        <w:tc>
          <w:tcPr>
            <w:tcW w:type="dxa" w:w="381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3.0%</w:t>
            </w:r>
          </w:p>
        </w:tc>
        <w:tc>
          <w:tcPr>
            <w:tcW w:type="dxa" w:w="127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Yes</w:t>
            </w:r>
          </w:p>
        </w:tc>
      </w:tr>
      <w:tr>
        <w:trPr>
          <w:cantSplit/>
          <w:tblHeader w:val="off"/>
        </w:trPr>
        <w:tc>
          <w:tcPr>
            <w:tcW w:type="dxa" w:w="393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1b Null: share with net-Sharpe interval entirely above 0 at most 10%</w:t>
            </w:r>
          </w:p>
        </w:tc>
        <w:tc>
          <w:tcPr>
            <w:tcW w:type="dxa" w:w="381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0.0%</w:t>
            </w:r>
          </w:p>
        </w:tc>
        <w:tc>
          <w:tcPr>
            <w:tcW w:type="dxa" w:w="127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Yes</w:t>
            </w:r>
          </w:p>
        </w:tc>
      </w:tr>
      <w:tr>
        <w:trPr>
          <w:cantSplit/>
          <w:tblHeader w:val="off"/>
        </w:trPr>
        <w:tc>
          <w:tcPr>
            <w:tcW w:type="dxa" w:w="393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1c Placebo on real in-sample data, each stock hedged against a random wrong ETF (20 shuffles): share flagged at most 10%</w:t>
            </w:r>
          </w:p>
        </w:tc>
        <w:tc>
          <w:tcPr>
            <w:tcW w:type="dxa" w:w="381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 (median FM t = -1.40, median net Sharpe = -1.60)</w:t>
            </w:r>
          </w:p>
        </w:tc>
        <w:tc>
          <w:tcPr>
            <w:tcW w:type="dxa" w:w="127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Yes</w:t>
            </w:r>
          </w:p>
        </w:tc>
      </w:tr>
      <w:tr>
        <w:trPr>
          <w:cantSplit/>
          <w:tblHeader w:val="off"/>
        </w:trPr>
        <w:tc>
          <w:tcPr>
            <w:tcW w:type="dxa" w:w="393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1d Unit tests, including look-ahead and cost tests</w:t>
            </w:r>
          </w:p>
        </w:tc>
        <w:tc>
          <w:tcPr>
            <w:tcW w:type="dxa" w:w="381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13 passed</w:t>
            </w:r>
          </w:p>
        </w:tc>
        <w:tc>
          <w:tcPr>
            <w:tcW w:type="dxa" w:w="127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Yes</w:t>
            </w:r>
          </w:p>
        </w:tc>
      </w:tr>
    </w:tbl>
    <w:p>
      <w:pPr>
        <w:spacing w:after="240" w:before="100"/>
      </w:pPr>
      <w:r>
        <w:rPr>
          <w:rFonts w:ascii="Times New Roman" w:cs="Times New Roman" w:eastAsia="Times New Roman" w:hAnsi="Times New Roman"/>
          <w:i/>
          <w:iCs/>
          <w:color w:val="595959"/>
          <w:sz w:val="20"/>
          <w:szCs w:val="20"/>
        </w:rPr>
        <w:t xml:space="preserve">Table 2: Simulation validation (</w:t>
      </w:r>
      <w:r>
        <w:rPr>
          <w:rFonts w:ascii="Courier New" w:cs="Courier New" w:eastAsia="Courier New" w:hAnsi="Courier New"/>
          <w:i/>
          <w:iCs/>
          <w:color w:val="595959"/>
          <w:sz w:val="18"/>
          <w:szCs w:val="18"/>
        </w:rPr>
        <w:t xml:space="preserve">stage1_checks.csv</w:t>
      </w:r>
      <w:r>
        <w:rPr>
          <w:rFonts w:ascii="Times New Roman" w:cs="Times New Roman" w:eastAsia="Times New Roman" w:hAnsi="Times New Roman"/>
          <w:i/>
          <w:iCs/>
          <w:color w:val="595959"/>
          <w:sz w:val="20"/>
          <w:szCs w:val="20"/>
        </w:rPr>
        <w:t xml:space="preserve">).</w:t>
      </w:r>
    </w:p>
    <w:p>
      <w:pPr>
        <w:spacing w:after="240"/>
      </w:pPr>
      <w:r>
        <w:rPr>
          <w:rFonts w:ascii="Times New Roman" w:cs="Times New Roman" w:eastAsia="Times New Roman" w:hAnsi="Times New Roman"/>
          <w:sz w:val="24"/>
          <w:szCs w:val="24"/>
        </w:rPr>
        <w:t xml:space="preserve">In the planted world the mean gross Sharpe was 20.19 and the mean net Sharpe 7.39, with the gross interval above zero in 100% of simulations. In the null world the gross interval was above zero in 2.5% of simulations and the mean coefficient was about zero. There are two cautions. A planted Sharpe of about 20 shows how large a coefficient of -0.10 is in a frictionless daily panel of hundreds of names. Real effects will be far smaller, so these checks prove the code works, not that the real effect is detectable. And a wrong-ETF hedge still removes most market beta, so any generic short-term reversal would also appear in the placebo. The placebo's median gross Sharpe was 0.80, against 0.35 for the correct hedge in the in-sample primary result. I flag that and do not interpret it.</w:t>
      </w:r>
    </w:p>
    <w:p>
      <w:pPr>
        <w:pStyle w:val="Heading2"/>
      </w:pPr>
      <w:r>
        <w:rPr>
          <w:rFonts w:ascii="Times New Roman" w:cs="Times New Roman" w:eastAsia="Times New Roman" w:hAnsi="Times New Roman"/>
        </w:rPr>
        <w:t xml:space="preserve">3.6 In-Sample Analysis and the Freeze</w:t>
      </w:r>
    </w:p>
    <w:p>
      <w:pPr>
        <w:spacing w:after="240"/>
      </w:pPr>
      <w:r>
        <w:rPr>
          <w:rFonts w:ascii="Times New Roman" w:cs="Times New Roman" w:eastAsia="Times New Roman" w:hAnsi="Times New Roman"/>
          <w:sz w:val="24"/>
          <w:szCs w:val="24"/>
        </w:rPr>
        <w:t xml:space="preserve">Stage 2 ran the in-sample analysis. It was used to inspect the design and was never used to change a pre-registered parameter. Once it was done, a freeze script hashed the configuration, the membership table and the data manifest into </w:t>
      </w:r>
      <w:r>
        <w:rPr>
          <w:rFonts w:ascii="Courier New" w:cs="Courier New" w:eastAsia="Courier New" w:hAnsi="Courier New"/>
          <w:sz w:val="20"/>
          <w:szCs w:val="20"/>
        </w:rPr>
        <w:t xml:space="preserve">FREEZE.json</w:t>
      </w:r>
      <w:r>
        <w:rPr>
          <w:rFonts w:ascii="Times New Roman" w:cs="Times New Roman" w:eastAsia="Times New Roman" w:hAnsi="Times New Roman"/>
          <w:sz w:val="24"/>
          <w:szCs w:val="24"/>
        </w:rPr>
        <w:t xml:space="preserve">, committed everything, and tagged the commit </w:t>
      </w:r>
      <w:r>
        <w:rPr>
          <w:rFonts w:ascii="Courier New" w:cs="Courier New" w:eastAsia="Courier New" w:hAnsi="Courier New"/>
          <w:sz w:val="20"/>
          <w:szCs w:val="20"/>
        </w:rPr>
        <w:t xml:space="preserve">prereg-frozen</w:t>
      </w:r>
      <w:r>
        <w:rPr>
          <w:rFonts w:ascii="Times New Roman" w:cs="Times New Roman" w:eastAsia="Times New Roman" w:hAnsi="Times New Roman"/>
          <w:sz w:val="24"/>
          <w:szCs w:val="24"/>
        </w:rPr>
        <w:t xml:space="preserve">.</w:t>
      </w:r>
    </w:p>
    <w:p>
      <w:pPr>
        <w:pStyle w:val="Heading2"/>
      </w:pPr>
      <w:r>
        <w:rPr>
          <w:rFonts w:ascii="Times New Roman" w:cs="Times New Roman" w:eastAsia="Times New Roman" w:hAnsi="Times New Roman"/>
        </w:rPr>
        <w:t xml:space="preserve">3.7 Running the Holdout Once and Reporting Everything</w:t>
      </w:r>
    </w:p>
    <w:p>
      <w:pPr>
        <w:spacing w:after="240"/>
      </w:pPr>
      <w:r>
        <w:rPr>
          <w:rFonts w:ascii="Times New Roman" w:cs="Times New Roman" w:eastAsia="Times New Roman" w:hAnsi="Times New Roman"/>
          <w:sz w:val="24"/>
          <w:szCs w:val="24"/>
        </w:rPr>
        <w:t xml:space="preserve">Stage 3 was run once with a </w:t>
      </w:r>
      <w:r>
        <w:rPr>
          <w:rFonts w:ascii="Courier New" w:cs="Courier New" w:eastAsia="Courier New" w:hAnsi="Courier New"/>
          <w:sz w:val="20"/>
          <w:szCs w:val="20"/>
        </w:rPr>
        <w:t xml:space="preserve">--confirm</w:t>
      </w:r>
      <w:r>
        <w:rPr>
          <w:rFonts w:ascii="Times New Roman" w:cs="Times New Roman" w:eastAsia="Times New Roman" w:hAnsi="Times New Roman"/>
          <w:sz w:val="24"/>
          <w:szCs w:val="24"/>
        </w:rPr>
        <w:t xml:space="preserve"> flag. It wrote </w:t>
      </w:r>
      <w:r>
        <w:rPr>
          <w:rFonts w:ascii="Courier New" w:cs="Courier New" w:eastAsia="Courier New" w:hAnsi="Courier New"/>
          <w:sz w:val="20"/>
          <w:szCs w:val="20"/>
        </w:rPr>
        <w:t xml:space="preserve">HOLDOUT_LOCK</w:t>
      </w:r>
      <w:r>
        <w:rPr>
          <w:rFonts w:ascii="Times New Roman" w:cs="Times New Roman" w:eastAsia="Times New Roman" w:hAnsi="Times New Roman"/>
          <w:sz w:val="24"/>
          <w:szCs w:val="24"/>
        </w:rPr>
        <w:t xml:space="preserve">, which is what unlocks the holdout prices, and it refuses to run twice. Every variant, period and cost level is reported, whatever it shows, and only the pre-registered rule decides the verdict. Table 3 shows how the universe narrows to positions, and Table 4 is the audit 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5"/>
        <w:gridCol w:w="4021"/>
      </w:tblGrid>
      <w:tr>
        <w:trPr>
          <w:cantSplit/>
          <w:tblHeader/>
        </w:trPr>
        <w:tc>
          <w:tcPr>
            <w:tcW w:type="dxa" w:w="5005"/>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Step (holdout window)</w:t>
            </w:r>
          </w:p>
        </w:tc>
        <w:tc>
          <w:tcPr>
            <w:tcW w:type="dxa" w:w="4021"/>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Count</w:t>
            </w:r>
          </w:p>
        </w:tc>
      </w:tr>
      <w:tr>
        <w:trPr>
          <w:cantSplit/>
          <w:tblHeader w:val="off"/>
        </w:trPr>
        <w:tc>
          <w:tcPr>
            <w:tcW w:type="dxa" w:w="500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Point-in-time index members, average per session</w:t>
            </w:r>
          </w:p>
        </w:tc>
        <w:tc>
          <w:tcPr>
            <w:tcW w:type="dxa" w:w="4021"/>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about 504</w:t>
            </w:r>
          </w:p>
        </w:tc>
      </w:tr>
      <w:tr>
        <w:trPr>
          <w:cantSplit/>
          <w:tblHeader w:val="off"/>
        </w:trPr>
        <w:tc>
          <w:tcPr>
            <w:tcW w:type="dxa" w:w="500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Usable (prices and sector label available)</w:t>
            </w:r>
          </w:p>
        </w:tc>
        <w:tc>
          <w:tcPr>
            <w:tcW w:type="dxa" w:w="4021"/>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96.5% in 2024, 97.7% in 2025, 99.0% in 2026</w:t>
            </w:r>
          </w:p>
        </w:tc>
      </w:tr>
      <w:tr>
        <w:trPr>
          <w:cantSplit/>
          <w:tblHeader w:val="off"/>
        </w:trPr>
        <w:tc>
          <w:tcPr>
            <w:tcW w:type="dxa" w:w="500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Eligible stock-days with |z| of 1 or more</w:t>
            </w:r>
          </w:p>
        </w:tc>
        <w:tc>
          <w:tcPr>
            <w:tcW w:type="dxa" w:w="4021"/>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24.3%</w:t>
            </w:r>
          </w:p>
        </w:tc>
      </w:tr>
      <w:tr>
        <w:trPr>
          <w:cantSplit/>
          <w:tblHeader w:val="off"/>
        </w:trPr>
        <w:tc>
          <w:tcPr>
            <w:tcW w:type="dxa" w:w="500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Average names held per day</w:t>
            </w:r>
          </w:p>
        </w:tc>
        <w:tc>
          <w:tcPr>
            <w:tcW w:type="dxa" w:w="4021"/>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59.6 long and 59.7 short</w:t>
            </w:r>
          </w:p>
        </w:tc>
      </w:tr>
      <w:tr>
        <w:trPr>
          <w:cantSplit/>
          <w:tblHeader w:val="off"/>
        </w:trPr>
        <w:tc>
          <w:tcPr>
            <w:tcW w:type="dxa" w:w="500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Sessions with a position</w:t>
            </w:r>
          </w:p>
        </w:tc>
        <w:tc>
          <w:tcPr>
            <w:tcW w:type="dxa" w:w="4021"/>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688 of 689</w:t>
            </w:r>
          </w:p>
        </w:tc>
      </w:tr>
    </w:tbl>
    <w:p>
      <w:pPr>
        <w:spacing w:after="240" w:before="100"/>
      </w:pPr>
      <w:r>
        <w:rPr>
          <w:rFonts w:ascii="Times New Roman" w:cs="Times New Roman" w:eastAsia="Times New Roman" w:hAnsi="Times New Roman"/>
          <w:i/>
          <w:iCs/>
          <w:color w:val="595959"/>
          <w:sz w:val="20"/>
          <w:szCs w:val="20"/>
        </w:rPr>
        <w:t xml:space="preserve">Table 3: From index members to positions, holdout (</w:t>
      </w:r>
      <w:r>
        <w:rPr>
          <w:rFonts w:ascii="Courier New" w:cs="Courier New" w:eastAsia="Courier New" w:hAnsi="Courier New"/>
          <w:i/>
          <w:iCs/>
          <w:color w:val="595959"/>
          <w:sz w:val="18"/>
          <w:szCs w:val="18"/>
        </w:rPr>
        <w:t xml:space="preserve">coverage_by_year.csv</w:t>
      </w:r>
      <w:r>
        <w:rPr>
          <w:rFonts w:ascii="Times New Roman" w:cs="Times New Roman" w:eastAsia="Times New Roman" w:hAnsi="Times New Roman"/>
          <w:i/>
          <w:iCs/>
          <w:color w:val="595959"/>
          <w:sz w:val="20"/>
          <w:szCs w:val="20"/>
        </w:rPr>
        <w:t xml:space="preserve">, </w:t>
      </w:r>
      <w:r>
        <w:rPr>
          <w:rFonts w:ascii="Courier New" w:cs="Courier New" w:eastAsia="Courier New" w:hAnsi="Courier New"/>
          <w:i/>
          <w:iCs/>
          <w:color w:val="595959"/>
          <w:sz w:val="18"/>
          <w:szCs w:val="18"/>
        </w:rPr>
        <w:t xml:space="preserve">ho_strategy_tables.csv</w:t>
      </w:r>
      <w:r>
        <w:rPr>
          <w:rFonts w:ascii="Times New Roman" w:cs="Times New Roman" w:eastAsia="Times New Roman" w:hAnsi="Times New Roman"/>
          <w:i/>
          <w:iCs/>
          <w:color w:val="595959"/>
          <w:sz w:val="20"/>
          <w:szCs w:val="20"/>
        </w:rPr>
        <w:t xml:space="preserve"> and the z-distribution figure).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4"/>
        <w:gridCol w:w="6272"/>
      </w:tblGrid>
      <w:tr>
        <w:trPr>
          <w:cantSplit/>
          <w:tblHeader/>
        </w:trPr>
        <w:tc>
          <w:tcPr>
            <w:tcW w:type="dxa" w:w="2754"/>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Item</w:t>
            </w:r>
          </w:p>
        </w:tc>
        <w:tc>
          <w:tcPr>
            <w:tcW w:type="dxa" w:w="6272"/>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Evidence</w:t>
            </w:r>
          </w:p>
        </w:tc>
      </w:tr>
      <w:tr>
        <w:trPr>
          <w:cantSplit/>
          <w:tblHeader w:val="off"/>
        </w:trPr>
        <w:tc>
          <w:tcPr>
            <w:tcW w:type="dxa" w:w="2754"/>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Freeze</w:t>
            </w:r>
          </w:p>
        </w:tc>
        <w:tc>
          <w:tcPr>
            <w:tcW w:type="dxa" w:w="627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Git tag </w:t>
            </w:r>
            <w:r>
              <w:rPr>
                <w:rFonts w:ascii="Courier New" w:cs="Courier New" w:eastAsia="Courier New" w:hAnsi="Courier New"/>
                <w:sz w:val="18"/>
                <w:szCs w:val="18"/>
              </w:rPr>
              <w:t xml:space="preserve">prereg-frozen</w:t>
            </w:r>
            <w:r>
              <w:rPr>
                <w:rFonts w:ascii="Times New Roman" w:cs="Times New Roman" w:eastAsia="Times New Roman" w:hAnsi="Times New Roman"/>
                <w:sz w:val="22"/>
                <w:szCs w:val="22"/>
              </w:rPr>
              <w:t xml:space="preserve"> on commit a531ca8, 2026-10-27 17:09:53 UTC. </w:t>
            </w:r>
            <w:r>
              <w:rPr>
                <w:rFonts w:ascii="Courier New" w:cs="Courier New" w:eastAsia="Courier New" w:hAnsi="Courier New"/>
                <w:sz w:val="18"/>
                <w:szCs w:val="18"/>
              </w:rPr>
              <w:t xml:space="preserve">FREEZE.json</w:t>
            </w:r>
            <w:r>
              <w:rPr>
                <w:rFonts w:ascii="Times New Roman" w:cs="Times New Roman" w:eastAsia="Times New Roman" w:hAnsi="Times New Roman"/>
                <w:sz w:val="22"/>
                <w:szCs w:val="22"/>
              </w:rPr>
              <w:t xml:space="preserve"> holds SHA-256 hashes of </w:t>
            </w:r>
            <w:r>
              <w:rPr>
                <w:rFonts w:ascii="Courier New" w:cs="Courier New" w:eastAsia="Courier New" w:hAnsi="Courier New"/>
                <w:sz w:val="18"/>
                <w:szCs w:val="18"/>
              </w:rPr>
              <w:t xml:space="preserve">config.yaml</w:t>
            </w:r>
            <w:r>
              <w:rPr>
                <w:rFonts w:ascii="Times New Roman" w:cs="Times New Roman" w:eastAsia="Times New Roman" w:hAnsi="Times New Roman"/>
                <w:sz w:val="22"/>
                <w:szCs w:val="22"/>
              </w:rPr>
              <w:t xml:space="preserve">, </w:t>
            </w:r>
            <w:r>
              <w:rPr>
                <w:rFonts w:ascii="Courier New" w:cs="Courier New" w:eastAsia="Courier New" w:hAnsi="Courier New"/>
                <w:sz w:val="18"/>
                <w:szCs w:val="18"/>
              </w:rPr>
              <w:t xml:space="preserve">membership.parquet</w:t>
            </w:r>
            <w:r>
              <w:rPr>
                <w:rFonts w:ascii="Times New Roman" w:cs="Times New Roman" w:eastAsia="Times New Roman" w:hAnsi="Times New Roman"/>
                <w:sz w:val="22"/>
                <w:szCs w:val="22"/>
              </w:rPr>
              <w:t xml:space="preserve"> and </w:t>
            </w:r>
            <w:r>
              <w:rPr>
                <w:rFonts w:ascii="Courier New" w:cs="Courier New" w:eastAsia="Courier New" w:hAnsi="Courier New"/>
                <w:sz w:val="18"/>
                <w:szCs w:val="18"/>
              </w:rPr>
              <w:t xml:space="preserve">MANIFEST.json</w:t>
            </w:r>
            <w:r>
              <w:rPr>
                <w:rFonts w:ascii="Times New Roman" w:cs="Times New Roman" w:eastAsia="Times New Roman" w:hAnsi="Times New Roman"/>
                <w:sz w:val="22"/>
                <w:szCs w:val="22"/>
              </w:rPr>
              <w:t xml:space="preserve">, and all three still match.</w:t>
            </w:r>
          </w:p>
        </w:tc>
      </w:tr>
      <w:tr>
        <w:trPr>
          <w:cantSplit/>
          <w:tblHeader w:val="off"/>
        </w:trPr>
        <w:tc>
          <w:tcPr>
            <w:tcW w:type="dxa" w:w="2754"/>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Lock</w:t>
            </w:r>
          </w:p>
        </w:tc>
        <w:tc>
          <w:tcPr>
            <w:tcW w:type="dxa" w:w="627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Courier New" w:cs="Courier New" w:eastAsia="Courier New" w:hAnsi="Courier New"/>
                <w:sz w:val="18"/>
                <w:szCs w:val="18"/>
              </w:rPr>
              <w:t xml:space="preserve">HOLDOUT_LOCK</w:t>
            </w:r>
            <w:r>
              <w:rPr>
                <w:rFonts w:ascii="Times New Roman" w:cs="Times New Roman" w:eastAsia="Times New Roman" w:hAnsi="Times New Roman"/>
                <w:sz w:val="22"/>
                <w:szCs w:val="22"/>
              </w:rPr>
              <w:t xml:space="preserve"> written at 17:10:02 UTC, referencing commit a531ca8.</w:t>
            </w:r>
          </w:p>
        </w:tc>
      </w:tr>
      <w:tr>
        <w:trPr>
          <w:cantSplit/>
          <w:tblHeader w:val="off"/>
        </w:trPr>
        <w:tc>
          <w:tcPr>
            <w:tcW w:type="dxa" w:w="2754"/>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Holdout outputs</w:t>
            </w:r>
          </w:p>
        </w:tc>
        <w:tc>
          <w:tcPr>
            <w:tcW w:type="dxa" w:w="627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Written 17:10:23 to 17:10:25 UTC, after the lock. Results commit 5c9180d at 17:11:58.</w:t>
            </w:r>
          </w:p>
        </w:tc>
      </w:tr>
      <w:tr>
        <w:trPr>
          <w:cantSplit/>
          <w:tblHeader w:val="off"/>
        </w:trPr>
        <w:tc>
          <w:tcPr>
            <w:tcW w:type="dxa" w:w="2754"/>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Config</w:t>
            </w:r>
          </w:p>
        </w:tc>
        <w:tc>
          <w:tcPr>
            <w:tcW w:type="dxa" w:w="627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Courier New" w:cs="Courier New" w:eastAsia="Courier New" w:hAnsi="Courier New"/>
                <w:sz w:val="18"/>
                <w:szCs w:val="18"/>
              </w:rPr>
              <w:t xml:space="preserve">config.yaml</w:t>
            </w:r>
            <w:r>
              <w:rPr>
                <w:rFonts w:ascii="Times New Roman" w:cs="Times New Roman" w:eastAsia="Times New Roman" w:hAnsi="Times New Roman"/>
                <w:sz w:val="22"/>
                <w:szCs w:val="22"/>
              </w:rPr>
              <w:t xml:space="preserve"> is unchanged between the freeze tag and the final commit.</w:t>
            </w:r>
          </w:p>
        </w:tc>
      </w:tr>
      <w:tr>
        <w:trPr>
          <w:cantSplit/>
          <w:tblHeader w:val="off"/>
        </w:trPr>
        <w:tc>
          <w:tcPr>
            <w:tcW w:type="dxa" w:w="2754"/>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In-sample files</w:t>
            </w:r>
          </w:p>
        </w:tc>
        <w:tc>
          <w:tcPr>
            <w:tcW w:type="dxa" w:w="627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Rewritten at 17:11 after the holdout, but byte-identical to the frozen versions.</w:t>
            </w:r>
          </w:p>
        </w:tc>
      </w:tr>
    </w:tbl>
    <w:p>
      <w:pPr>
        <w:spacing w:after="240" w:before="100"/>
      </w:pPr>
      <w:r>
        <w:rPr>
          <w:rFonts w:ascii="Times New Roman" w:cs="Times New Roman" w:eastAsia="Times New Roman" w:hAnsi="Times New Roman"/>
          <w:i/>
          <w:iCs/>
          <w:color w:val="595959"/>
          <w:sz w:val="20"/>
          <w:szCs w:val="20"/>
        </w:rPr>
        <w:t xml:space="preserve">Table 4: Audit trail (git log, file timestamps, </w:t>
      </w:r>
      <w:r>
        <w:rPr>
          <w:rFonts w:ascii="Courier New" w:cs="Courier New" w:eastAsia="Courier New" w:hAnsi="Courier New"/>
          <w:i/>
          <w:iCs/>
          <w:color w:val="595959"/>
          <w:sz w:val="18"/>
          <w:szCs w:val="18"/>
        </w:rPr>
        <w:t xml:space="preserve">FREEZE.json</w:t>
      </w:r>
      <w:r>
        <w:rPr>
          <w:rFonts w:ascii="Times New Roman" w:cs="Times New Roman" w:eastAsia="Times New Roman" w:hAnsi="Times New Roman"/>
          <w:i/>
          <w:iCs/>
          <w:color w:val="595959"/>
          <w:sz w:val="20"/>
          <w:szCs w:val="20"/>
        </w:rPr>
        <w:t xml:space="preserve"> and </w:t>
      </w:r>
      <w:r>
        <w:rPr>
          <w:rFonts w:ascii="Courier New" w:cs="Courier New" w:eastAsia="Courier New" w:hAnsi="Courier New"/>
          <w:i/>
          <w:iCs/>
          <w:color w:val="595959"/>
          <w:sz w:val="18"/>
          <w:szCs w:val="18"/>
        </w:rPr>
        <w:t xml:space="preserve">HOLDOUT_LOCK</w:t>
      </w:r>
      <w:r>
        <w:rPr>
          <w:rFonts w:ascii="Times New Roman" w:cs="Times New Roman" w:eastAsia="Times New Roman" w:hAnsi="Times New Roman"/>
          <w:i/>
          <w:iCs/>
          <w:color w:val="595959"/>
          <w:sz w:val="20"/>
          <w:szCs w:val="20"/>
        </w:rPr>
        <w:t xml:space="preserve">). I cannot verify from files alone that holdout prices were not looked at before the freeze. The code prevents loading them without the lock, and Stage 0 split them off at download.</w:t>
      </w:r>
    </w:p>
    <w:p>
      <w:pPr>
        <w:pStyle w:val="Heading1"/>
      </w:pPr>
      <w:r>
        <w:rPr>
          <w:rFonts w:ascii="Times New Roman" w:cs="Times New Roman" w:eastAsia="Times New Roman" w:hAnsi="Times New Roman"/>
        </w:rPr>
        <w:t xml:space="preserve">4. Strategy and Backtest</w:t>
      </w:r>
    </w:p>
    <w:p>
      <w:pPr>
        <w:pStyle w:val="Heading2"/>
      </w:pPr>
      <w:r>
        <w:rPr>
          <w:rFonts w:ascii="Times New Roman" w:cs="Times New Roman" w:eastAsia="Times New Roman" w:hAnsi="Times New Roman"/>
        </w:rPr>
        <w:t xml:space="preserve">4.1 Strategy and Backtest Mechanics</w:t>
      </w:r>
    </w:p>
    <w:p>
      <w:pPr>
        <w:spacing w:after="240"/>
      </w:pPr>
      <w:r>
        <w:rPr>
          <w:rFonts w:ascii="Times New Roman" w:cs="Times New Roman" w:eastAsia="Times New Roman" w:hAnsi="Times New Roman"/>
          <w:sz w:val="24"/>
          <w:szCs w:val="24"/>
        </w:rPr>
        <w:t xml:space="preserve">Each stock's beta is a 60-day rolling OLS slope on its sector ETF through day t-1, with at least 50 observations. The regression is fitted with an intercept and the intercept is then dropped, so the residual is the return minus beta times the ETF return. The signal z is the residual divided by its trailing 60-day standard deviation through t-1.</w:t>
      </w:r>
    </w:p>
    <w:p>
      <w:pPr>
        <w:spacing w:after="240"/>
      </w:pPr>
      <w:r>
        <w:rPr>
          <w:rFonts w:ascii="Times New Roman" w:cs="Times New Roman" w:eastAsia="Times New Roman" w:hAnsi="Times New Roman"/>
          <w:sz w:val="24"/>
          <w:szCs w:val="24"/>
        </w:rPr>
        <w:t xml:space="preserve">The strategy goes long every stock with z of -1 or lower and short every stock with z of +1 or higher. The long and short legs each carry 0.5 of gross exposure, so the stock book is dollar-neutral. The ETF hedge in each sector is minus the sum of weight times beta over that sector's names. The signal is read at the close of day t, the trade is entered at the open of t+1 and exited at the open of t+2, so the holding period is one day and the book is rebuilt every day. A day on which either leg is empty has no position.</w:t>
      </w:r>
    </w:p>
    <w:p>
      <w:pPr>
        <w:spacing w:after="240"/>
      </w:pPr>
      <w:r>
        <w:rPr>
          <w:rFonts w:ascii="Times New Roman" w:cs="Times New Roman" w:eastAsia="Times New Roman" w:hAnsi="Times New Roman"/>
          <w:sz w:val="24"/>
          <w:szCs w:val="24"/>
        </w:rPr>
        <w:t xml:space="preserve">Costs are 5 basis points per side on stocks (with 2 and 10 basis points as sensitivities), 1 basis point per side on the ETF hedge, and a flat 50 basis points a year borrow on short notional, which is my own assumption. Costs are charged on changes in target weights, and drift inside the holding period is ignored. A held name with a missing price contributes a zero return.</w:t>
      </w:r>
    </w:p>
    <w:p>
      <w:pPr>
        <w:spacing w:after="240"/>
      </w:pPr>
      <w:r>
        <w:rPr>
          <w:rFonts w:ascii="Times New Roman" w:cs="Times New Roman" w:eastAsia="Times New Roman" w:hAnsi="Times New Roman"/>
          <w:sz w:val="24"/>
          <w:szCs w:val="24"/>
        </w:rPr>
        <w:t xml:space="preserve">Two timing variants are reported only as checks. </w:t>
      </w:r>
      <w:r>
        <w:rPr>
          <w:rFonts w:ascii="Courier New" w:cs="Courier New" w:eastAsia="Courier New" w:hAnsi="Courier New"/>
          <w:sz w:val="20"/>
          <w:szCs w:val="20"/>
        </w:rPr>
        <w:t xml:space="preserve">close_close_lag</w:t>
      </w:r>
      <w:r>
        <w:rPr>
          <w:rFonts w:ascii="Times New Roman" w:cs="Times New Roman" w:eastAsia="Times New Roman" w:hAnsi="Times New Roman"/>
          <w:sz w:val="24"/>
          <w:szCs w:val="24"/>
        </w:rPr>
        <w:t xml:space="preserve"> is an alternative lag, and </w:t>
      </w:r>
      <w:r>
        <w:rPr>
          <w:rFonts w:ascii="Courier New" w:cs="Courier New" w:eastAsia="Courier New" w:hAnsi="Courier New"/>
          <w:sz w:val="20"/>
          <w:szCs w:val="20"/>
        </w:rPr>
        <w:t xml:space="preserve">same_close</w:t>
      </w:r>
      <w:r>
        <w:rPr>
          <w:rFonts w:ascii="Times New Roman" w:cs="Times New Roman" w:eastAsia="Times New Roman" w:hAnsi="Times New Roman"/>
          <w:sz w:val="24"/>
          <w:szCs w:val="24"/>
        </w:rPr>
        <w:t xml:space="preserve"> enters at the very close that produced the signal, which cannot be traded, so it is an upper bound.</w:t>
      </w:r>
    </w:p>
    <w:p>
      <w:pPr>
        <w:pStyle w:val="Heading2"/>
      </w:pPr>
      <w:r>
        <w:rPr>
          <w:rFonts w:ascii="Times New Roman" w:cs="Times New Roman" w:eastAsia="Times New Roman" w:hAnsi="Times New Roman"/>
        </w:rPr>
        <w:t xml:space="preserve">4.2 Results</w:t>
      </w:r>
    </w:p>
    <w:p>
      <w:pPr>
        <w:spacing w:after="240"/>
      </w:pPr>
      <w:r>
        <w:rPr>
          <w:rFonts w:ascii="Times New Roman" w:cs="Times New Roman" w:eastAsia="Times New Roman" w:hAnsi="Times New Roman"/>
          <w:sz w:val="24"/>
          <w:szCs w:val="24"/>
        </w:rPr>
        <w:t xml:space="preserve">Six measures are reported:</w:t>
      </w:r>
    </w:p>
    <w:p>
      <w:pPr>
        <w:pStyle w:val="ListParagraph"/>
        <w:numPr>
          <w:ilvl w:val="0"/>
          <w:numId w:val="2"/>
        </w:numPr>
        <w:spacing w:after="80"/>
      </w:pPr>
      <w:r>
        <w:rPr>
          <w:rFonts w:ascii="Times New Roman" w:cs="Times New Roman" w:eastAsia="Times New Roman" w:hAnsi="Times New Roman"/>
          <w:b/>
          <w:bCs/>
          <w:sz w:val="24"/>
          <w:szCs w:val="24"/>
        </w:rPr>
        <w:t xml:space="preserve">Annual return and volatility:</w:t>
      </w:r>
      <w:r>
        <w:rPr>
          <w:rFonts w:ascii="Times New Roman" w:cs="Times New Roman" w:eastAsia="Times New Roman" w:hAnsi="Times New Roman"/>
          <w:sz w:val="24"/>
          <w:szCs w:val="24"/>
        </w:rPr>
        <w:t xml:space="preserve"> the average yearly return and the yearly standard deviation of daily returns.</w:t>
      </w:r>
    </w:p>
    <w:p>
      <w:pPr>
        <w:pStyle w:val="ListParagraph"/>
        <w:numPr>
          <w:ilvl w:val="0"/>
          <w:numId w:val="2"/>
        </w:numPr>
        <w:spacing w:after="80"/>
      </w:pPr>
      <w:r>
        <w:rPr>
          <w:rFonts w:ascii="Times New Roman" w:cs="Times New Roman" w:eastAsia="Times New Roman" w:hAnsi="Times New Roman"/>
          <w:b/>
          <w:bCs/>
          <w:sz w:val="24"/>
          <w:szCs w:val="24"/>
        </w:rPr>
        <w:t xml:space="preserve">Sharpe ratio:</w:t>
      </w:r>
      <w:r>
        <w:rPr>
          <w:rFonts w:ascii="Times New Roman" w:cs="Times New Roman" w:eastAsia="Times New Roman" w:hAnsi="Times New Roman"/>
          <w:sz w:val="24"/>
          <w:szCs w:val="24"/>
        </w:rPr>
        <w:t xml:space="preserve"> mean daily return over its standard deviation, times the square root of 252, with flat days counted as zero and no risk-free subtraction because the book is dollar-neutral. The 95% interval is a stationary bootstrap with mean block length 10 and 10,000 resamples.</w:t>
      </w:r>
    </w:p>
    <w:p>
      <w:pPr>
        <w:pStyle w:val="ListParagraph"/>
        <w:numPr>
          <w:ilvl w:val="0"/>
          <w:numId w:val="2"/>
        </w:numPr>
        <w:spacing w:after="80"/>
      </w:pPr>
      <w:r>
        <w:rPr>
          <w:rFonts w:ascii="Times New Roman" w:cs="Times New Roman" w:eastAsia="Times New Roman" w:hAnsi="Times New Roman"/>
          <w:b/>
          <w:bCs/>
          <w:sz w:val="24"/>
          <w:szCs w:val="24"/>
        </w:rPr>
        <w:t xml:space="preserve">Maximum drawdown:</w:t>
      </w:r>
      <w:r>
        <w:rPr>
          <w:rFonts w:ascii="Times New Roman" w:cs="Times New Roman" w:eastAsia="Times New Roman" w:hAnsi="Times New Roman"/>
          <w:sz w:val="24"/>
          <w:szCs w:val="24"/>
        </w:rPr>
        <w:t xml:space="preserve"> the worst peak-to-trough loss along the way.</w:t>
      </w:r>
    </w:p>
    <w:p>
      <w:pPr>
        <w:pStyle w:val="ListParagraph"/>
        <w:numPr>
          <w:ilvl w:val="0"/>
          <w:numId w:val="2"/>
        </w:numPr>
        <w:spacing w:after="80"/>
      </w:pPr>
      <w:r>
        <w:rPr>
          <w:rFonts w:ascii="Times New Roman" w:cs="Times New Roman" w:eastAsia="Times New Roman" w:hAnsi="Times New Roman"/>
          <w:b/>
          <w:bCs/>
          <w:sz w:val="24"/>
          <w:szCs w:val="24"/>
        </w:rPr>
        <w:t xml:space="preserve">Alpha against SPY:</w:t>
      </w:r>
      <w:r>
        <w:rPr>
          <w:rFonts w:ascii="Times New Roman" w:cs="Times New Roman" w:eastAsia="Times New Roman" w:hAnsi="Times New Roman"/>
          <w:sz w:val="24"/>
          <w:szCs w:val="24"/>
        </w:rPr>
        <w:t xml:space="preserve"> the intercept of the daily strategy return on the SPY open-to-open return, annualised, with a Newey-West t-statistic using 5 lags.</w:t>
      </w:r>
    </w:p>
    <w:p>
      <w:pPr>
        <w:pStyle w:val="ListParagraph"/>
        <w:numPr>
          <w:ilvl w:val="0"/>
          <w:numId w:val="2"/>
        </w:numPr>
        <w:spacing w:after="80"/>
      </w:pPr>
      <w:r>
        <w:rPr>
          <w:rFonts w:ascii="Times New Roman" w:cs="Times New Roman" w:eastAsia="Times New Roman" w:hAnsi="Times New Roman"/>
          <w:b/>
          <w:bCs/>
          <w:sz w:val="24"/>
          <w:szCs w:val="24"/>
        </w:rPr>
        <w:t xml:space="preserve">Hit rate:</w:t>
      </w:r>
      <w:r>
        <w:rPr>
          <w:rFonts w:ascii="Times New Roman" w:cs="Times New Roman" w:eastAsia="Times New Roman" w:hAnsi="Times New Roman"/>
          <w:sz w:val="24"/>
          <w:szCs w:val="24"/>
        </w:rPr>
        <w:t xml:space="preserve"> the share of active days with a positive net return.</w:t>
      </w:r>
    </w:p>
    <w:p>
      <w:pPr>
        <w:pStyle w:val="ListParagraph"/>
        <w:numPr>
          <w:ilvl w:val="0"/>
          <w:numId w:val="2"/>
        </w:numPr>
        <w:spacing w:after="80"/>
      </w:pPr>
      <w:r>
        <w:rPr>
          <w:rFonts w:ascii="Times New Roman" w:cs="Times New Roman" w:eastAsia="Times New Roman" w:hAnsi="Times New Roman"/>
          <w:b/>
          <w:bCs/>
          <w:sz w:val="24"/>
          <w:szCs w:val="24"/>
        </w:rPr>
        <w:t xml:space="preserve">Breakeven cost:</w:t>
      </w:r>
      <w:r>
        <w:rPr>
          <w:rFonts w:ascii="Times New Roman" w:cs="Times New Roman" w:eastAsia="Times New Roman" w:hAnsi="Times New Roman"/>
          <w:sz w:val="24"/>
          <w:szCs w:val="24"/>
        </w:rPr>
        <w:t xml:space="preserve"> the cost per side at which net profit is zero.</w:t>
      </w:r>
    </w:p>
    <w:p>
      <w:pPr>
        <w:spacing w:after="120"/>
      </w:pPr>
    </w:p>
    <w:p>
      <w:pPr>
        <w:spacing w:after="240"/>
      </w:pPr>
      <w:r>
        <w:rPr>
          <w:rFonts w:ascii="Times New Roman" w:cs="Times New Roman" w:eastAsia="Times New Roman" w:hAnsi="Times New Roman"/>
          <w:sz w:val="24"/>
          <w:szCs w:val="24"/>
        </w:rPr>
        <w:t xml:space="preserve">Cumulative return, Sortino ratio and win rate are not reported, because they are not in the saved results and I did not estimate them by hand. Gross results are shown next to net results at 2, 5 and 10 basis points per side. The decision rule uses 5 basis points.</w:t>
      </w:r>
    </w:p>
    <w:p>
      <w:pPr>
        <w:pStyle w:val="Heading3"/>
      </w:pPr>
      <w:r>
        <w:rPr>
          <w:rFonts w:ascii="Times New Roman" w:cs="Times New Roman" w:eastAsia="Times New Roman" w:hAnsi="Times New Roman"/>
        </w:rPr>
        <w:t xml:space="preserve">4.2.1 In Sample Comparison</w:t>
      </w:r>
    </w:p>
    <w:p>
      <w:pPr>
        <w:spacing w:after="240"/>
      </w:pPr>
      <w:r>
        <w:rPr>
          <w:rFonts w:ascii="Times New Roman" w:cs="Times New Roman" w:eastAsia="Times New Roman" w:hAnsi="Times New Roman"/>
          <w:sz w:val="24"/>
          <w:szCs w:val="24"/>
        </w:rPr>
        <w:t xml:space="preserve">In sample (1 October 2018 to 31 December 2023, 1,321 sessions, of which 1,302 held a position), the primary specification gives: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41"/>
        <w:gridCol w:w="1033"/>
        <w:gridCol w:w="769"/>
        <w:gridCol w:w="929"/>
        <w:gridCol w:w="1196"/>
        <w:gridCol w:w="1255"/>
        <w:gridCol w:w="1403"/>
      </w:tblGrid>
      <w:tr>
        <w:trPr>
          <w:cantSplit/>
          <w:tblHeader/>
        </w:trPr>
        <w:tc>
          <w:tcPr>
            <w:tcW w:type="dxa" w:w="2441"/>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18"/>
                <w:szCs w:val="18"/>
              </w:rPr>
              <w:t xml:space="preserve">Primary spec (open-to-open, sector-ETF hedge, |z| of 1 or more, 1-day hold)</w:t>
            </w:r>
          </w:p>
        </w:tc>
        <w:tc>
          <w:tcPr>
            <w:tcW w:type="dxa" w:w="1033"/>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18"/>
                <w:szCs w:val="18"/>
              </w:rPr>
              <w:t xml:space="preserve">Ann. return</w:t>
            </w:r>
          </w:p>
        </w:tc>
        <w:tc>
          <w:tcPr>
            <w:tcW w:type="dxa" w:w="769"/>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18"/>
                <w:szCs w:val="18"/>
              </w:rPr>
              <w:t xml:space="preserve">Ann. vol</w:t>
            </w:r>
          </w:p>
        </w:tc>
        <w:tc>
          <w:tcPr>
            <w:tcW w:type="dxa" w:w="929"/>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18"/>
                <w:szCs w:val="18"/>
              </w:rPr>
              <w:t xml:space="preserve">Sharpe</w:t>
            </w:r>
          </w:p>
        </w:tc>
        <w:tc>
          <w:tcPr>
            <w:tcW w:type="dxa" w:w="1196"/>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18"/>
                <w:szCs w:val="18"/>
              </w:rPr>
              <w:t xml:space="preserve">95% CI</w:t>
            </w:r>
          </w:p>
        </w:tc>
        <w:tc>
          <w:tcPr>
            <w:tcW w:type="dxa" w:w="1255"/>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18"/>
                <w:szCs w:val="18"/>
              </w:rPr>
              <w:t xml:space="preserve">Max drawdown</w:t>
            </w:r>
          </w:p>
        </w:tc>
        <w:tc>
          <w:tcPr>
            <w:tcW w:type="dxa" w:w="1403"/>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18"/>
                <w:szCs w:val="18"/>
              </w:rPr>
              <w:t xml:space="preserve">Alpha vs SPY (NW t)</w:t>
            </w:r>
          </w:p>
        </w:tc>
      </w:tr>
      <w:tr>
        <w:trPr>
          <w:cantSplit/>
          <w:tblHeader w:val="off"/>
        </w:trPr>
        <w:tc>
          <w:tcPr>
            <w:tcW w:type="dxa" w:w="2441"/>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Gross</w:t>
            </w:r>
          </w:p>
        </w:tc>
        <w:tc>
          <w:tcPr>
            <w:tcW w:type="dxa" w:w="103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2.4%</w:t>
            </w:r>
          </w:p>
        </w:tc>
        <w:tc>
          <w:tcPr>
            <w:tcW w:type="dxa" w:w="76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6.9%</w:t>
            </w:r>
          </w:p>
        </w:tc>
        <w:tc>
          <w:tcPr>
            <w:tcW w:type="dxa" w:w="92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0.35</w:t>
            </w:r>
          </w:p>
        </w:tc>
        <w:tc>
          <w:tcPr>
            <w:tcW w:type="dxa" w:w="119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(-0.48, 1.20)</w:t>
            </w:r>
          </w:p>
        </w:tc>
        <w:tc>
          <w:tcPr>
            <w:tcW w:type="dxa" w:w="125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-12.3%</w:t>
            </w:r>
          </w:p>
        </w:tc>
        <w:tc>
          <w:tcPr>
            <w:tcW w:type="dxa" w:w="140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1.8% (0.64)</w:t>
            </w:r>
          </w:p>
        </w:tc>
      </w:tr>
      <w:tr>
        <w:trPr>
          <w:cantSplit/>
          <w:tblHeader w:val="off"/>
        </w:trPr>
        <w:tc>
          <w:tcPr>
            <w:tcW w:type="dxa" w:w="2441"/>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Net, 2 bp per side</w:t>
            </w:r>
          </w:p>
        </w:tc>
        <w:tc>
          <w:tcPr>
            <w:tcW w:type="dxa" w:w="103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-7.9%</w:t>
            </w:r>
          </w:p>
        </w:tc>
        <w:tc>
          <w:tcPr>
            <w:tcW w:type="dxa" w:w="76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6.9%</w:t>
            </w:r>
          </w:p>
        </w:tc>
        <w:tc>
          <w:tcPr>
            <w:tcW w:type="dxa" w:w="92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-1.15</w:t>
            </w:r>
          </w:p>
        </w:tc>
        <w:tc>
          <w:tcPr>
            <w:tcW w:type="dxa" w:w="119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(-2.00, -0.35)</w:t>
            </w:r>
          </w:p>
        </w:tc>
        <w:tc>
          <w:tcPr>
            <w:tcW w:type="dxa" w:w="125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-39.0%</w:t>
            </w:r>
          </w:p>
        </w:tc>
        <w:tc>
          <w:tcPr>
            <w:tcW w:type="dxa" w:w="140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-8.5% (-3.05)</w:t>
            </w:r>
          </w:p>
        </w:tc>
      </w:tr>
      <w:tr>
        <w:trPr>
          <w:cantSplit/>
          <w:tblHeader w:val="off"/>
        </w:trPr>
        <w:tc>
          <w:tcPr>
            <w:tcW w:type="dxa" w:w="2441"/>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Net, 5 bp per side</w:t>
            </w:r>
          </w:p>
        </w:tc>
        <w:tc>
          <w:tcPr>
            <w:tcW w:type="dxa" w:w="103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-21.0%</w:t>
            </w:r>
          </w:p>
        </w:tc>
        <w:tc>
          <w:tcPr>
            <w:tcW w:type="dxa" w:w="76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6.9%</w:t>
            </w:r>
          </w:p>
        </w:tc>
        <w:tc>
          <w:tcPr>
            <w:tcW w:type="dxa" w:w="92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-3.05</w:t>
            </w:r>
          </w:p>
        </w:tc>
        <w:tc>
          <w:tcPr>
            <w:tcW w:type="dxa" w:w="119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(-4.07, -2.15)</w:t>
            </w:r>
          </w:p>
        </w:tc>
        <w:tc>
          <w:tcPr>
            <w:tcW w:type="dxa" w:w="125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-67.4%</w:t>
            </w:r>
          </w:p>
        </w:tc>
        <w:tc>
          <w:tcPr>
            <w:tcW w:type="dxa" w:w="140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-21.6% (-7.78)</w:t>
            </w:r>
          </w:p>
        </w:tc>
      </w:tr>
      <w:tr>
        <w:trPr>
          <w:cantSplit/>
          <w:tblHeader w:val="off"/>
        </w:trPr>
        <w:tc>
          <w:tcPr>
            <w:tcW w:type="dxa" w:w="2441"/>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Net, 10 bp per side</w:t>
            </w:r>
          </w:p>
        </w:tc>
        <w:tc>
          <w:tcPr>
            <w:tcW w:type="dxa" w:w="103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-42.8%</w:t>
            </w:r>
          </w:p>
        </w:tc>
        <w:tc>
          <w:tcPr>
            <w:tcW w:type="dxa" w:w="76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6.9%</w:t>
            </w:r>
          </w:p>
        </w:tc>
        <w:tc>
          <w:tcPr>
            <w:tcW w:type="dxa" w:w="92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-6.20</w:t>
            </w:r>
          </w:p>
        </w:tc>
        <w:tc>
          <w:tcPr>
            <w:tcW w:type="dxa" w:w="119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(-7.70, -4.98)</w:t>
            </w:r>
          </w:p>
        </w:tc>
        <w:tc>
          <w:tcPr>
            <w:tcW w:type="dxa" w:w="125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-89.5%</w:t>
            </w:r>
          </w:p>
        </w:tc>
        <w:tc>
          <w:tcPr>
            <w:tcW w:type="dxa" w:w="140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-43.4% (-15.73)</w:t>
            </w:r>
          </w:p>
        </w:tc>
      </w:tr>
    </w:tbl>
    <w:p>
      <w:pPr>
        <w:spacing w:after="240" w:before="100"/>
      </w:pPr>
      <w:r>
        <w:rPr>
          <w:rFonts w:ascii="Times New Roman" w:cs="Times New Roman" w:eastAsia="Times New Roman" w:hAnsi="Times New Roman"/>
          <w:i/>
          <w:iCs/>
          <w:color w:val="595959"/>
          <w:sz w:val="20"/>
          <w:szCs w:val="20"/>
        </w:rPr>
        <w:t xml:space="preserve">Table 5: In-sample performance (</w:t>
      </w:r>
      <w:r>
        <w:rPr>
          <w:rFonts w:ascii="Courier New" w:cs="Courier New" w:eastAsia="Courier New" w:hAnsi="Courier New"/>
          <w:i/>
          <w:iCs/>
          <w:color w:val="595959"/>
          <w:sz w:val="18"/>
          <w:szCs w:val="18"/>
        </w:rPr>
        <w:t xml:space="preserve">is_strategy_tables.csv</w:t>
      </w:r>
      <w:r>
        <w:rPr>
          <w:rFonts w:ascii="Times New Roman" w:cs="Times New Roman" w:eastAsia="Times New Roman" w:hAnsi="Times New Roman"/>
          <w:i/>
          <w:iCs/>
          <w:color w:val="595959"/>
          <w:sz w:val="20"/>
          <w:szCs w:val="20"/>
        </w:rPr>
        <w:t xml:space="preserve">). Turnover 1.73x per day; average 56.7 longs and 57.9 shorts; breakeven cost 0.18 bp per side; hit rate 38.2% at 5 bp.</w:t>
      </w:r>
    </w:p>
    <w:p>
      <w:pPr>
        <w:keepNext/>
        <w:spacing w:after="60" w:before="120"/>
        <w:jc w:val="center"/>
      </w:pPr>
      <w:r>
        <w:drawing>
          <wp:inline distT="0" distB="0" distL="0" distR="0">
            <wp:extent cx="5334000" cy="2847975"/>
            <wp:effectExtent t="0" r="0" b="0" l="0"/>
            <wp:docPr id="2" name="is_fig1_cumulative.png" descr="Cumulative growth of 1, in-sample: strategy gross, strategy net at 5 bp per side, and SPY buy-and-hold (open-to-open)." title="Cumulative growth of 1, in-sample: strategy gross, strategy net at 5 bp per side, and SPY buy-and-hold (open-to-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47975"/>
                    </a:xfrm>
                    <a:prstGeom prst="rect">
                      <a:avLst/>
                    </a:prstGeom>
                  </pic:spPr>
                </pic:pic>
              </a:graphicData>
            </a:graphic>
          </wp:inline>
        </w:drawing>
      </w:r>
    </w:p>
    <w:p>
      <w:pPr>
        <w:spacing w:after="240" w:before="100"/>
      </w:pPr>
      <w:r>
        <w:rPr>
          <w:rFonts w:ascii="Times New Roman" w:cs="Times New Roman" w:eastAsia="Times New Roman" w:hAnsi="Times New Roman"/>
          <w:i/>
          <w:iCs/>
          <w:color w:val="595959"/>
          <w:sz w:val="20"/>
          <w:szCs w:val="20"/>
        </w:rPr>
        <w:t xml:space="preserve">Figure 2: Cumulative growth of 1, in-sample: strategy gross, strategy net at 5 bp per side, and SPY buy-and-hold (open-to-open).</w:t>
      </w:r>
    </w:p>
    <w:p>
      <w:pPr>
        <w:spacing w:after="240"/>
      </w:pPr>
      <w:r>
        <w:rPr>
          <w:rFonts w:ascii="Times New Roman" w:cs="Times New Roman" w:eastAsia="Times New Roman" w:hAnsi="Times New Roman"/>
          <w:sz w:val="24"/>
          <w:szCs w:val="24"/>
        </w:rPr>
        <w:t xml:space="preserve">In sample the strategy earned 2.4% a year before costs and lost 21.0% a year after 5 basis points per side, a net Sharpe ratio of -3.05. The gross Sharpe of 0.35 has a confidence interval from -0.48 to 1.20, so it is not distinguishable from zero. The gross line in Figure 2 is close to flat and the net line falls steadily, which says that costs account for the loss. The smallest Sharpe ratio this in-sample window could detect is 0.86.</w:t>
      </w:r>
    </w:p>
    <w:p>
      <w:pPr>
        <w:spacing w:after="240"/>
      </w:pPr>
      <w:r>
        <w:rPr>
          <w:rFonts w:ascii="Times New Roman" w:cs="Times New Roman" w:eastAsia="Times New Roman" w:hAnsi="Times New Roman"/>
          <w:sz w:val="24"/>
          <w:szCs w:val="24"/>
        </w:rPr>
        <w:t xml:space="preserve">Against H1a, the Fama-MacBeth coefficient is -0.0069 with a Newey-West t-statistic of -1.43 over 1,303 days. The sign is as predicted but it is not significant at the pre-registered threshold. The in-sample result would have satisfied neither H1a nor H1b. Nineteen sessions were flat, which I read as the 50-day beta and 50-day z warm-up from 1 June 2018 delaying the first signals by about 17 sessions past the nominal start. That is my reading of the counts, not a logged fact. Sharpe minus SPY buy-and-hold was -3.61 (interval -4.82 to -2.62), which is reported but is not part of the rule.</w:t>
      </w:r>
    </w:p>
    <w:p>
      <w:pPr>
        <w:pStyle w:val="Heading3"/>
      </w:pPr>
      <w:r>
        <w:rPr>
          <w:rFonts w:ascii="Times New Roman" w:cs="Times New Roman" w:eastAsia="Times New Roman" w:hAnsi="Times New Roman"/>
        </w:rPr>
        <w:t xml:space="preserve">4.2.2 Out of Sample Comparison</w:t>
      </w:r>
    </w:p>
    <w:p>
      <w:pPr>
        <w:spacing w:after="240"/>
      </w:pPr>
      <w:r>
        <w:rPr>
          <w:rFonts w:ascii="Times New Roman" w:cs="Times New Roman" w:eastAsia="Times New Roman" w:hAnsi="Times New Roman"/>
          <w:sz w:val="24"/>
          <w:szCs w:val="24"/>
        </w:rPr>
        <w:t xml:space="preserve">In the holdout (1 January 2024 to 30 September 2026, 689 sessions, of which 688 held a position), the primary specification gives: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3"/>
        <w:gridCol w:w="1174"/>
        <w:gridCol w:w="871"/>
        <w:gridCol w:w="1006"/>
        <w:gridCol w:w="1375"/>
        <w:gridCol w:w="1409"/>
        <w:gridCol w:w="1648"/>
      </w:tblGrid>
      <w:tr>
        <w:trPr>
          <w:cantSplit/>
          <w:tblHeader/>
        </w:trPr>
        <w:tc>
          <w:tcPr>
            <w:tcW w:type="dxa" w:w="1543"/>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18"/>
                <w:szCs w:val="18"/>
              </w:rPr>
              <w:t xml:space="preserve">Primary spec</w:t>
            </w:r>
          </w:p>
        </w:tc>
        <w:tc>
          <w:tcPr>
            <w:tcW w:type="dxa" w:w="1174"/>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18"/>
                <w:szCs w:val="18"/>
              </w:rPr>
              <w:t xml:space="preserve">Ann. return</w:t>
            </w:r>
          </w:p>
        </w:tc>
        <w:tc>
          <w:tcPr>
            <w:tcW w:type="dxa" w:w="871"/>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18"/>
                <w:szCs w:val="18"/>
              </w:rPr>
              <w:t xml:space="preserve">Ann. vol</w:t>
            </w:r>
          </w:p>
        </w:tc>
        <w:tc>
          <w:tcPr>
            <w:tcW w:type="dxa" w:w="1006"/>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18"/>
                <w:szCs w:val="18"/>
              </w:rPr>
              <w:t xml:space="preserve">Sharpe</w:t>
            </w:r>
          </w:p>
        </w:tc>
        <w:tc>
          <w:tcPr>
            <w:tcW w:type="dxa" w:w="1375"/>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18"/>
                <w:szCs w:val="18"/>
              </w:rPr>
              <w:t xml:space="preserve">95% CI</w:t>
            </w:r>
          </w:p>
        </w:tc>
        <w:tc>
          <w:tcPr>
            <w:tcW w:type="dxa" w:w="1409"/>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18"/>
                <w:szCs w:val="18"/>
              </w:rPr>
              <w:t xml:space="preserve">Max drawdown</w:t>
            </w:r>
          </w:p>
        </w:tc>
        <w:tc>
          <w:tcPr>
            <w:tcW w:type="dxa" w:w="1648"/>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18"/>
                <w:szCs w:val="18"/>
              </w:rPr>
              <w:t xml:space="preserve">Alpha vs SPY (NW t)</w:t>
            </w:r>
          </w:p>
        </w:tc>
      </w:tr>
      <w:tr>
        <w:trPr>
          <w:cantSplit/>
          <w:tblHeader w:val="off"/>
        </w:trPr>
        <w:tc>
          <w:tcPr>
            <w:tcW w:type="dxa" w:w="154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Gross</w:t>
            </w:r>
          </w:p>
        </w:tc>
        <w:tc>
          <w:tcPr>
            <w:tcW w:type="dxa" w:w="1174"/>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-1.5%</w:t>
            </w:r>
          </w:p>
        </w:tc>
        <w:tc>
          <w:tcPr>
            <w:tcW w:type="dxa" w:w="871"/>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6.3%</w:t>
            </w:r>
          </w:p>
        </w:tc>
        <w:tc>
          <w:tcPr>
            <w:tcW w:type="dxa" w:w="100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-0.24</w:t>
            </w:r>
          </w:p>
        </w:tc>
        <w:tc>
          <w:tcPr>
            <w:tcW w:type="dxa" w:w="137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(-1.47, 0.96)</w:t>
            </w:r>
          </w:p>
        </w:tc>
        <w:tc>
          <w:tcPr>
            <w:tcW w:type="dxa" w:w="140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-14.4%</w:t>
            </w:r>
          </w:p>
        </w:tc>
        <w:tc>
          <w:tcPr>
            <w:tcW w:type="dxa" w:w="1648"/>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-2.1% (-0.53)</w:t>
            </w:r>
          </w:p>
        </w:tc>
      </w:tr>
      <w:tr>
        <w:trPr>
          <w:cantSplit/>
          <w:tblHeader w:val="off"/>
        </w:trPr>
        <w:tc>
          <w:tcPr>
            <w:tcW w:type="dxa" w:w="154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Net, 2 bp per side</w:t>
            </w:r>
          </w:p>
        </w:tc>
        <w:tc>
          <w:tcPr>
            <w:tcW w:type="dxa" w:w="1174"/>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-12.1%</w:t>
            </w:r>
          </w:p>
        </w:tc>
        <w:tc>
          <w:tcPr>
            <w:tcW w:type="dxa" w:w="871"/>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6.3%</w:t>
            </w:r>
          </w:p>
        </w:tc>
        <w:tc>
          <w:tcPr>
            <w:tcW w:type="dxa" w:w="100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-1.91</w:t>
            </w:r>
          </w:p>
        </w:tc>
        <w:tc>
          <w:tcPr>
            <w:tcW w:type="dxa" w:w="137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(-3.14, -0.69)</w:t>
            </w:r>
          </w:p>
        </w:tc>
        <w:tc>
          <w:tcPr>
            <w:tcW w:type="dxa" w:w="140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-32.8%</w:t>
            </w:r>
          </w:p>
        </w:tc>
        <w:tc>
          <w:tcPr>
            <w:tcW w:type="dxa" w:w="1648"/>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-12.7% (-3.15)</w:t>
            </w:r>
          </w:p>
        </w:tc>
      </w:tr>
      <w:tr>
        <w:trPr>
          <w:cantSplit/>
          <w:tblHeader w:val="off"/>
        </w:trPr>
        <w:tc>
          <w:tcPr>
            <w:tcW w:type="dxa" w:w="154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Net, 5 bp per side</w:t>
            </w:r>
          </w:p>
        </w:tc>
        <w:tc>
          <w:tcPr>
            <w:tcW w:type="dxa" w:w="1174"/>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-25.5%</w:t>
            </w:r>
          </w:p>
        </w:tc>
        <w:tc>
          <w:tcPr>
            <w:tcW w:type="dxa" w:w="871"/>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6.3%</w:t>
            </w:r>
          </w:p>
        </w:tc>
        <w:tc>
          <w:tcPr>
            <w:tcW w:type="dxa" w:w="100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-4.02</w:t>
            </w:r>
          </w:p>
        </w:tc>
        <w:tc>
          <w:tcPr>
            <w:tcW w:type="dxa" w:w="137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(-5.39, -2.75)</w:t>
            </w:r>
          </w:p>
        </w:tc>
        <w:tc>
          <w:tcPr>
            <w:tcW w:type="dxa" w:w="140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-52.2%</w:t>
            </w:r>
          </w:p>
        </w:tc>
        <w:tc>
          <w:tcPr>
            <w:tcW w:type="dxa" w:w="1648"/>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-26.0% (-6.50)</w:t>
            </w:r>
          </w:p>
        </w:tc>
      </w:tr>
      <w:tr>
        <w:trPr>
          <w:cantSplit/>
          <w:tblHeader w:val="off"/>
        </w:trPr>
        <w:tc>
          <w:tcPr>
            <w:tcW w:type="dxa" w:w="154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Net, 10 bp per side</w:t>
            </w:r>
          </w:p>
        </w:tc>
        <w:tc>
          <w:tcPr>
            <w:tcW w:type="dxa" w:w="1174"/>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-47.8%</w:t>
            </w:r>
          </w:p>
        </w:tc>
        <w:tc>
          <w:tcPr>
            <w:tcW w:type="dxa" w:w="871"/>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6.3%</w:t>
            </w:r>
          </w:p>
        </w:tc>
        <w:tc>
          <w:tcPr>
            <w:tcW w:type="dxa" w:w="100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-7.53</w:t>
            </w:r>
          </w:p>
        </w:tc>
        <w:tc>
          <w:tcPr>
            <w:tcW w:type="dxa" w:w="137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(-9.22, -6.10)</w:t>
            </w:r>
          </w:p>
        </w:tc>
        <w:tc>
          <w:tcPr>
            <w:tcW w:type="dxa" w:w="140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-73.0%</w:t>
            </w:r>
          </w:p>
        </w:tc>
        <w:tc>
          <w:tcPr>
            <w:tcW w:type="dxa" w:w="1648"/>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18"/>
                <w:szCs w:val="18"/>
              </w:rPr>
              <w:t xml:space="preserve">-48.3% (-12.11)</w:t>
            </w:r>
          </w:p>
        </w:tc>
      </w:tr>
    </w:tbl>
    <w:p>
      <w:pPr>
        <w:spacing w:after="240" w:before="100"/>
      </w:pPr>
      <w:r>
        <w:rPr>
          <w:rFonts w:ascii="Times New Roman" w:cs="Times New Roman" w:eastAsia="Times New Roman" w:hAnsi="Times New Roman"/>
          <w:i/>
          <w:iCs/>
          <w:color w:val="595959"/>
          <w:sz w:val="20"/>
          <w:szCs w:val="20"/>
        </w:rPr>
        <w:t xml:space="preserve">Table 6: Holdout performance (</w:t>
      </w:r>
      <w:r>
        <w:rPr>
          <w:rFonts w:ascii="Courier New" w:cs="Courier New" w:eastAsia="Courier New" w:hAnsi="Courier New"/>
          <w:i/>
          <w:iCs/>
          <w:color w:val="595959"/>
          <w:sz w:val="18"/>
          <w:szCs w:val="18"/>
        </w:rPr>
        <w:t xml:space="preserve">ho_strategy_tables.csv</w:t>
      </w:r>
      <w:r>
        <w:rPr>
          <w:rFonts w:ascii="Times New Roman" w:cs="Times New Roman" w:eastAsia="Times New Roman" w:hAnsi="Times New Roman"/>
          <w:i/>
          <w:iCs/>
          <w:color w:val="595959"/>
          <w:sz w:val="20"/>
          <w:szCs w:val="20"/>
        </w:rPr>
        <w:t xml:space="preserve">). Turnover 1.77x per day; average 59.6 longs and 59.7 shorts; breakeven cost -0.71 bp per side; hit rate 36.9% at 5 bp. Beta to SPY is 0.029. The decision-metrics file reports the intervals as (-1.46, 1.01) gross and (-5.38, -2.75) net; I did not investigate why they differ slightly from this table, and neither changes the conclusion.</w:t>
      </w:r>
    </w:p>
    <w:p>
      <w:pPr>
        <w:keepNext/>
        <w:spacing w:after="60" w:before="120"/>
        <w:jc w:val="center"/>
      </w:pPr>
      <w:r>
        <w:drawing>
          <wp:inline distT="0" distB="0" distL="0" distR="0">
            <wp:extent cx="5334000" cy="2847975"/>
            <wp:effectExtent t="0" r="0" b="0" l="0"/>
            <wp:docPr id="3" name="ho_fig1_cumulative.png" descr="Cumulative growth of 1, holdout: strategy gross, strategy net at 5 bp per side, and SPY buy-and-hold (open-to-open)." title="Cumulative growth of 1, holdout: strategy gross, strategy net at 5 bp per side, and SPY buy-and-hold (open-to-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47975"/>
                    </a:xfrm>
                    <a:prstGeom prst="rect">
                      <a:avLst/>
                    </a:prstGeom>
                  </pic:spPr>
                </pic:pic>
              </a:graphicData>
            </a:graphic>
          </wp:inline>
        </w:drawing>
      </w:r>
    </w:p>
    <w:p>
      <w:pPr>
        <w:spacing w:after="240" w:before="100"/>
      </w:pPr>
      <w:r>
        <w:rPr>
          <w:rFonts w:ascii="Times New Roman" w:cs="Times New Roman" w:eastAsia="Times New Roman" w:hAnsi="Times New Roman"/>
          <w:i/>
          <w:iCs/>
          <w:color w:val="595959"/>
          <w:sz w:val="20"/>
          <w:szCs w:val="20"/>
        </w:rPr>
        <w:t xml:space="preserve">Figure 3: Cumulative growth of 1, holdout: strategy gross, strategy net at 5 bp per side, and SPY buy-and-hold (open-to-open).</w:t>
      </w:r>
    </w:p>
    <w:p>
      <w:pPr>
        <w:keepNext/>
        <w:spacing w:after="60" w:before="120"/>
        <w:jc w:val="center"/>
      </w:pPr>
      <w:r>
        <w:drawing>
          <wp:inline distT="0" distB="0" distL="0" distR="0">
            <wp:extent cx="5334000" cy="2562225"/>
            <wp:effectExtent t="0" r="0" b="0" l="0"/>
            <wp:docPr id="4" name="ho_fig2_rolling_sharpe.png" descr="Rolling one-year (252-session) Sharpe ratio in the holdout: gross, net at 5 bp per side, and raw SPY." title="Rolling one-year (252-session) Sharpe ratio in the holdout: gross, net at 5 bp per side, and raw 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62225"/>
                    </a:xfrm>
                    <a:prstGeom prst="rect">
                      <a:avLst/>
                    </a:prstGeom>
                  </pic:spPr>
                </pic:pic>
              </a:graphicData>
            </a:graphic>
          </wp:inline>
        </w:drawing>
      </w:r>
    </w:p>
    <w:p>
      <w:pPr>
        <w:spacing w:after="240" w:before="100"/>
      </w:pPr>
      <w:r>
        <w:rPr>
          <w:rFonts w:ascii="Times New Roman" w:cs="Times New Roman" w:eastAsia="Times New Roman" w:hAnsi="Times New Roman"/>
          <w:i/>
          <w:iCs/>
          <w:color w:val="595959"/>
          <w:sz w:val="20"/>
          <w:szCs w:val="20"/>
        </w:rPr>
        <w:t xml:space="preserve">Figure 4: Rolling one-year (252-session) Sharpe ratio in the holdout: gross, net at 5 bp per side, and raw SPY.</w:t>
      </w:r>
    </w:p>
    <w:p>
      <w:pPr>
        <w:spacing w:after="240"/>
      </w:pPr>
      <w:r>
        <w:rPr>
          <w:rFonts w:ascii="Times New Roman" w:cs="Times New Roman" w:eastAsia="Times New Roman" w:hAnsi="Times New Roman"/>
          <w:sz w:val="24"/>
          <w:szCs w:val="24"/>
        </w:rPr>
        <w:t xml:space="preserve">The holdout was run once, after the freeze. The strategy lost money at every cost level tested, and even before costs it did not earn a positive return: -1.5% a year, with a Sharpe of -0.24 and an interval from about -1.5 to 1.0. The net Sharpe at 5 basis points was -4.02. SPY buy-and-hold had a Sharpe of 0.98 over the same window, and an equal-weight basket of the 11 sector ETFs 0.79. Figures 3 and 4 show the gross line drifting slightly below 1 and the net line falling steadily while SPY rises. The rolling one-year net Sharpe never gets close to zero.</w:t>
      </w:r>
    </w:p>
    <w:p>
      <w:pPr>
        <w:spacing w:after="240"/>
      </w:pPr>
      <w:r>
        <w:rPr>
          <w:rFonts w:ascii="Times New Roman" w:cs="Times New Roman" w:eastAsia="Times New Roman" w:hAnsi="Times New Roman"/>
          <w:sz w:val="24"/>
          <w:szCs w:val="24"/>
        </w:rPr>
        <w:t xml:space="preserve">The alpha against SPY is -26.0% a year with a t-statistic of -6.50 and a beta of 0.029. It is negative because costs drag on a market-neutral book, not because of a bet against the market. Sharpe minus SPY buy-and-hold was -5.00 (paired-bootstrap interval -6.95 to -3.21). The smallest Sharpe ratio this 2.75-year holdout could detect is 1.19.</w:t>
      </w:r>
    </w:p>
    <w:p>
      <w:pPr>
        <w:spacing w:after="240"/>
      </w:pPr>
      <w:r>
        <w:rPr>
          <w:rFonts w:ascii="Times New Roman" w:cs="Times New Roman" w:eastAsia="Times New Roman" w:hAnsi="Times New Roman"/>
          <w:sz w:val="24"/>
          <w:szCs w:val="24"/>
        </w:rPr>
        <w:t xml:space="preserve">Decision rule. The pre-registered rule applied to the holdout gives </w:t>
      </w:r>
      <w:r>
        <w:rPr>
          <w:rFonts w:ascii="Times New Roman" w:cs="Times New Roman" w:eastAsia="Times New Roman" w:hAnsi="Times New Roman"/>
          <w:b/>
          <w:bCs/>
          <w:sz w:val="24"/>
          <w:szCs w:val="24"/>
        </w:rPr>
        <w:t xml:space="preserve">NOT SUPPORTED</w:t>
      </w:r>
      <w:r>
        <w:rPr>
          <w:rFonts w:ascii="Times New Roman" w:cs="Times New Roman" w:eastAsia="Times New Roman" w:hAnsi="Times New Roman"/>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52"/>
        <w:gridCol w:w="3694"/>
        <w:gridCol w:w="1080"/>
      </w:tblGrid>
      <w:tr>
        <w:trPr>
          <w:cantSplit/>
          <w:tblHeader/>
        </w:trPr>
        <w:tc>
          <w:tcPr>
            <w:tcW w:type="dxa" w:w="4252"/>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Condition</w:t>
            </w:r>
          </w:p>
        </w:tc>
        <w:tc>
          <w:tcPr>
            <w:tcW w:type="dxa" w:w="3694"/>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Holdout value</w:t>
            </w:r>
          </w:p>
        </w:tc>
        <w:tc>
          <w:tcPr>
            <w:tcW w:type="dxa" w:w="1080"/>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Met?</w:t>
            </w:r>
          </w:p>
        </w:tc>
      </w:tr>
      <w:tr>
        <w:trPr>
          <w:cantSplit/>
          <w:tblHeader w:val="off"/>
        </w:trPr>
        <w:tc>
          <w:tcPr>
            <w:tcW w:type="dxa" w:w="425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H1a: Fama-MacBeth mean coefficient negative and Newey-West t below -2</w:t>
            </w:r>
          </w:p>
        </w:tc>
        <w:tc>
          <w:tcPr>
            <w:tcW w:type="dxa" w:w="3694"/>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-0.0040, t = -0.66</w:t>
            </w:r>
          </w:p>
        </w:tc>
        <w:tc>
          <w:tcPr>
            <w:tcW w:type="dxa" w:w="108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No</w:t>
            </w:r>
          </w:p>
        </w:tc>
      </w:tr>
      <w:tr>
        <w:trPr>
          <w:cantSplit/>
          <w:tblHeader w:val="off"/>
        </w:trPr>
        <w:tc>
          <w:tcPr>
            <w:tcW w:type="dxa" w:w="425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H1b(i): net Sharpe at 5 bp, bootstrap interval entirely above 0</w:t>
            </w:r>
          </w:p>
        </w:tc>
        <w:tc>
          <w:tcPr>
            <w:tcW w:type="dxa" w:w="3694"/>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-4.02, interval (-5.38, -2.75)</w:t>
            </w:r>
          </w:p>
        </w:tc>
        <w:tc>
          <w:tcPr>
            <w:tcW w:type="dxa" w:w="108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No</w:t>
            </w:r>
          </w:p>
        </w:tc>
      </w:tr>
      <w:tr>
        <w:trPr>
          <w:cantSplit/>
          <w:tblHeader w:val="off"/>
        </w:trPr>
        <w:tc>
          <w:tcPr>
            <w:tcW w:type="dxa" w:w="425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H1b(ii): alpha vs SPY with t above 2</w:t>
            </w:r>
          </w:p>
        </w:tc>
        <w:tc>
          <w:tcPr>
            <w:tcW w:type="dxa" w:w="3694"/>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-26.0% a year, t = -6.50</w:t>
            </w:r>
          </w:p>
        </w:tc>
        <w:tc>
          <w:tcPr>
            <w:tcW w:type="dxa" w:w="108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No</w:t>
            </w:r>
          </w:p>
        </w:tc>
      </w:tr>
      <w:tr>
        <w:trPr>
          <w:cantSplit/>
          <w:tblHeader w:val="off"/>
        </w:trPr>
        <w:tc>
          <w:tcPr>
            <w:tcW w:type="dxa" w:w="425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GROSS-ONLY needs H1a plus gross Sharpe interval above 0</w:t>
            </w:r>
          </w:p>
        </w:tc>
        <w:tc>
          <w:tcPr>
            <w:tcW w:type="dxa" w:w="3694"/>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H1a fails; gross interval (-1.46, 1.01)</w:t>
            </w:r>
          </w:p>
        </w:tc>
        <w:tc>
          <w:tcPr>
            <w:tcW w:type="dxa" w:w="108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No</w:t>
            </w:r>
          </w:p>
        </w:tc>
      </w:tr>
    </w:tbl>
    <w:p>
      <w:pPr>
        <w:spacing w:after="240" w:before="100"/>
      </w:pPr>
      <w:r>
        <w:rPr>
          <w:rFonts w:ascii="Times New Roman" w:cs="Times New Roman" w:eastAsia="Times New Roman" w:hAnsi="Times New Roman"/>
          <w:i/>
          <w:iCs/>
          <w:color w:val="595959"/>
          <w:sz w:val="20"/>
          <w:szCs w:val="20"/>
        </w:rPr>
        <w:t xml:space="preserve">Table 7: Decision rule applied to the holdout (</w:t>
      </w:r>
      <w:r>
        <w:rPr>
          <w:rFonts w:ascii="Courier New" w:cs="Courier New" w:eastAsia="Courier New" w:hAnsi="Courier New"/>
          <w:i/>
          <w:iCs/>
          <w:color w:val="595959"/>
          <w:sz w:val="18"/>
          <w:szCs w:val="18"/>
        </w:rPr>
        <w:t xml:space="preserve">ho_decision_metrics.json</w:t>
      </w:r>
      <w:r>
        <w:rPr>
          <w:rFonts w:ascii="Times New Roman" w:cs="Times New Roman" w:eastAsia="Times New Roman" w:hAnsi="Times New Roman"/>
          <w:i/>
          <w:iCs/>
          <w:color w:val="595959"/>
          <w:sz w:val="20"/>
          <w:szCs w:val="20"/>
        </w:rPr>
        <w:t xml:space="preserve">).</w:t>
      </w:r>
    </w:p>
    <w:p>
      <w:pPr>
        <w:spacing w:after="240"/>
      </w:pPr>
      <w:r>
        <w:rPr>
          <w:rFonts w:ascii="Times New Roman" w:cs="Times New Roman" w:eastAsia="Times New Roman" w:hAnsi="Times New Roman"/>
          <w:sz w:val="24"/>
          <w:szCs w:val="24"/>
        </w:rPr>
        <w:t xml:space="preserve">In one sentence: the strategy lost money after costs in both periods and, unlike my prior, it did not even show a detectable effect before costs.</w:t>
      </w:r>
    </w:p>
    <w:p>
      <w:pPr>
        <w:pStyle w:val="Heading1"/>
      </w:pPr>
      <w:r>
        <w:rPr>
          <w:rFonts w:ascii="Times New Roman" w:cs="Times New Roman" w:eastAsia="Times New Roman" w:hAnsi="Times New Roman"/>
        </w:rPr>
        <w:t xml:space="preserve">5. Methodology Defence</w:t>
      </w:r>
    </w:p>
    <w:p>
      <w:pPr>
        <w:pStyle w:val="Heading2"/>
      </w:pPr>
      <w:r>
        <w:rPr>
          <w:rFonts w:ascii="Times New Roman" w:cs="Times New Roman" w:eastAsia="Times New Roman" w:hAnsi="Times New Roman"/>
        </w:rPr>
        <w:t xml:space="preserve">5.1 Pre-registered Parameters</w:t>
      </w:r>
    </w:p>
    <w:p>
      <w:pPr>
        <w:spacing w:after="240"/>
      </w:pPr>
      <w:r>
        <w:rPr>
          <w:rFonts w:ascii="Times New Roman" w:cs="Times New Roman" w:eastAsia="Times New Roman" w:hAnsi="Times New Roman"/>
          <w:sz w:val="24"/>
          <w:szCs w:val="24"/>
        </w:rPr>
        <w:t xml:space="preserve">The parameters were written down on 27 October 2026, before any data was downloaded. Any later change is a dated deviation and not a silent edit. Four deviations were logged, all dated 27 October 2026. None changed a pre-registered parameter or the decision rule, and </w:t>
      </w:r>
      <w:r>
        <w:rPr>
          <w:rFonts w:ascii="Courier New" w:cs="Courier New" w:eastAsia="Courier New" w:hAnsi="Courier New"/>
          <w:sz w:val="20"/>
          <w:szCs w:val="20"/>
        </w:rPr>
        <w:t xml:space="preserve">config.yaml</w:t>
      </w:r>
      <w:r>
        <w:rPr>
          <w:rFonts w:ascii="Times New Roman" w:cs="Times New Roman" w:eastAsia="Times New Roman" w:hAnsi="Times New Roman"/>
          <w:sz w:val="24"/>
          <w:szCs w:val="24"/>
        </w:rPr>
        <w:t xml:space="preserve"> is byte-identical between the freeze tag and the final commit.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49"/>
        <w:gridCol w:w="5977"/>
      </w:tblGrid>
      <w:tr>
        <w:trPr>
          <w:cantSplit/>
          <w:tblHeader/>
        </w:trPr>
        <w:tc>
          <w:tcPr>
            <w:tcW w:type="dxa" w:w="3049"/>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Parameter</w:t>
            </w:r>
          </w:p>
        </w:tc>
        <w:tc>
          <w:tcPr>
            <w:tcW w:type="dxa" w:w="5977"/>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Locked value</w:t>
            </w:r>
          </w:p>
        </w:tc>
      </w:tr>
      <w:tr>
        <w:trPr>
          <w:cantSplit/>
          <w:tblHeader w:val="off"/>
        </w:trPr>
        <w:tc>
          <w:tcPr>
            <w:tcW w:type="dxa" w:w="304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Universe</w:t>
            </w:r>
          </w:p>
        </w:tc>
        <w:tc>
          <w:tcPr>
            <w:tcW w:type="dxa" w:w="5977"/>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S&amp;P 500 members at each date (point-in-time), 11 GICS sectors</w:t>
            </w:r>
          </w:p>
        </w:tc>
      </w:tr>
      <w:tr>
        <w:trPr>
          <w:cantSplit/>
          <w:tblHeader w:val="off"/>
        </w:trPr>
        <w:tc>
          <w:tcPr>
            <w:tcW w:type="dxa" w:w="304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Hedge</w:t>
            </w:r>
          </w:p>
        </w:tc>
        <w:tc>
          <w:tcPr>
            <w:tcW w:type="dxa" w:w="5977"/>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Own sector SPDR ETF (stocks); sector ETFs for the net hedge</w:t>
            </w:r>
          </w:p>
        </w:tc>
      </w:tr>
      <w:tr>
        <w:trPr>
          <w:cantSplit/>
          <w:tblHeader w:val="off"/>
        </w:trPr>
        <w:tc>
          <w:tcPr>
            <w:tcW w:type="dxa" w:w="304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Beta window</w:t>
            </w:r>
          </w:p>
        </w:tc>
        <w:tc>
          <w:tcPr>
            <w:tcW w:type="dxa" w:w="5977"/>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60 trading days, minimum 50, through t-1</w:t>
            </w:r>
          </w:p>
        </w:tc>
      </w:tr>
      <w:tr>
        <w:trPr>
          <w:cantSplit/>
          <w:tblHeader w:val="off"/>
        </w:trPr>
        <w:tc>
          <w:tcPr>
            <w:tcW w:type="dxa" w:w="304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z-score window</w:t>
            </w:r>
          </w:p>
        </w:tc>
        <w:tc>
          <w:tcPr>
            <w:tcW w:type="dxa" w:w="5977"/>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60 trading days of residuals, minimum 50, through t-1</w:t>
            </w:r>
          </w:p>
        </w:tc>
      </w:tr>
      <w:tr>
        <w:trPr>
          <w:cantSplit/>
          <w:tblHeader w:val="off"/>
        </w:trPr>
        <w:tc>
          <w:tcPr>
            <w:tcW w:type="dxa" w:w="304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Signal thresholds</w:t>
            </w:r>
          </w:p>
        </w:tc>
        <w:tc>
          <w:tcPr>
            <w:tcW w:type="dxa" w:w="5977"/>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Long z of -1 or lower, short z of +1 or higher</w:t>
            </w:r>
          </w:p>
        </w:tc>
      </w:tr>
      <w:tr>
        <w:trPr>
          <w:cantSplit/>
          <w:tblHeader w:val="off"/>
        </w:trPr>
        <w:tc>
          <w:tcPr>
            <w:tcW w:type="dxa" w:w="304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Legs</w:t>
            </w:r>
          </w:p>
        </w:tc>
        <w:tc>
          <w:tcPr>
            <w:tcW w:type="dxa" w:w="5977"/>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0.5 gross each (dollar-neutral)</w:t>
            </w:r>
          </w:p>
        </w:tc>
      </w:tr>
      <w:tr>
        <w:trPr>
          <w:cantSplit/>
          <w:tblHeader w:val="off"/>
        </w:trPr>
        <w:tc>
          <w:tcPr>
            <w:tcW w:type="dxa" w:w="304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Minimum price</w:t>
            </w:r>
          </w:p>
        </w:tc>
        <w:tc>
          <w:tcPr>
            <w:tcW w:type="dxa" w:w="5977"/>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$5 on the prior close</w:t>
            </w:r>
          </w:p>
        </w:tc>
      </w:tr>
      <w:tr>
        <w:trPr>
          <w:cantSplit/>
          <w:tblHeader w:val="off"/>
        </w:trPr>
        <w:tc>
          <w:tcPr>
            <w:tcW w:type="dxa" w:w="304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Timing</w:t>
            </w:r>
          </w:p>
        </w:tc>
        <w:tc>
          <w:tcPr>
            <w:tcW w:type="dxa" w:w="5977"/>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Signal at close t, enter open t+1, exit open t+2</w:t>
            </w:r>
          </w:p>
        </w:tc>
      </w:tr>
      <w:tr>
        <w:trPr>
          <w:cantSplit/>
          <w:tblHeader w:val="off"/>
        </w:trPr>
        <w:tc>
          <w:tcPr>
            <w:tcW w:type="dxa" w:w="304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Costs</w:t>
            </w:r>
          </w:p>
        </w:tc>
        <w:tc>
          <w:tcPr>
            <w:tcW w:type="dxa" w:w="5977"/>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5 bp per side on stocks (2 and 10 as sensitivities), 1 bp on ETFs, 50 bp a year borrow</w:t>
            </w:r>
          </w:p>
        </w:tc>
      </w:tr>
      <w:tr>
        <w:trPr>
          <w:cantSplit/>
          <w:tblHeader w:val="off"/>
        </w:trPr>
        <w:tc>
          <w:tcPr>
            <w:tcW w:type="dxa" w:w="304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Inference</w:t>
            </w:r>
          </w:p>
        </w:tc>
        <w:tc>
          <w:tcPr>
            <w:tcW w:type="dxa" w:w="5977"/>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Fama-MacBeth with Newey-West (5 lags); stationary bootstrap, mean block 10, 10,000 resamples, 95%</w:t>
            </w:r>
          </w:p>
        </w:tc>
      </w:tr>
      <w:tr>
        <w:trPr>
          <w:cantSplit/>
          <w:tblHeader w:val="off"/>
        </w:trPr>
        <w:tc>
          <w:tcPr>
            <w:tcW w:type="dxa" w:w="304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Windows</w:t>
            </w:r>
          </w:p>
        </w:tc>
        <w:tc>
          <w:tcPr>
            <w:tcW w:type="dxa" w:w="5977"/>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In sample 2018-10-01 to 2023-12-31; holdout 2024-01-01 to 2026-09-30, run once</w:t>
            </w:r>
          </w:p>
        </w:tc>
      </w:tr>
      <w:tr>
        <w:trPr>
          <w:cantSplit/>
          <w:tblHeader w:val="off"/>
        </w:trPr>
        <w:tc>
          <w:tcPr>
            <w:tcW w:type="dxa" w:w="304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Random seed</w:t>
            </w:r>
          </w:p>
        </w:tc>
        <w:tc>
          <w:tcPr>
            <w:tcW w:type="dxa" w:w="5977"/>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20240601</w:t>
            </w:r>
          </w:p>
        </w:tc>
      </w:tr>
      <w:tr>
        <w:trPr>
          <w:cantSplit/>
          <w:tblHeader w:val="off"/>
        </w:trPr>
        <w:tc>
          <w:tcPr>
            <w:tcW w:type="dxa" w:w="3049"/>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Decision rule</w:t>
            </w:r>
          </w:p>
        </w:tc>
        <w:tc>
          <w:tcPr>
            <w:tcW w:type="dxa" w:w="5977"/>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SUPPORTED, GROSS-ONLY or NOT SUPPORTED, as in Section 1</w:t>
            </w:r>
          </w:p>
        </w:tc>
      </w:tr>
    </w:tbl>
    <w:p>
      <w:pPr>
        <w:spacing w:after="240" w:before="100"/>
      </w:pPr>
      <w:r>
        <w:rPr>
          <w:rFonts w:ascii="Times New Roman" w:cs="Times New Roman" w:eastAsia="Times New Roman" w:hAnsi="Times New Roman"/>
          <w:i/>
          <w:iCs/>
          <w:color w:val="595959"/>
          <w:sz w:val="20"/>
          <w:szCs w:val="20"/>
        </w:rPr>
        <w:t xml:space="preserve">Table 8: Locked parameters (</w:t>
      </w:r>
      <w:r>
        <w:rPr>
          <w:rFonts w:ascii="Courier New" w:cs="Courier New" w:eastAsia="Courier New" w:hAnsi="Courier New"/>
          <w:i/>
          <w:iCs/>
          <w:color w:val="595959"/>
          <w:sz w:val="18"/>
          <w:szCs w:val="18"/>
        </w:rPr>
        <w:t xml:space="preserve">config.yaml</w:t>
      </w:r>
      <w:r>
        <w:rPr>
          <w:rFonts w:ascii="Times New Roman" w:cs="Times New Roman" w:eastAsia="Times New Roman" w:hAnsi="Times New Roman"/>
          <w:i/>
          <w:iCs/>
          <w:color w:val="595959"/>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3"/>
        <w:gridCol w:w="2733"/>
        <w:gridCol w:w="1800"/>
        <w:gridCol w:w="2960"/>
      </w:tblGrid>
      <w:tr>
        <w:trPr>
          <w:cantSplit/>
          <w:tblHeader/>
        </w:trPr>
        <w:tc>
          <w:tcPr>
            <w:tcW w:type="dxa" w:w="1533"/>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0"/>
                <w:szCs w:val="20"/>
              </w:rPr>
              <w:t xml:space="preserve">Date</w:t>
            </w:r>
          </w:p>
        </w:tc>
        <w:tc>
          <w:tcPr>
            <w:tcW w:type="dxa" w:w="2733"/>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0"/>
                <w:szCs w:val="20"/>
              </w:rPr>
              <w:t xml:space="preserve">Deviation</w:t>
            </w:r>
          </w:p>
        </w:tc>
        <w:tc>
          <w:tcPr>
            <w:tcW w:type="dxa" w:w="1800"/>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0"/>
                <w:szCs w:val="20"/>
              </w:rPr>
              <w:t xml:space="preserve">When made</w:t>
            </w:r>
          </w:p>
        </w:tc>
        <w:tc>
          <w:tcPr>
            <w:tcW w:type="dxa" w:w="2960"/>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0"/>
                <w:szCs w:val="20"/>
              </w:rPr>
              <w:t xml:space="preserve">Effect</w:t>
            </w:r>
          </w:p>
        </w:tc>
      </w:tr>
      <w:tr>
        <w:trPr>
          <w:cantSplit/>
          <w:tblHeader w:val="off"/>
        </w:trPr>
        <w:tc>
          <w:tcPr>
            <w:tcW w:type="dxa" w:w="153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2026-10-27</w:t>
            </w:r>
          </w:p>
        </w:tc>
        <w:tc>
          <w:tcPr>
            <w:tcW w:type="dxa" w:w="273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The S&amp;P 500 changes table moved from the page named in my spec to "Historical components of the S&amp;P 500". The method is unchanged.</w:t>
            </w:r>
          </w:p>
        </w:tc>
        <w:tc>
          <w:tcPr>
            <w:tcW w:type="dxa" w:w="180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Before Stage 1</w:t>
            </w:r>
          </w:p>
        </w:tc>
        <w:tc>
          <w:tcPr>
            <w:tcW w:type="dxa" w:w="296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None on any estimate; logged for transparency</w:t>
            </w:r>
          </w:p>
        </w:tc>
      </w:tr>
      <w:tr>
        <w:trPr>
          <w:cantSplit/>
          <w:tblHeader w:val="off"/>
        </w:trPr>
        <w:tc>
          <w:tcPr>
            <w:tcW w:type="dxa" w:w="153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2026-10-27</w:t>
            </w:r>
          </w:p>
        </w:tc>
        <w:tc>
          <w:tcPr>
            <w:tcW w:type="dxa" w:w="273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Ten implementation interpretations where the spec was silent. Examples: beta is fitted with an intercept that is then dropped; P&amp;L is stamped by exit date; weights are targets and drift is ignored; a missing price contributes zero return.</w:t>
            </w:r>
          </w:p>
        </w:tc>
        <w:tc>
          <w:tcPr>
            <w:tcW w:type="dxa" w:w="180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Before any signal was computed</w:t>
            </w:r>
          </w:p>
        </w:tc>
        <w:tc>
          <w:tcPr>
            <w:tcW w:type="dxa" w:w="296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Part of the pre-registration; no parameter change</w:t>
            </w:r>
          </w:p>
        </w:tc>
      </w:tr>
      <w:tr>
        <w:trPr>
          <w:cantSplit/>
          <w:tblHeader w:val="off"/>
        </w:trPr>
        <w:tc>
          <w:tcPr>
            <w:tcW w:type="dxa" w:w="153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2026-10-27</w:t>
            </w:r>
          </w:p>
        </w:tc>
        <w:tc>
          <w:tcPr>
            <w:tcW w:type="dxa" w:w="273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The per-sector Fama-MacBeth table needed a minimum cross-section of 10 names instead of 20, because Communication Services had zero usable days and Energy 369. The overall regression that enters H1a still uses 20.</w:t>
            </w:r>
          </w:p>
        </w:tc>
        <w:tc>
          <w:tcPr>
            <w:tcW w:type="dxa" w:w="180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During Stage 2, before the freeze</w:t>
            </w:r>
          </w:p>
        </w:tc>
        <w:tc>
          <w:tcPr>
            <w:tcW w:type="dxa" w:w="296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Exploratory per-sector table only; primary results identical on re-run</w:t>
            </w:r>
          </w:p>
        </w:tc>
      </w:tr>
      <w:tr>
        <w:trPr>
          <w:cantSplit/>
          <w:tblHeader w:val="off"/>
        </w:trPr>
        <w:tc>
          <w:tcPr>
            <w:tcW w:type="dxa" w:w="153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2026-10-27</w:t>
            </w:r>
          </w:p>
        </w:tc>
        <w:tc>
          <w:tcPr>
            <w:tcW w:type="dxa" w:w="273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The wording of the empty-leg diagnostic in the results pack was corrected after the holdout, because it counted days over the whole sample, not just the holdout.</w:t>
            </w:r>
          </w:p>
        </w:tc>
        <w:tc>
          <w:tcPr>
            <w:tcW w:type="dxa" w:w="180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After Stage 3</w:t>
            </w:r>
          </w:p>
        </w:tc>
        <w:tc>
          <w:tcPr>
            <w:tcW w:type="dxa" w:w="2960"/>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Wording only; no number or verdict changed; nothing was re-run</w:t>
            </w:r>
          </w:p>
        </w:tc>
      </w:tr>
    </w:tbl>
    <w:p>
      <w:pPr>
        <w:spacing w:after="240" w:before="100"/>
      </w:pPr>
      <w:r>
        <w:rPr>
          <w:rFonts w:ascii="Times New Roman" w:cs="Times New Roman" w:eastAsia="Times New Roman" w:hAnsi="Times New Roman"/>
          <w:i/>
          <w:iCs/>
          <w:color w:val="595959"/>
          <w:sz w:val="20"/>
          <w:szCs w:val="20"/>
        </w:rPr>
        <w:t xml:space="preserve">Table 9: Dated deviations (</w:t>
      </w:r>
      <w:r>
        <w:rPr>
          <w:rFonts w:ascii="Courier New" w:cs="Courier New" w:eastAsia="Courier New" w:hAnsi="Courier New"/>
          <w:i/>
          <w:iCs/>
          <w:color w:val="595959"/>
          <w:sz w:val="18"/>
          <w:szCs w:val="18"/>
        </w:rPr>
        <w:t xml:space="preserve">DEVIATIONS.md</w:t>
      </w:r>
      <w:r>
        <w:rPr>
          <w:rFonts w:ascii="Times New Roman" w:cs="Times New Roman" w:eastAsia="Times New Roman" w:hAnsi="Times New Roman"/>
          <w:i/>
          <w:iCs/>
          <w:color w:val="595959"/>
          <w:sz w:val="20"/>
          <w:szCs w:val="20"/>
        </w:rPr>
        <w:t xml:space="preserve">, summarised).</w:t>
      </w:r>
    </w:p>
    <w:p>
      <w:pPr>
        <w:pStyle w:val="Heading2"/>
      </w:pPr>
      <w:r>
        <w:rPr>
          <w:rFonts w:ascii="Times New Roman" w:cs="Times New Roman" w:eastAsia="Times New Roman" w:hAnsi="Times New Roman"/>
        </w:rPr>
        <w:t xml:space="preserve">5.2 Testing the Mechanism</w:t>
      </w:r>
    </w:p>
    <w:p>
      <w:pPr>
        <w:spacing w:after="240"/>
      </w:pPr>
      <w:r>
        <w:rPr>
          <w:rFonts w:ascii="Times New Roman" w:cs="Times New Roman" w:eastAsia="Times New Roman" w:hAnsi="Times New Roman"/>
          <w:sz w:val="24"/>
          <w:szCs w:val="24"/>
        </w:rPr>
        <w:t xml:space="preserve">The primary test regresses the next-day residual on today's residual each day, takes the mean slope across days (Fama-MacBeth), and reports the Newey-West t-statistic with 5 lags. A negative coefficient means reversal. For reference, the validation world with a planted reversal of -0.10 returned -0.0984.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8"/>
        <w:gridCol w:w="2203"/>
        <w:gridCol w:w="1898"/>
        <w:gridCol w:w="3507"/>
      </w:tblGrid>
      <w:tr>
        <w:trPr>
          <w:cantSplit/>
          <w:tblHeader/>
        </w:trPr>
        <w:tc>
          <w:tcPr>
            <w:tcW w:type="dxa" w:w="1418"/>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0"/>
                <w:szCs w:val="20"/>
              </w:rPr>
              <w:t xml:space="preserve">Period</w:t>
            </w:r>
          </w:p>
        </w:tc>
        <w:tc>
          <w:tcPr>
            <w:tcW w:type="dxa" w:w="2203"/>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0"/>
                <w:szCs w:val="20"/>
              </w:rPr>
              <w:t xml:space="preserve">Mean coefficient</w:t>
            </w:r>
          </w:p>
        </w:tc>
        <w:tc>
          <w:tcPr>
            <w:tcW w:type="dxa" w:w="1898"/>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0"/>
                <w:szCs w:val="20"/>
              </w:rPr>
              <w:t xml:space="preserve">Newey-West t</w:t>
            </w:r>
          </w:p>
        </w:tc>
        <w:tc>
          <w:tcPr>
            <w:tcW w:type="dxa" w:w="3507"/>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0"/>
                <w:szCs w:val="20"/>
              </w:rPr>
              <w:t xml:space="preserve">Secondary (open-to-open) coefficient</w:t>
            </w:r>
          </w:p>
        </w:tc>
      </w:tr>
      <w:tr>
        <w:trPr>
          <w:cantSplit/>
          <w:tblHeader w:val="off"/>
        </w:trPr>
        <w:tc>
          <w:tcPr>
            <w:tcW w:type="dxa" w:w="1418"/>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In sample</w:t>
            </w:r>
          </w:p>
        </w:tc>
        <w:tc>
          <w:tcPr>
            <w:tcW w:type="dxa" w:w="220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-0.0069</w:t>
            </w:r>
          </w:p>
        </w:tc>
        <w:tc>
          <w:tcPr>
            <w:tcW w:type="dxa" w:w="1898"/>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-1.43</w:t>
            </w:r>
          </w:p>
        </w:tc>
        <w:tc>
          <w:tcPr>
            <w:tcW w:type="dxa" w:w="3507"/>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-0.010 (t = -2.04)</w:t>
            </w:r>
          </w:p>
        </w:tc>
      </w:tr>
      <w:tr>
        <w:trPr>
          <w:cantSplit/>
          <w:tblHeader w:val="off"/>
        </w:trPr>
        <w:tc>
          <w:tcPr>
            <w:tcW w:type="dxa" w:w="1418"/>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Holdout</w:t>
            </w:r>
          </w:p>
        </w:tc>
        <w:tc>
          <w:tcPr>
            <w:tcW w:type="dxa" w:w="220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-0.0040</w:t>
            </w:r>
          </w:p>
        </w:tc>
        <w:tc>
          <w:tcPr>
            <w:tcW w:type="dxa" w:w="1898"/>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-0.66</w:t>
            </w:r>
          </w:p>
        </w:tc>
        <w:tc>
          <w:tcPr>
            <w:tcW w:type="dxa" w:w="3507"/>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0"/>
                <w:szCs w:val="20"/>
              </w:rPr>
              <w:t xml:space="preserve">+0.005 (t = +0.83)</w:t>
            </w:r>
          </w:p>
        </w:tc>
      </w:tr>
    </w:tbl>
    <w:p>
      <w:pPr>
        <w:spacing w:after="240" w:before="100"/>
      </w:pPr>
      <w:r>
        <w:rPr>
          <w:rFonts w:ascii="Times New Roman" w:cs="Times New Roman" w:eastAsia="Times New Roman" w:hAnsi="Times New Roman"/>
          <w:i/>
          <w:iCs/>
          <w:color w:val="595959"/>
          <w:sz w:val="20"/>
          <w:szCs w:val="20"/>
        </w:rPr>
        <w:t xml:space="preserve">Table 10: Fama-MacBeth test of residual reversal. The holdout primary row decides H1a. The secondary regression uses the tradable open-to-open residual and is not part of the rule.</w:t>
      </w:r>
    </w:p>
    <w:p>
      <w:pPr>
        <w:spacing w:after="240"/>
      </w:pPr>
      <w:r>
        <w:rPr>
          <w:rFonts w:ascii="Times New Roman" w:cs="Times New Roman" w:eastAsia="Times New Roman" w:hAnsi="Times New Roman"/>
          <w:sz w:val="24"/>
          <w:szCs w:val="24"/>
        </w:rPr>
        <w:t xml:space="preserve">The holdout coefficient is negative, as hypothesised, but it is about one twenty-fifth of the planted effect and indistinguishable from zero (Newey-West standard error 0.006, 689 days). The tradable secondary regression has the wrong sign in the holdout. The timing variants agree: the </w:t>
      </w:r>
      <w:r>
        <w:rPr>
          <w:rFonts w:ascii="Courier New" w:cs="Courier New" w:eastAsia="Courier New" w:hAnsi="Courier New"/>
          <w:sz w:val="20"/>
          <w:szCs w:val="20"/>
        </w:rPr>
        <w:t xml:space="preserve">close_close_lag</w:t>
      </w:r>
      <w:r>
        <w:rPr>
          <w:rFonts w:ascii="Times New Roman" w:cs="Times New Roman" w:eastAsia="Times New Roman" w:hAnsi="Times New Roman"/>
          <w:sz w:val="24"/>
          <w:szCs w:val="24"/>
        </w:rPr>
        <w:t xml:space="preserve"> gross Sharpe is 0.19 in the holdout (interval -0.86 to 1.25) and the non-tradable </w:t>
      </w:r>
      <w:r>
        <w:rPr>
          <w:rFonts w:ascii="Courier New" w:cs="Courier New" w:eastAsia="Courier New" w:hAnsi="Courier New"/>
          <w:sz w:val="20"/>
          <w:szCs w:val="20"/>
        </w:rPr>
        <w:t xml:space="preserve">same_close</w:t>
      </w:r>
      <w:r>
        <w:rPr>
          <w:rFonts w:ascii="Times New Roman" w:cs="Times New Roman" w:eastAsia="Times New Roman" w:hAnsi="Times New Roman"/>
          <w:sz w:val="24"/>
          <w:szCs w:val="24"/>
        </w:rPr>
        <w:t xml:space="preserve"> upper bound is 0.13 (interval -1.08 to 1.37). In sample the same two variants were -0.07 and 0.49 (interval -0.28 to 1.31). None differs from zero, so the mechanism is not visible at this horizon in this data. The holdout was also split in two: the gross Sharpe was -0.44 in the first half (2024-01-02 to 2025-05-15) and -0.08 in the second, and neither interval excludes zero.</w:t>
      </w:r>
    </w:p>
    <w:p>
      <w:pPr>
        <w:pStyle w:val="Heading2"/>
      </w:pPr>
      <w:r>
        <w:rPr>
          <w:rFonts w:ascii="Times New Roman" w:cs="Times New Roman" w:eastAsia="Times New Roman" w:hAnsi="Times New Roman"/>
        </w:rPr>
        <w:t xml:space="preserve">5.3 Threshold Sensitivity</w:t>
      </w:r>
    </w:p>
    <w:p>
      <w:pPr>
        <w:spacing w:after="240"/>
      </w:pPr>
      <w:r>
        <w:rPr>
          <w:rFonts w:ascii="Times New Roman" w:cs="Times New Roman" w:eastAsia="Times New Roman" w:hAnsi="Times New Roman"/>
          <w:sz w:val="24"/>
          <w:szCs w:val="24"/>
        </w:rPr>
        <w:t xml:space="preserve">The threshold of 1 and the one-day hold were fixed in advance, so the other settings are exploratory checks of whether the verdict depends on that choice. They were never used to choose anything. Because many comparisons are made, a few will look better by chance.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75"/>
        <w:gridCol w:w="2015"/>
        <w:gridCol w:w="1836"/>
      </w:tblGrid>
      <w:tr>
        <w:trPr>
          <w:cantSplit/>
          <w:tblHeader/>
        </w:trPr>
        <w:tc>
          <w:tcPr>
            <w:tcW w:type="dxa" w:w="5175"/>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Variant (holdout, 5 bp per side)</w:t>
            </w:r>
          </w:p>
        </w:tc>
        <w:tc>
          <w:tcPr>
            <w:tcW w:type="dxa" w:w="2015"/>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Gross Sharpe</w:t>
            </w:r>
          </w:p>
        </w:tc>
        <w:tc>
          <w:tcPr>
            <w:tcW w:type="dxa" w:w="1836"/>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Net Sharpe</w:t>
            </w:r>
          </w:p>
        </w:tc>
      </w:tr>
      <w:tr>
        <w:trPr>
          <w:cantSplit/>
          <w:tblHeader w:val="off"/>
        </w:trPr>
        <w:tc>
          <w:tcPr>
            <w:tcW w:type="dxa" w:w="517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Threshold 0.5</w:t>
            </w:r>
          </w:p>
        </w:tc>
        <w:tc>
          <w:tcPr>
            <w:tcW w:type="dxa" w:w="201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0.13</w:t>
            </w:r>
          </w:p>
        </w:tc>
        <w:tc>
          <w:tcPr>
            <w:tcW w:type="dxa" w:w="183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-4.07</w:t>
            </w:r>
          </w:p>
        </w:tc>
      </w:tr>
      <w:tr>
        <w:trPr>
          <w:cantSplit/>
          <w:tblHeader w:val="off"/>
        </w:trPr>
        <w:tc>
          <w:tcPr>
            <w:tcW w:type="dxa" w:w="517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Primary (threshold 1.0)</w:t>
            </w:r>
          </w:p>
        </w:tc>
        <w:tc>
          <w:tcPr>
            <w:tcW w:type="dxa" w:w="201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-0.24</w:t>
            </w:r>
          </w:p>
        </w:tc>
        <w:tc>
          <w:tcPr>
            <w:tcW w:type="dxa" w:w="183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-4.02</w:t>
            </w:r>
          </w:p>
        </w:tc>
      </w:tr>
      <w:tr>
        <w:trPr>
          <w:cantSplit/>
          <w:tblHeader w:val="off"/>
        </w:trPr>
        <w:tc>
          <w:tcPr>
            <w:tcW w:type="dxa" w:w="517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Threshold 1.5</w:t>
            </w:r>
          </w:p>
        </w:tc>
        <w:tc>
          <w:tcPr>
            <w:tcW w:type="dxa" w:w="201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-0.16</w:t>
            </w:r>
          </w:p>
        </w:tc>
        <w:tc>
          <w:tcPr>
            <w:tcW w:type="dxa" w:w="183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-3.26</w:t>
            </w:r>
          </w:p>
        </w:tc>
      </w:tr>
      <w:tr>
        <w:trPr>
          <w:cantSplit/>
          <w:tblHeader w:val="off"/>
        </w:trPr>
        <w:tc>
          <w:tcPr>
            <w:tcW w:type="dxa" w:w="517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Threshold 2.0</w:t>
            </w:r>
          </w:p>
        </w:tc>
        <w:tc>
          <w:tcPr>
            <w:tcW w:type="dxa" w:w="201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0.26</w:t>
            </w:r>
          </w:p>
        </w:tc>
        <w:tc>
          <w:tcPr>
            <w:tcW w:type="dxa" w:w="183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-2.04</w:t>
            </w:r>
          </w:p>
        </w:tc>
      </w:tr>
      <w:tr>
        <w:trPr>
          <w:cantSplit/>
          <w:tblHeader w:val="off"/>
        </w:trPr>
        <w:tc>
          <w:tcPr>
            <w:tcW w:type="dxa" w:w="517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Hold 2 days (overlapping sleeves)</w:t>
            </w:r>
          </w:p>
        </w:tc>
        <w:tc>
          <w:tcPr>
            <w:tcW w:type="dxa" w:w="201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-0.22</w:t>
            </w:r>
          </w:p>
        </w:tc>
        <w:tc>
          <w:tcPr>
            <w:tcW w:type="dxa" w:w="183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-2.91</w:t>
            </w:r>
          </w:p>
        </w:tc>
      </w:tr>
      <w:tr>
        <w:trPr>
          <w:cantSplit/>
          <w:tblHeader w:val="off"/>
        </w:trPr>
        <w:tc>
          <w:tcPr>
            <w:tcW w:type="dxa" w:w="517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Hold 3 days</w:t>
            </w:r>
          </w:p>
        </w:tc>
        <w:tc>
          <w:tcPr>
            <w:tcW w:type="dxa" w:w="201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0.10</w:t>
            </w:r>
          </w:p>
        </w:tc>
        <w:tc>
          <w:tcPr>
            <w:tcW w:type="dxa" w:w="183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-2.05</w:t>
            </w:r>
          </w:p>
        </w:tc>
      </w:tr>
      <w:tr>
        <w:trPr>
          <w:cantSplit/>
          <w:tblHeader w:val="off"/>
        </w:trPr>
        <w:tc>
          <w:tcPr>
            <w:tcW w:type="dxa" w:w="517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Hold 5 days</w:t>
            </w:r>
          </w:p>
        </w:tc>
        <w:tc>
          <w:tcPr>
            <w:tcW w:type="dxa" w:w="201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0.14</w:t>
            </w:r>
          </w:p>
        </w:tc>
        <w:tc>
          <w:tcPr>
            <w:tcW w:type="dxa" w:w="183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-1.49</w:t>
            </w:r>
          </w:p>
        </w:tc>
      </w:tr>
      <w:tr>
        <w:trPr>
          <w:cantSplit/>
          <w:tblHeader w:val="off"/>
        </w:trPr>
        <w:tc>
          <w:tcPr>
            <w:tcW w:type="dxa" w:w="517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Continuous weights (-z clipped at +/-3)</w:t>
            </w:r>
          </w:p>
        </w:tc>
        <w:tc>
          <w:tcPr>
            <w:tcW w:type="dxa" w:w="201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0.10</w:t>
            </w:r>
          </w:p>
        </w:tc>
        <w:tc>
          <w:tcPr>
            <w:tcW w:type="dxa" w:w="183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-3.79</w:t>
            </w:r>
          </w:p>
        </w:tc>
      </w:tr>
      <w:tr>
        <w:trPr>
          <w:cantSplit/>
          <w:tblHeader w:val="off"/>
        </w:trPr>
        <w:tc>
          <w:tcPr>
            <w:tcW w:type="dxa" w:w="517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Excluding |z| above 4</w:t>
            </w:r>
          </w:p>
        </w:tc>
        <w:tc>
          <w:tcPr>
            <w:tcW w:type="dxa" w:w="201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-0.29</w:t>
            </w:r>
          </w:p>
        </w:tc>
        <w:tc>
          <w:tcPr>
            <w:tcW w:type="dxa" w:w="1836"/>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-4.13</w:t>
            </w:r>
          </w:p>
        </w:tc>
      </w:tr>
    </w:tbl>
    <w:p>
      <w:pPr>
        <w:spacing w:after="240" w:before="100"/>
      </w:pPr>
      <w:r>
        <w:rPr>
          <w:rFonts w:ascii="Times New Roman" w:cs="Times New Roman" w:eastAsia="Times New Roman" w:hAnsi="Times New Roman"/>
          <w:i/>
          <w:iCs/>
          <w:color w:val="595959"/>
          <w:sz w:val="20"/>
          <w:szCs w:val="20"/>
        </w:rPr>
        <w:t xml:space="preserve">Table 11: Exploratory holdout variants. Every gross interval includes zero. Longer holds and higher thresholds cut turnover and shrink the cost drag, but no variant produces a positive net Sharpe.</w:t>
      </w:r>
    </w:p>
    <w:p>
      <w:pPr>
        <w:spacing w:after="240"/>
      </w:pPr>
      <w:r>
        <w:rPr>
          <w:rFonts w:ascii="Times New Roman" w:cs="Times New Roman" w:eastAsia="Times New Roman" w:hAnsi="Times New Roman"/>
          <w:sz w:val="24"/>
          <w:szCs w:val="24"/>
        </w:rPr>
        <w:t xml:space="preserve">The verdict does not depend on the thresholds or the holding period. The least bad net result is the five-day hold at -1.49, which is still a loss and rests on a gross Sharpe of 0.14 that is not distinguishable from zero.</w:t>
      </w:r>
    </w:p>
    <w:p>
      <w:pPr>
        <w:pStyle w:val="Heading2"/>
      </w:pPr>
      <w:r>
        <w:rPr>
          <w:rFonts w:ascii="Times New Roman" w:cs="Times New Roman" w:eastAsia="Times New Roman" w:hAnsi="Times New Roman"/>
        </w:rPr>
        <w:t xml:space="preserve">5.4 Hedge Choice</w:t>
      </w:r>
    </w:p>
    <w:p>
      <w:pPr>
        <w:spacing w:after="240"/>
      </w:pPr>
      <w:r>
        <w:rPr>
          <w:rFonts w:ascii="Times New Roman" w:cs="Times New Roman" w:eastAsia="Times New Roman" w:hAnsi="Times New Roman"/>
          <w:sz w:val="24"/>
          <w:szCs w:val="24"/>
        </w:rPr>
        <w:t xml:space="preserve">The sector-ETF hedge was chosen in advance because the signal is a sector residual, so the same ETF that defines the residual should also take out the leftover exposure. Four robustness variants were pre-registered and none of them is part of the decision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85"/>
        <w:gridCol w:w="2338"/>
        <w:gridCol w:w="2703"/>
      </w:tblGrid>
      <w:tr>
        <w:trPr>
          <w:cantSplit/>
          <w:tblHeader/>
        </w:trPr>
        <w:tc>
          <w:tcPr>
            <w:tcW w:type="dxa" w:w="3985"/>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Variant (holdout)</w:t>
            </w:r>
          </w:p>
        </w:tc>
        <w:tc>
          <w:tcPr>
            <w:tcW w:type="dxa" w:w="2338"/>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Gross Sharpe (95% CI)</w:t>
            </w:r>
          </w:p>
        </w:tc>
        <w:tc>
          <w:tcPr>
            <w:tcW w:type="dxa" w:w="2703"/>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Net Sharpe at 5 bp (95% CI)</w:t>
            </w:r>
          </w:p>
        </w:tc>
      </w:tr>
      <w:tr>
        <w:trPr>
          <w:cantSplit/>
          <w:tblHeader w:val="off"/>
        </w:trPr>
        <w:tc>
          <w:tcPr>
            <w:tcW w:type="dxa" w:w="398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Primary (sector-ETF hedge)</w:t>
            </w:r>
          </w:p>
        </w:tc>
        <w:tc>
          <w:tcPr>
            <w:tcW w:type="dxa" w:w="2338"/>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-0.24 (-1.47, 0.96)</w:t>
            </w:r>
          </w:p>
        </w:tc>
        <w:tc>
          <w:tcPr>
            <w:tcW w:type="dxa" w:w="270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-4.02 (-5.39, -2.75)</w:t>
            </w:r>
          </w:p>
        </w:tc>
      </w:tr>
      <w:tr>
        <w:trPr>
          <w:cantSplit/>
          <w:tblHeader w:val="off"/>
        </w:trPr>
        <w:tc>
          <w:tcPr>
            <w:tcW w:type="dxa" w:w="398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(i) SPY-only hedge</w:t>
            </w:r>
          </w:p>
        </w:tc>
        <w:tc>
          <w:tcPr>
            <w:tcW w:type="dxa" w:w="2338"/>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0.04 (-1.05, 1.13)</w:t>
            </w:r>
          </w:p>
        </w:tc>
        <w:tc>
          <w:tcPr>
            <w:tcW w:type="dxa" w:w="270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-2.77 (-4.04, -1.62)</w:t>
            </w:r>
          </w:p>
        </w:tc>
      </w:tr>
      <w:tr>
        <w:trPr>
          <w:cantSplit/>
          <w:tblHeader w:val="off"/>
        </w:trPr>
        <w:tc>
          <w:tcPr>
            <w:tcW w:type="dxa" w:w="398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(ii) Excluding Visa, Mastercard, PayPal</w:t>
            </w:r>
          </w:p>
        </w:tc>
        <w:tc>
          <w:tcPr>
            <w:tcW w:type="dxa" w:w="2338"/>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-0.29 (-1.50, 0.93)</w:t>
            </w:r>
          </w:p>
        </w:tc>
        <w:tc>
          <w:tcPr>
            <w:tcW w:type="dxa" w:w="270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-4.00 (-5.36, -2.77)</w:t>
            </w:r>
          </w:p>
        </w:tc>
      </w:tr>
      <w:tr>
        <w:trPr>
          <w:cantSplit/>
          <w:tblHeader w:val="off"/>
        </w:trPr>
        <w:tc>
          <w:tcPr>
            <w:tcW w:type="dxa" w:w="398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(iii) Excluding the 10 largest names by 60-day average dollar volume</w:t>
            </w:r>
          </w:p>
        </w:tc>
        <w:tc>
          <w:tcPr>
            <w:tcW w:type="dxa" w:w="2338"/>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-0.21 (-1.43, 1.06)</w:t>
            </w:r>
          </w:p>
        </w:tc>
        <w:tc>
          <w:tcPr>
            <w:tcW w:type="dxa" w:w="270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-4.01 (-5.39, -2.73)</w:t>
            </w:r>
          </w:p>
        </w:tc>
      </w:tr>
      <w:tr>
        <w:trPr>
          <w:cantSplit/>
          <w:tblHeader w:val="off"/>
        </w:trPr>
        <w:tc>
          <w:tcPr>
            <w:tcW w:type="dxa" w:w="3985"/>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Unhedged signal (stock book only, no ETF leg)</w:t>
            </w:r>
          </w:p>
        </w:tc>
        <w:tc>
          <w:tcPr>
            <w:tcW w:type="dxa" w:w="2338"/>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-0.22 (-1.34, 0.89)</w:t>
            </w:r>
          </w:p>
        </w:tc>
        <w:tc>
          <w:tcPr>
            <w:tcW w:type="dxa" w:w="2703"/>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-3.53 (-4.71, -2.43)</w:t>
            </w:r>
          </w:p>
        </w:tc>
      </w:tr>
    </w:tbl>
    <w:p>
      <w:pPr>
        <w:spacing w:after="240" w:before="100"/>
      </w:pPr>
      <w:r>
        <w:rPr>
          <w:rFonts w:ascii="Times New Roman" w:cs="Times New Roman" w:eastAsia="Times New Roman" w:hAnsi="Times New Roman"/>
          <w:i/>
          <w:iCs/>
          <w:color w:val="595959"/>
          <w:sz w:val="20"/>
          <w:szCs w:val="20"/>
        </w:rPr>
        <w:t xml:space="preserve">Table 12: Holdout robustness (</w:t>
      </w:r>
      <w:r>
        <w:rPr>
          <w:rFonts w:ascii="Courier New" w:cs="Courier New" w:eastAsia="Courier New" w:hAnsi="Courier New"/>
          <w:i/>
          <w:iCs/>
          <w:color w:val="595959"/>
          <w:sz w:val="18"/>
          <w:szCs w:val="18"/>
        </w:rPr>
        <w:t xml:space="preserve">results_pack.md</w:t>
      </w:r>
      <w:r>
        <w:rPr>
          <w:rFonts w:ascii="Times New Roman" w:cs="Times New Roman" w:eastAsia="Times New Roman" w:hAnsi="Times New Roman"/>
          <w:i/>
          <w:iCs/>
          <w:color w:val="595959"/>
          <w:sz w:val="20"/>
          <w:szCs w:val="20"/>
        </w:rPr>
        <w:t xml:space="preserve">). Excluding the mechanically self-hedged mega caps does not rescue the result.</w:t>
      </w:r>
    </w:p>
    <w:p>
      <w:pPr>
        <w:spacing w:after="240"/>
      </w:pPr>
      <w:r>
        <w:rPr>
          <w:rFonts w:ascii="Times New Roman" w:cs="Times New Roman" w:eastAsia="Times New Roman" w:hAnsi="Times New Roman"/>
          <w:sz w:val="24"/>
          <w:szCs w:val="24"/>
        </w:rPr>
        <w:t xml:space="preserve">The hedge choice matters little. A SPY-only hedge gives a better net Sharpe (-2.77), which I did not investigate, and its gross interval still includes zero. Dropping the ETF leg altogether, or removing the ten largest names, which are partly their own sector ETF, leaves the picture unchanged. For reference, SPY buy-and-hold had a Sharpe of 0.98 over the holdout (interval 0.00 to 2.18) on excess returns.</w:t>
      </w:r>
    </w:p>
    <w:p>
      <w:pPr>
        <w:pStyle w:val="Heading1"/>
      </w:pPr>
      <w:r>
        <w:rPr>
          <w:rFonts w:ascii="Times New Roman" w:cs="Times New Roman" w:eastAsia="Times New Roman" w:hAnsi="Times New Roman"/>
        </w:rPr>
        <w:t xml:space="preserve">6. Pitfall Checklist</w:t>
      </w:r>
    </w:p>
    <w:p>
      <w:pPr>
        <w:pStyle w:val="Heading2"/>
      </w:pPr>
      <w:r>
        <w:rPr>
          <w:rFonts w:ascii="Times New Roman" w:cs="Times New Roman" w:eastAsia="Times New Roman" w:hAnsi="Times New Roman"/>
        </w:rPr>
        <w:t xml:space="preserve">6.1 Look-ahead Bias</w:t>
      </w:r>
    </w:p>
    <w:p>
      <w:pPr>
        <w:spacing w:after="240"/>
      </w:pPr>
      <w:r>
        <w:rPr>
          <w:rFonts w:ascii="Times New Roman" w:cs="Times New Roman" w:eastAsia="Times New Roman" w:hAnsi="Times New Roman"/>
          <w:sz w:val="24"/>
          <w:szCs w:val="24"/>
        </w:rPr>
        <w:t xml:space="preserve">Beta and the z-score denominator at day t use data only through day t-1, and a unit test checks exactly that. A second test changes all data after a date and confirms that profit and loss up to that date does not move. Signals are read at the close and traded at the next open, and every return observation is stamped by its exit date. The holdout prices cannot be loaded unless the lock file exists, and a further test checks that. Two caveats remain. Betas are estimated on close-to-close returns but applied to open-to-open holds, and the ETF hedge uses the same betas, so there is a timing mismatch in the hedge, not in the signal. And I cannot verify from the files alone that holdout prices were not looked at before the freeze.</w:t>
      </w:r>
    </w:p>
    <w:p>
      <w:pPr>
        <w:pStyle w:val="Heading2"/>
      </w:pPr>
      <w:r>
        <w:rPr>
          <w:rFonts w:ascii="Times New Roman" w:cs="Times New Roman" w:eastAsia="Times New Roman" w:hAnsi="Times New Roman"/>
        </w:rPr>
        <w:t xml:space="preserve">6.2 Survivorship Bias</w:t>
      </w:r>
    </w:p>
    <w:p>
      <w:pPr>
        <w:spacing w:after="240"/>
      </w:pPr>
      <w:r>
        <w:rPr>
          <w:rFonts w:ascii="Times New Roman" w:cs="Times New Roman" w:eastAsia="Times New Roman" w:hAnsi="Times New Roman"/>
          <w:sz w:val="24"/>
          <w:szCs w:val="24"/>
        </w:rPr>
        <w:t xml:space="preserve">Survivorship bias is reduced but not eliminated. Membership is point in time, so removed stocks do enter the universe when they were members. But removed stocks have weaker free-price coverage and no sector label: usable coverage was 86.0% in 2018 and 88.0% in 2019, both below my 90% flag, rising to 99.0% by 2026. In sample, only 48% of the 157 removed members are usable, against 100% of the survivors, so the tested universe over-represents survivors, most strongly early on. There are no delisting returns, so a stock that was removed because it collapsed has no final loss. The effect on a market-neutral reversal book is unclear in sign, and since the holdout result is a null, I do not expect it to change the verdict. At least one former member (STI) has Yahoo prices that look like they belong to another company, and neither STI nor SBNY could have been traded because membership and prices never overlap.</w:t>
      </w:r>
    </w:p>
    <w:p>
      <w:pPr>
        <w:pStyle w:val="Heading2"/>
      </w:pPr>
      <w:r>
        <w:rPr>
          <w:rFonts w:ascii="Times New Roman" w:cs="Times New Roman" w:eastAsia="Times New Roman" w:hAnsi="Times New Roman"/>
        </w:rPr>
        <w:t xml:space="preserve">6.3 Overfitting/ Data Snooping</w:t>
      </w:r>
    </w:p>
    <w:p>
      <w:pPr>
        <w:spacing w:after="240"/>
      </w:pPr>
      <w:r>
        <w:rPr>
          <w:rFonts w:ascii="Times New Roman" w:cs="Times New Roman" w:eastAsia="Times New Roman" w:hAnsi="Times New Roman"/>
          <w:sz w:val="24"/>
          <w:szCs w:val="24"/>
        </w:rPr>
        <w:t xml:space="preserve">The threshold, the windows, the costs and the decision rule were fixed before any data was seen. The code was tested on simulated data before it was allowed to see real returns, and the real holdout was run once with no code change. The in-sample period was used to examine the design and never to change a parameter. The exploratory variants in Sections 5.3 and 5.4 are labelled as such and were not used to choose anything.</w:t>
      </w:r>
    </w:p>
    <w:p>
      <w:pPr>
        <w:spacing w:after="240"/>
      </w:pPr>
      <w:r>
        <w:rPr>
          <w:rFonts w:ascii="Times New Roman" w:cs="Times New Roman" w:eastAsia="Times New Roman" w:hAnsi="Times New Roman"/>
          <w:sz w:val="24"/>
          <w:szCs w:val="24"/>
        </w:rPr>
        <w:t xml:space="preserve">The per-sector results are the clearest case of multiple comparisons. Only one of the 11 sectors shows a gross Sharpe interval entirely above zero in the holdout: </w:t>
      </w:r>
      <w:r>
        <w:rPr>
          <w:rFonts w:ascii="Times New Roman" w:cs="Times New Roman" w:eastAsia="Times New Roman" w:hAnsi="Times New Roman"/>
          <w:b/>
          <w:bCs/>
          <w:sz w:val="24"/>
          <w:szCs w:val="24"/>
        </w:rPr>
        <w:t xml:space="preserve">Utilities</w:t>
      </w:r>
      <w:r>
        <w:rPr>
          <w:rFonts w:ascii="Times New Roman" w:cs="Times New Roman" w:eastAsia="Times New Roman" w:hAnsi="Times New Roman"/>
          <w:sz w:val="24"/>
          <w:szCs w:val="24"/>
        </w:rPr>
        <w:t xml:space="preserve"> (gross Sharpe 1.46, interval 0.12 to 2.77; net at 5 basis points 0.11, interval -1.18 to 1.36; Fama-MacBeth t = -1.77). With 11 sectors and several tests, one such result is what chance alone would produce, and the net result is not different from zero. In sample, Materials (gross Sharpe 1.24; Fama-MacBeth t = -3.2) and Industrials (t = -3.1) stood out, and neither held up in the holdout (Materials gross Sharpe -0.42, t = -0.34; Industrials t = -1.08). Financials has a holdout t of -2.22 with a gross interval that includes zero. I draw no conclusion from any of these and do not propose a sector-specific follow-up on their strength.</w:t>
      </w:r>
    </w:p>
    <w:p>
      <w:pPr>
        <w:pStyle w:val="Heading2"/>
      </w:pPr>
      <w:r>
        <w:rPr>
          <w:rFonts w:ascii="Times New Roman" w:cs="Times New Roman" w:eastAsia="Times New Roman" w:hAnsi="Times New Roman"/>
        </w:rPr>
        <w:t xml:space="preserve">6.4 Transaction Costs/Slippage</w:t>
      </w:r>
    </w:p>
    <w:p>
      <w:pPr>
        <w:spacing w:after="240"/>
      </w:pPr>
      <w:r>
        <w:rPr>
          <w:rFonts w:ascii="Times New Roman" w:cs="Times New Roman" w:eastAsia="Times New Roman" w:hAnsi="Times New Roman"/>
          <w:sz w:val="24"/>
          <w:szCs w:val="24"/>
        </w:rPr>
        <w:t xml:space="preserve">Costs decide this result. The book turns over about 1.77 times per day (about 446 times a year), so at 5 basis points per side the cost drag is roughly 22% a year (my arithmetic: 5 bp x 1.77 x 252). The breakeven cost per side, the cost at which net profit is zero, was 0.18 basis points in sample and -0.71 in the holdout. A negative breakeven means the strategy lost money even with free trading. At 2 basis points per side, which is optimistic for large caps at the open, the holdout net Sharpe is still -1.91.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2"/>
        <w:gridCol w:w="3152"/>
        <w:gridCol w:w="2722"/>
      </w:tblGrid>
      <w:tr>
        <w:trPr>
          <w:cantSplit/>
          <w:tblHeader/>
        </w:trPr>
        <w:tc>
          <w:tcPr>
            <w:tcW w:type="dxa" w:w="3152"/>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Cost per side</w:t>
            </w:r>
          </w:p>
        </w:tc>
        <w:tc>
          <w:tcPr>
            <w:tcW w:type="dxa" w:w="3152"/>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In-sample net Sharpe</w:t>
            </w:r>
          </w:p>
        </w:tc>
        <w:tc>
          <w:tcPr>
            <w:tcW w:type="dxa" w:w="2722"/>
            <w:tcBorders>
              <w:top w:val="single" w:color="7FB0C6" w:sz="4"/>
              <w:left w:val="single" w:color="7FB0C6" w:sz="4"/>
              <w:bottom w:val="single" w:color="7FB0C6" w:sz="4"/>
              <w:right w:val="single" w:color="7FB0C6" w:sz="4"/>
            </w:tcBorders>
            <w:shd w:fill="156082" w:color="auto" w:val="clear"/>
            <w:tcMar>
              <w:top w:type="dxa" w:w="40"/>
              <w:left w:type="dxa" w:w="80"/>
              <w:bottom w:type="dxa" w:w="40"/>
              <w:right w:type="dxa" w:w="80"/>
            </w:tcMar>
          </w:tcPr>
          <w:p>
            <w:pPr>
              <w:keepNext/>
              <w:spacing w:after="0"/>
            </w:pPr>
            <w:r>
              <w:rPr>
                <w:rFonts w:ascii="Times New Roman" w:cs="Times New Roman" w:eastAsia="Times New Roman" w:hAnsi="Times New Roman"/>
                <w:b/>
                <w:bCs/>
                <w:color w:val="FFFFFF"/>
                <w:sz w:val="22"/>
                <w:szCs w:val="22"/>
              </w:rPr>
              <w:t xml:space="preserve">Holdout net Sharpe</w:t>
            </w:r>
          </w:p>
        </w:tc>
      </w:tr>
      <w:tr>
        <w:trPr>
          <w:cantSplit/>
          <w:tblHeader w:val="off"/>
        </w:trPr>
        <w:tc>
          <w:tcPr>
            <w:tcW w:type="dxa" w:w="315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 bp (gross)</w:t>
            </w:r>
          </w:p>
        </w:tc>
        <w:tc>
          <w:tcPr>
            <w:tcW w:type="dxa" w:w="315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0.35</w:t>
            </w:r>
          </w:p>
        </w:tc>
        <w:tc>
          <w:tcPr>
            <w:tcW w:type="dxa" w:w="272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-0.24</w:t>
            </w:r>
          </w:p>
        </w:tc>
      </w:tr>
      <w:tr>
        <w:trPr>
          <w:cantSplit/>
          <w:tblHeader w:val="off"/>
        </w:trPr>
        <w:tc>
          <w:tcPr>
            <w:tcW w:type="dxa" w:w="315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2 bp</w:t>
            </w:r>
          </w:p>
        </w:tc>
        <w:tc>
          <w:tcPr>
            <w:tcW w:type="dxa" w:w="315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-1.15</w:t>
            </w:r>
          </w:p>
        </w:tc>
        <w:tc>
          <w:tcPr>
            <w:tcW w:type="dxa" w:w="272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-1.91</w:t>
            </w:r>
          </w:p>
        </w:tc>
      </w:tr>
      <w:tr>
        <w:trPr>
          <w:cantSplit/>
          <w:tblHeader w:val="off"/>
        </w:trPr>
        <w:tc>
          <w:tcPr>
            <w:tcW w:type="dxa" w:w="315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5 bp (decision rule)</w:t>
            </w:r>
          </w:p>
        </w:tc>
        <w:tc>
          <w:tcPr>
            <w:tcW w:type="dxa" w:w="315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-3.05</w:t>
            </w:r>
          </w:p>
        </w:tc>
        <w:tc>
          <w:tcPr>
            <w:tcW w:type="dxa" w:w="272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-4.02</w:t>
            </w:r>
          </w:p>
        </w:tc>
      </w:tr>
      <w:tr>
        <w:trPr>
          <w:cantSplit/>
          <w:tblHeader w:val="off"/>
        </w:trPr>
        <w:tc>
          <w:tcPr>
            <w:tcW w:type="dxa" w:w="315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10 bp</w:t>
            </w:r>
          </w:p>
        </w:tc>
        <w:tc>
          <w:tcPr>
            <w:tcW w:type="dxa" w:w="315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-6.20</w:t>
            </w:r>
          </w:p>
        </w:tc>
        <w:tc>
          <w:tcPr>
            <w:tcW w:type="dxa" w:w="2722"/>
            <w:tcBorders>
              <w:top w:val="single" w:color="7FB0C6" w:sz="4"/>
              <w:left w:val="single" w:color="7FB0C6" w:sz="4"/>
              <w:bottom w:val="single" w:color="7FB0C6" w:sz="4"/>
              <w:right w:val="single" w:color="7FB0C6" w:sz="4"/>
            </w:tcBorders>
            <w:tcMar>
              <w:top w:type="dxa" w:w="40"/>
              <w:left w:type="dxa" w:w="80"/>
              <w:bottom w:type="dxa" w:w="40"/>
              <w:right w:type="dxa" w:w="80"/>
            </w:tcMar>
          </w:tcPr>
          <w:p>
            <w:pPr>
              <w:keepNext w:val="false"/>
              <w:spacing w:after="0"/>
            </w:pPr>
            <w:r>
              <w:rPr>
                <w:rFonts w:ascii="Times New Roman" w:cs="Times New Roman" w:eastAsia="Times New Roman" w:hAnsi="Times New Roman"/>
                <w:sz w:val="22"/>
                <w:szCs w:val="22"/>
              </w:rPr>
              <w:t xml:space="preserve">-7.53</w:t>
            </w:r>
          </w:p>
        </w:tc>
      </w:tr>
    </w:tbl>
    <w:p>
      <w:pPr>
        <w:spacing w:after="240" w:before="100"/>
      </w:pPr>
      <w:r>
        <w:rPr>
          <w:rFonts w:ascii="Times New Roman" w:cs="Times New Roman" w:eastAsia="Times New Roman" w:hAnsi="Times New Roman"/>
          <w:i/>
          <w:iCs/>
          <w:color w:val="595959"/>
          <w:sz w:val="20"/>
          <w:szCs w:val="20"/>
        </w:rPr>
        <w:t xml:space="preserve">Table 13: Net Sharpe ratio by cost level and period (</w:t>
      </w:r>
      <w:r>
        <w:rPr>
          <w:rFonts w:ascii="Courier New" w:cs="Courier New" w:eastAsia="Courier New" w:hAnsi="Courier New"/>
          <w:i/>
          <w:iCs/>
          <w:color w:val="595959"/>
          <w:sz w:val="18"/>
          <w:szCs w:val="18"/>
        </w:rPr>
        <w:t xml:space="preserve">is_strategy_tables.csv</w:t>
      </w:r>
      <w:r>
        <w:rPr>
          <w:rFonts w:ascii="Times New Roman" w:cs="Times New Roman" w:eastAsia="Times New Roman" w:hAnsi="Times New Roman"/>
          <w:i/>
          <w:iCs/>
          <w:color w:val="595959"/>
          <w:sz w:val="20"/>
          <w:szCs w:val="20"/>
        </w:rPr>
        <w:t xml:space="preserve">, </w:t>
      </w:r>
      <w:r>
        <w:rPr>
          <w:rFonts w:ascii="Courier New" w:cs="Courier New" w:eastAsia="Courier New" w:hAnsi="Courier New"/>
          <w:i/>
          <w:iCs/>
          <w:color w:val="595959"/>
          <w:sz w:val="18"/>
          <w:szCs w:val="18"/>
        </w:rPr>
        <w:t xml:space="preserve">ho_strategy_tables.csv</w:t>
      </w:r>
      <w:r>
        <w:rPr>
          <w:rFonts w:ascii="Times New Roman" w:cs="Times New Roman" w:eastAsia="Times New Roman" w:hAnsi="Times New Roman"/>
          <w:i/>
          <w:iCs/>
          <w:color w:val="595959"/>
          <w:sz w:val="20"/>
          <w:szCs w:val="20"/>
        </w:rPr>
        <w:t xml:space="preserve">).</w:t>
      </w:r>
    </w:p>
    <w:p>
      <w:pPr>
        <w:keepNext/>
        <w:spacing w:after="60" w:before="120"/>
        <w:jc w:val="center"/>
      </w:pPr>
      <w:r>
        <w:drawing>
          <wp:inline distT="0" distB="0" distL="0" distR="0">
            <wp:extent cx="5334000" cy="2419350"/>
            <wp:effectExtent t="0" r="0" b="0" l="0"/>
            <wp:docPr id="5" name="ho_fig5_turnover.png" descr="Daily turnover of the stock book in the holdout (sum of absolute weight changes; 2.0 is a full replacement of a 1.0-gross book), with the 60-day mean." title="Daily turnover of the stock book in the holdout (sum of absolute weight changes; 2.0 is a full replacement of a 1.0-gross book), with the 60-day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19350"/>
                    </a:xfrm>
                    <a:prstGeom prst="rect">
                      <a:avLst/>
                    </a:prstGeom>
                  </pic:spPr>
                </pic:pic>
              </a:graphicData>
            </a:graphic>
          </wp:inline>
        </w:drawing>
      </w:r>
    </w:p>
    <w:p>
      <w:pPr>
        <w:spacing w:after="240" w:before="100"/>
      </w:pPr>
      <w:r>
        <w:rPr>
          <w:rFonts w:ascii="Times New Roman" w:cs="Times New Roman" w:eastAsia="Times New Roman" w:hAnsi="Times New Roman"/>
          <w:i/>
          <w:iCs/>
          <w:color w:val="595959"/>
          <w:sz w:val="20"/>
          <w:szCs w:val="20"/>
        </w:rPr>
        <w:t xml:space="preserve">Figure 5: Daily turnover of the stock book in the holdout (sum of absolute weight changes; 2.0 is a full replacement of a 1.0-gross book), with the 60-day mean.</w:t>
      </w:r>
    </w:p>
    <w:p>
      <w:pPr>
        <w:spacing w:after="240"/>
      </w:pPr>
      <w:r>
        <w:rPr>
          <w:rFonts w:ascii="Times New Roman" w:cs="Times New Roman" w:eastAsia="Times New Roman" w:hAnsi="Times New Roman"/>
          <w:sz w:val="24"/>
          <w:szCs w:val="24"/>
        </w:rPr>
        <w:t xml:space="preserve">Figure 5 shows that turnover is steady, with a 60-day average between roughly 1.7 and 1.8 throughout the holdout. The cost assumptions are also simple. Fills are assumed at the open price, which real trades would not match. Borrow is a flat 50 basis points a year on all shorts, which is my assumption and is much too low for hard-to-borrow names. There is no market impact and no capacity estimate. The ETF leg turns over about 0.51 per day on its own at 1 basis point per side.</w:t>
      </w:r>
    </w:p>
    <w:p>
      <w:pPr>
        <w:pStyle w:val="Heading2"/>
      </w:pPr>
      <w:r>
        <w:rPr>
          <w:rFonts w:ascii="Times New Roman" w:cs="Times New Roman" w:eastAsia="Times New Roman" w:hAnsi="Times New Roman"/>
        </w:rPr>
        <w:t xml:space="preserve">6.5 Out-of-Sample Validation</w:t>
      </w:r>
    </w:p>
    <w:p>
      <w:pPr>
        <w:spacing w:after="240"/>
      </w:pPr>
      <w:r>
        <w:rPr>
          <w:rFonts w:ascii="Times New Roman" w:cs="Times New Roman" w:eastAsia="Times New Roman" w:hAnsi="Times New Roman"/>
          <w:sz w:val="24"/>
          <w:szCs w:val="24"/>
        </w:rPr>
        <w:t xml:space="preserve">The holdout (January 2024 to September 2026) was run once, after the freeze, and it gave the same answer as in sample, only weaker: a coefficient of -0.0040 (t = -0.66) against -0.0069 in sample, a gross Sharpe near zero in both, and a net Sharpe far below zero. Nothing from the holdout was used to design or change anything. The sectors that stood out in sample did not hold up in the holdout. The main limit is power. A holdout of about 2.75 years can only detect a Sharpe ratio of 1.19 or more, so a modest real gross edge could have been missed. The honest reading is that no effect was detected and the cost failure is clear, not that no effect exists.</w:t>
      </w:r>
    </w:p>
    <w:p>
      <w:pPr>
        <w:pStyle w:val="Heading3"/>
      </w:pPr>
      <w:r>
        <w:rPr>
          <w:rFonts w:ascii="Times New Roman" w:cs="Times New Roman" w:eastAsia="Times New Roman" w:hAnsi="Times New Roman"/>
        </w:rPr>
        <w:t xml:space="preserve">Empty legs and missing prices</w:t>
      </w:r>
    </w:p>
    <w:p>
      <w:pPr>
        <w:spacing w:after="240"/>
      </w:pPr>
      <w:r>
        <w:rPr>
          <w:rFonts w:ascii="Times New Roman" w:cs="Times New Roman" w:eastAsia="Times New Roman" w:hAnsi="Times New Roman"/>
          <w:sz w:val="24"/>
          <w:szCs w:val="24"/>
        </w:rPr>
        <w:t xml:space="preserve">One empty-leg day (no long leg, so no trade) fell in the holdout, and the count of position-days with a missing price was zero. In the in-sample period no empty-leg days occurred. A held name with a missing price would have contributed a zero return, and no delisting returns exist, so a stock that disappears would not show a final loss.</w:t>
      </w:r>
    </w:p>
    <w:p>
      <w:pPr>
        <w:pStyle w:val="Heading1"/>
      </w:pPr>
      <w:r>
        <w:rPr>
          <w:rFonts w:ascii="Times New Roman" w:cs="Times New Roman" w:eastAsia="Times New Roman" w:hAnsi="Times New Roman"/>
        </w:rPr>
        <w:t xml:space="preserve">7. Efficiency Touchpoint</w:t>
      </w:r>
    </w:p>
    <w:p>
      <w:pPr>
        <w:spacing w:after="240"/>
      </w:pPr>
      <w:r>
        <w:rPr>
          <w:rFonts w:ascii="Times New Roman" w:cs="Times New Roman" w:eastAsia="Times New Roman" w:hAnsi="Times New Roman"/>
          <w:sz w:val="24"/>
          <w:szCs w:val="24"/>
        </w:rPr>
        <w:t xml:space="preserve">Efficiency here means how much it costs, in time and in data access, to run the strategy, and how fast it needs to react. Run times were not recorded in the results files, so I give only what I can support. The 13 simulation unit tests took 2.96 seconds in total. File timestamps from the run day show the holdout outputs written about 23 seconds after the lock file, but that includes writing the results, so it is not a measured runtime. The Stage 0 data files were written between 16:57 and 17:00 on the same day, so the download and membership build took a few minutes. The rolling betas are computed with rolling sums, so the cost grows roughly with the number of stock-days, and the in-sample price file holds about 806 thousand rows.</w:t>
      </w:r>
    </w:p>
    <w:p>
      <w:pPr>
        <w:spacing w:after="240"/>
      </w:pPr>
      <w:r>
        <w:rPr>
          <w:rFonts w:ascii="Times New Roman" w:cs="Times New Roman" w:eastAsia="Times New Roman" w:hAnsi="Times New Roman"/>
          <w:sz w:val="24"/>
          <w:szCs w:val="24"/>
        </w:rPr>
        <w:t xml:space="preserve">Data access is the cheaper part. The whole study runs on free Yahoo and Wikipedia data, cached on disk, with every raw file hashed in a manifest. A paid, survivorship-free source would improve coverage, and the provider interface is built so that Bloomberg or WRDS can replace the free source without touching the signal or backtest code. That re-run is postponed, not done.</w:t>
      </w:r>
    </w:p>
    <w:p>
      <w:pPr>
        <w:spacing w:after="240"/>
      </w:pPr>
      <w:r>
        <w:rPr>
          <w:rFonts w:ascii="Times New Roman" w:cs="Times New Roman" w:eastAsia="Times New Roman" w:hAnsi="Times New Roman"/>
          <w:sz w:val="24"/>
          <w:szCs w:val="24"/>
        </w:rPr>
        <w:t xml:space="preserve">The real efficiency question is trading, not computing. The signal is read at the close and traded at the next open, so no fast execution is needed. But the book turns over about 1.77 times per day across about 120 positions, so every day involves a lot of small trades, and the cost of that is what sinks the strategy. A longer holding period would cut turnover, but in the exploratory results even a five-day hold did not turn a net profit.</w:t>
      </w:r>
    </w:p>
    <w:p>
      <w:pPr>
        <w:pStyle w:val="Heading1"/>
      </w:pPr>
      <w:r>
        <w:rPr>
          <w:rFonts w:ascii="Times New Roman" w:cs="Times New Roman" w:eastAsia="Times New Roman" w:hAnsi="Times New Roman"/>
        </w:rPr>
        <w:t xml:space="preserve">8. Risk Touchpoint</w:t>
      </w:r>
    </w:p>
    <w:p>
      <w:pPr>
        <w:spacing w:after="240"/>
      </w:pPr>
      <w:r>
        <w:rPr>
          <w:rFonts w:ascii="Times New Roman" w:cs="Times New Roman" w:eastAsia="Times New Roman" w:hAnsi="Times New Roman"/>
          <w:sz w:val="24"/>
          <w:szCs w:val="24"/>
        </w:rPr>
        <w:t xml:space="preserve">The strategy is designed to carry little market risk. In the holdout its beta to SPY was 0.029 and its annualised volatility was 6.3% (6.9% in sample). It holds about 60 longs and 60 shorts on an average day, and the ETF leg removes leftover sector exposure.</w:t>
      </w:r>
    </w:p>
    <w:p>
      <w:pPr>
        <w:keepNext/>
        <w:spacing w:after="60" w:before="120"/>
        <w:jc w:val="center"/>
      </w:pPr>
      <w:r>
        <w:drawing>
          <wp:inline distT="0" distB="0" distL="0" distR="0">
            <wp:extent cx="5334000" cy="2419350"/>
            <wp:effectExtent t="0" r="0" b="0" l="0"/>
            <wp:docPr id="6" name="ho_fig6_active_names.png" descr="Number of active long and short names per day in the holdout. A reading of zero means the leg was empty and there was no position." title="Number of active long and short names per day in the holdout. A reading of zero means the leg was empty and there was no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19350"/>
                    </a:xfrm>
                    <a:prstGeom prst="rect">
                      <a:avLst/>
                    </a:prstGeom>
                  </pic:spPr>
                </pic:pic>
              </a:graphicData>
            </a:graphic>
          </wp:inline>
        </w:drawing>
      </w:r>
    </w:p>
    <w:p>
      <w:pPr>
        <w:spacing w:after="240" w:before="100"/>
      </w:pPr>
      <w:r>
        <w:rPr>
          <w:rFonts w:ascii="Times New Roman" w:cs="Times New Roman" w:eastAsia="Times New Roman" w:hAnsi="Times New Roman"/>
          <w:i/>
          <w:iCs/>
          <w:color w:val="595959"/>
          <w:sz w:val="20"/>
          <w:szCs w:val="20"/>
        </w:rPr>
        <w:t xml:space="preserve">Figure 6: Number of active long and short names per day in the holdout. A reading of zero means the leg was empty and there was no position.</w:t>
      </w:r>
    </w:p>
    <w:p>
      <w:pPr>
        <w:spacing w:after="240"/>
      </w:pPr>
      <w:r>
        <w:rPr>
          <w:rFonts w:ascii="Times New Roman" w:cs="Times New Roman" w:eastAsia="Times New Roman" w:hAnsi="Times New Roman"/>
          <w:sz w:val="24"/>
          <w:szCs w:val="24"/>
        </w:rPr>
        <w:t xml:space="preserve">The number of names changes a lot from day to day. In the holdout it ranges from a few names to about 200 on a single day, and it drops to near zero on a few days, at the start of the window and around the turn of 2026 (Figure 6). A day with few names concentrates the book in a few stocks and gives up diversification. In the holdout only one day had no position at all.</w:t>
      </w:r>
    </w:p>
    <w:p>
      <w:pPr>
        <w:spacing w:after="240"/>
      </w:pPr>
      <w:r>
        <w:rPr>
          <w:rFonts w:ascii="Times New Roman" w:cs="Times New Roman" w:eastAsia="Times New Roman" w:hAnsi="Times New Roman"/>
          <w:sz w:val="24"/>
          <w:szCs w:val="24"/>
        </w:rPr>
        <w:t xml:space="preserve">The large drawdowns come from costs, not from shocks. The holdout maximum drawdown was -14.4% before costs and -52.2% after 5 basis points per side, and in sample -12.3% and -67.4%. The gross figure is the one that measures risk from the signal itself. I could not report the worst single-day loss, because daily profit and loss is not saved in the results files, so that is a gap in this report.</w:t>
      </w:r>
    </w:p>
    <w:p>
      <w:pPr>
        <w:spacing w:after="240"/>
      </w:pPr>
      <w:r>
        <w:rPr>
          <w:rFonts w:ascii="Times New Roman" w:cs="Times New Roman" w:eastAsia="Times New Roman" w:hAnsi="Times New Roman"/>
          <w:sz w:val="24"/>
          <w:szCs w:val="24"/>
        </w:rPr>
        <w:t xml:space="preserve">Several risks are not captured. Shorting costs and availability are ignored beyond a flat 50 basis points a year, and a crowded reversal book can be hit by short squeezes and by sharp unwinds when many funds hold the same trade. A stock gaps overnight before it can be traded. Fills at the open are idealised. A bad price from the free data source could produce a false signal: 11 in-sample and 20 holdout daily moves above 50% were kept as downloaded. And the findings come from one region, one index and one market regime, so they may not generalise.</w:t>
      </w:r>
    </w:p>
    <w:p>
      <w:pPr>
        <w:pStyle w:val="Heading1"/>
      </w:pPr>
      <w:r>
        <w:rPr>
          <w:rFonts w:ascii="Times New Roman" w:cs="Times New Roman" w:eastAsia="Times New Roman" w:hAnsi="Times New Roman"/>
        </w:rPr>
        <w:t xml:space="preserve">9. Reflection</w:t>
      </w:r>
    </w:p>
    <w:p>
      <w:pPr>
        <w:spacing w:after="240"/>
      </w:pPr>
      <w:r>
        <w:rPr>
          <w:rFonts w:ascii="Times New Roman" w:cs="Times New Roman" w:eastAsia="Times New Roman" w:hAnsi="Times New Roman"/>
          <w:sz w:val="24"/>
          <w:szCs w:val="24"/>
        </w:rPr>
        <w:t xml:space="preserve">The hypothesis is not supported. The reversal coefficient was -0.0040 (t = -0.66), the gross Sharpe ratio was -0.24 with an interval that includes zero, and the net Sharpe at 5 basis points was -4.02, so none of the conditions in the decision rule was met. The sign of the coefficient is the one the hypothesis predicts, but its size is about one twenty-fifth of what the pipeline recovers in a simulated world.</w:t>
      </w:r>
    </w:p>
    <w:p>
      <w:pPr>
        <w:spacing w:after="240"/>
      </w:pPr>
      <w:r>
        <w:rPr>
          <w:rFonts w:ascii="Times New Roman" w:cs="Times New Roman" w:eastAsia="Times New Roman" w:hAnsi="Times New Roman"/>
          <w:sz w:val="24"/>
          <w:szCs w:val="24"/>
        </w:rPr>
        <w:t xml:space="preserve">The result is weaker than my pre-registered prior. I expected a detectable effect before costs that costs would then erase. The data did not give even that. The strategy fails on cost before it fails on signal, because it turns over about 1.77 times of its book every day, and the breakeven cost was 0.18 basis points in sample and -0.71 in the holdout. Because the holdout can only detect a Sharpe of about 1.19 or more, I cannot rule out a small gross effect. The evidence is against a tradable edge at this horizon, at this cost level and in this data. It is not proof that no residual reversal exists.</w:t>
      </w:r>
    </w:p>
    <w:p>
      <w:pPr>
        <w:spacing w:after="240"/>
      </w:pPr>
      <w:r>
        <w:rPr>
          <w:rFonts w:ascii="Times New Roman" w:cs="Times New Roman" w:eastAsia="Times New Roman" w:hAnsi="Times New Roman"/>
          <w:sz w:val="24"/>
          <w:szCs w:val="24"/>
        </w:rPr>
        <w:t xml:space="preserve">The pipeline itself is a result. It recovers a planted effect, stays quiet in a null world and under a deliberately wrong hedge, and the audit trail from freeze to a one-shot holdout is intact. Later strategies in the lab can reuse it. There are no leads worth carrying forward. The Utilities result and the five-day hold are exploratory outputs from many comparisons, neither survives costs, and acting on either would be data snooping.</w:t>
      </w:r>
    </w:p>
    <w:p>
      <w:pPr>
        <w:spacing w:after="240"/>
      </w:pPr>
      <w:r>
        <w:rPr>
          <w:rFonts w:ascii="Times New Roman" w:cs="Times New Roman" w:eastAsia="Times New Roman" w:hAnsi="Times New Roman"/>
          <w:sz w:val="24"/>
          <w:szCs w:val="24"/>
        </w:rPr>
        <w:t xml:space="preserve">If I did this again, I would change the question rather than rescue this one. Some extensions I would add:</w:t>
      </w:r>
    </w:p>
    <w:p>
      <w:pPr>
        <w:pStyle w:val="ListParagraph"/>
        <w:numPr>
          <w:ilvl w:val="0"/>
          <w:numId w:val="2"/>
        </w:numPr>
        <w:spacing w:after="80"/>
      </w:pPr>
      <w:r>
        <w:rPr>
          <w:rFonts w:ascii="Times New Roman" w:cs="Times New Roman" w:eastAsia="Times New Roman" w:hAnsi="Times New Roman"/>
          <w:b/>
          <w:bCs/>
          <w:sz w:val="24"/>
          <w:szCs w:val="24"/>
        </w:rPr>
        <w:t xml:space="preserve">Realistic execution:</w:t>
      </w:r>
      <w:r>
        <w:rPr>
          <w:rFonts w:ascii="Times New Roman" w:cs="Times New Roman" w:eastAsia="Times New Roman" w:hAnsi="Times New Roman"/>
          <w:sz w:val="24"/>
          <w:szCs w:val="24"/>
        </w:rPr>
        <w:t xml:space="preserve"> an intraday execution check of the open fills, with a spread and market-impact model, and a borrow-cost model by stock instead of a flat 50 basis points.</w:t>
      </w:r>
    </w:p>
    <w:p>
      <w:pPr>
        <w:pStyle w:val="ListParagraph"/>
        <w:numPr>
          <w:ilvl w:val="0"/>
          <w:numId w:val="2"/>
        </w:numPr>
        <w:spacing w:after="80"/>
      </w:pPr>
      <w:r>
        <w:rPr>
          <w:rFonts w:ascii="Times New Roman" w:cs="Times New Roman" w:eastAsia="Times New Roman" w:hAnsi="Times New Roman"/>
          <w:b/>
          <w:bCs/>
          <w:sz w:val="24"/>
          <w:szCs w:val="24"/>
        </w:rPr>
        <w:t xml:space="preserve">Better data:</w:t>
      </w:r>
      <w:r>
        <w:rPr>
          <w:rFonts w:ascii="Times New Roman" w:cs="Times New Roman" w:eastAsia="Times New Roman" w:hAnsi="Times New Roman"/>
          <w:sz w:val="24"/>
          <w:szCs w:val="24"/>
        </w:rPr>
        <w:t xml:space="preserve"> a re-run on a survivorship-free source such as Bloomberg or WRDS, with delisting returns and historical sector classifications, to remove the biggest data limits.</w:t>
      </w:r>
    </w:p>
    <w:p>
      <w:pPr>
        <w:pStyle w:val="ListParagraph"/>
        <w:numPr>
          <w:ilvl w:val="0"/>
          <w:numId w:val="2"/>
        </w:numPr>
        <w:spacing w:after="80"/>
      </w:pPr>
      <w:r>
        <w:rPr>
          <w:rFonts w:ascii="Times New Roman" w:cs="Times New Roman" w:eastAsia="Times New Roman" w:hAnsi="Times New Roman"/>
          <w:b/>
          <w:bCs/>
          <w:sz w:val="24"/>
          <w:szCs w:val="24"/>
        </w:rPr>
        <w:t xml:space="preserve">Lower turnover:</w:t>
      </w:r>
      <w:r>
        <w:rPr>
          <w:rFonts w:ascii="Times New Roman" w:cs="Times New Roman" w:eastAsia="Times New Roman" w:hAnsi="Times New Roman"/>
          <w:sz w:val="24"/>
          <w:szCs w:val="24"/>
        </w:rPr>
        <w:t xml:space="preserve"> a separate, pre-registered study of longer holds or a stronger threshold, treated as a new hypothesis on a new holdout, not a tweak to this one.</w:t>
      </w:r>
    </w:p>
    <w:p>
      <w:pPr>
        <w:pStyle w:val="ListParagraph"/>
        <w:numPr>
          <w:ilvl w:val="0"/>
          <w:numId w:val="2"/>
        </w:numPr>
        <w:spacing w:after="80"/>
      </w:pPr>
      <w:r>
        <w:rPr>
          <w:rFonts w:ascii="Times New Roman" w:cs="Times New Roman" w:eastAsia="Times New Roman" w:hAnsi="Times New Roman"/>
          <w:b/>
          <w:bCs/>
          <w:sz w:val="24"/>
          <w:szCs w:val="24"/>
        </w:rPr>
        <w:t xml:space="preserve">Combination with other signals:</w:t>
      </w:r>
      <w:r>
        <w:rPr>
          <w:rFonts w:ascii="Times New Roman" w:cs="Times New Roman" w:eastAsia="Times New Roman" w:hAnsi="Times New Roman"/>
          <w:sz w:val="24"/>
          <w:szCs w:val="24"/>
        </w:rPr>
        <w:t xml:space="preserve"> testing whether a residual-reversal signal adds anything on top of my news-sentiment work, on the shared holdout calendar.</w:t>
      </w:r>
    </w:p>
    <w:p>
      <w:pPr>
        <w:pStyle w:val="ListParagraph"/>
        <w:numPr>
          <w:ilvl w:val="0"/>
          <w:numId w:val="2"/>
        </w:numPr>
        <w:spacing w:after="80"/>
      </w:pPr>
      <w:r>
        <w:rPr>
          <w:rFonts w:ascii="Times New Roman" w:cs="Times New Roman" w:eastAsia="Times New Roman" w:hAnsi="Times New Roman"/>
          <w:b/>
          <w:bCs/>
          <w:sz w:val="24"/>
          <w:szCs w:val="24"/>
        </w:rPr>
        <w:t xml:space="preserve">Longer sample:</w:t>
      </w:r>
      <w:r>
        <w:rPr>
          <w:rFonts w:ascii="Times New Roman" w:cs="Times New Roman" w:eastAsia="Times New Roman" w:hAnsi="Times New Roman"/>
          <w:sz w:val="24"/>
          <w:szCs w:val="24"/>
        </w:rPr>
        <w:t xml:space="preserve"> a longer holdout, which would raise the power above a minimum detectable Sharpe of 1.19.</w:t>
      </w:r>
    </w:p>
    <w:p>
      <w:pPr>
        <w:spacing w:after="120"/>
      </w:pPr>
    </w:p>
    <w:p>
      <w:pPr>
        <w:spacing w:after="240"/>
      </w:pPr>
      <w:r>
        <w:rPr>
          <w:rFonts w:ascii="Times New Roman" w:cs="Times New Roman" w:eastAsia="Times New Roman" w:hAnsi="Times New Roman"/>
          <w:sz w:val="24"/>
          <w:szCs w:val="24"/>
        </w:rPr>
        <w:t xml:space="preserve">The result is reported as a clean negative, with the same weight as a successful one.</w:t>
      </w:r>
    </w:p>
    <w:p>
      <w:pPr>
        <w:pStyle w:val="Heading1"/>
      </w:pPr>
      <w:r>
        <w:rPr>
          <w:rFonts w:ascii="Times New Roman" w:cs="Times New Roman" w:eastAsia="Times New Roman" w:hAnsi="Times New Roman"/>
        </w:rPr>
        <w:t xml:space="preserve">References</w:t>
      </w:r>
    </w:p>
    <w:p>
      <w:pPr>
        <w:pStyle w:val="ListParagraph"/>
        <w:numPr>
          <w:ilvl w:val="0"/>
          <w:numId w:val="2"/>
        </w:numPr>
        <w:spacing w:after="80"/>
      </w:pPr>
      <w:r>
        <w:rPr>
          <w:rFonts w:ascii="Times New Roman" w:cs="Times New Roman" w:eastAsia="Times New Roman" w:hAnsi="Times New Roman"/>
          <w:sz w:val="24"/>
          <w:szCs w:val="24"/>
        </w:rPr>
        <w:t xml:space="preserve">Avellaneda, M. and Lee, J.-H. (2010). Statistical arbitrage in the US equities market. Quantitative Finance, 10(7). [verify details]</w:t>
      </w:r>
    </w:p>
    <w:p>
      <w:pPr>
        <w:pStyle w:val="ListParagraph"/>
        <w:numPr>
          <w:ilvl w:val="0"/>
          <w:numId w:val="2"/>
        </w:numPr>
        <w:spacing w:after="80"/>
      </w:pPr>
      <w:r>
        <w:rPr>
          <w:rFonts w:ascii="Times New Roman" w:cs="Times New Roman" w:eastAsia="Times New Roman" w:hAnsi="Times New Roman"/>
          <w:sz w:val="24"/>
          <w:szCs w:val="24"/>
        </w:rPr>
        <w:t xml:space="preserve">Fama, E. and MacBeth, J. (1973). Risk, return, and equilibrium: empirical tests. Journal of Political Economy, 81(3). [verify details]</w:t>
      </w:r>
    </w:p>
    <w:p>
      <w:pPr>
        <w:pStyle w:val="ListParagraph"/>
        <w:numPr>
          <w:ilvl w:val="0"/>
          <w:numId w:val="2"/>
        </w:numPr>
        <w:spacing w:after="80"/>
      </w:pPr>
      <w:r>
        <w:rPr>
          <w:rFonts w:ascii="Times New Roman" w:cs="Times New Roman" w:eastAsia="Times New Roman" w:hAnsi="Times New Roman"/>
          <w:sz w:val="24"/>
          <w:szCs w:val="24"/>
        </w:rPr>
        <w:t xml:space="preserve">Jegadeesh, N. (1990). Evidence of predictable behavior of security returns. Journal of Finance, 45(3). [verify details]</w:t>
      </w:r>
    </w:p>
    <w:p>
      <w:pPr>
        <w:pStyle w:val="ListParagraph"/>
        <w:numPr>
          <w:ilvl w:val="0"/>
          <w:numId w:val="2"/>
        </w:numPr>
        <w:spacing w:after="80"/>
      </w:pPr>
      <w:r>
        <w:rPr>
          <w:rFonts w:ascii="Times New Roman" w:cs="Times New Roman" w:eastAsia="Times New Roman" w:hAnsi="Times New Roman"/>
          <w:sz w:val="24"/>
          <w:szCs w:val="24"/>
        </w:rPr>
        <w:t xml:space="preserve">Lehmann, B. (1990). Fads, martingales, and market efficiency. Quarterly Journal of Economics, 105(1). [verify details]</w:t>
      </w:r>
    </w:p>
    <w:p>
      <w:pPr>
        <w:pStyle w:val="ListParagraph"/>
        <w:numPr>
          <w:ilvl w:val="0"/>
          <w:numId w:val="2"/>
        </w:numPr>
        <w:spacing w:after="80"/>
      </w:pPr>
      <w:r>
        <w:rPr>
          <w:rFonts w:ascii="Times New Roman" w:cs="Times New Roman" w:eastAsia="Times New Roman" w:hAnsi="Times New Roman"/>
          <w:sz w:val="24"/>
          <w:szCs w:val="24"/>
        </w:rPr>
        <w:t xml:space="preserve">Nagel, S. (2012). Evaporating liquidity. Review of Financial Studies, 25(7). [verify details]</w:t>
      </w:r>
    </w:p>
    <w:p>
      <w:pPr>
        <w:pStyle w:val="ListParagraph"/>
        <w:numPr>
          <w:ilvl w:val="0"/>
          <w:numId w:val="2"/>
        </w:numPr>
        <w:spacing w:after="80"/>
      </w:pPr>
      <w:r>
        <w:rPr>
          <w:rFonts w:ascii="Times New Roman" w:cs="Times New Roman" w:eastAsia="Times New Roman" w:hAnsi="Times New Roman"/>
          <w:sz w:val="24"/>
          <w:szCs w:val="24"/>
        </w:rPr>
        <w:t xml:space="preserve">Newey, W. and West, K. (1987). A simple, positive semi-definite, heteroskedasticity and autocorrelation consistent covariance matrix. Econometrica, 55(3). [verify details]</w:t>
      </w:r>
    </w:p>
    <w:p>
      <w:pPr>
        <w:pStyle w:val="ListParagraph"/>
        <w:numPr>
          <w:ilvl w:val="0"/>
          <w:numId w:val="2"/>
        </w:numPr>
        <w:spacing w:after="80"/>
      </w:pPr>
      <w:r>
        <w:rPr>
          <w:rFonts w:ascii="Times New Roman" w:cs="Times New Roman" w:eastAsia="Times New Roman" w:hAnsi="Times New Roman"/>
          <w:sz w:val="24"/>
          <w:szCs w:val="24"/>
        </w:rPr>
        <w:t xml:space="preserve">Politis, D. and Romano, J. (1994). The stationary bootstrap. Journal of the American Statistical Association, 89(428). [verify details]</w:t>
      </w:r>
    </w:p>
    <w:p>
      <w:pPr>
        <w:pStyle w:val="ListParagraph"/>
        <w:numPr>
          <w:ilvl w:val="0"/>
          <w:numId w:val="2"/>
        </w:numPr>
        <w:spacing w:after="80"/>
      </w:pPr>
      <w:r>
        <w:rPr>
          <w:rFonts w:ascii="Times New Roman" w:cs="Times New Roman" w:eastAsia="Times New Roman" w:hAnsi="Times New Roman"/>
          <w:sz w:val="24"/>
          <w:szCs w:val="24"/>
        </w:rPr>
        <w:t xml:space="preserve">Wikipedia. List of S&amp;P 500 companies and Historical components of the S&amp;P 500 (accessed October 2026).</w:t>
      </w:r>
    </w:p>
    <w:p>
      <w:pPr>
        <w:pStyle w:val="ListParagraph"/>
        <w:numPr>
          <w:ilvl w:val="0"/>
          <w:numId w:val="2"/>
        </w:numPr>
        <w:spacing w:after="80"/>
      </w:pPr>
      <w:r>
        <w:rPr>
          <w:rFonts w:ascii="Times New Roman" w:cs="Times New Roman" w:eastAsia="Times New Roman" w:hAnsi="Times New Roman"/>
          <w:sz w:val="24"/>
          <w:szCs w:val="24"/>
        </w:rPr>
        <w:t xml:space="preserve">Yahoo Finance via yfinance. Daily price data (accessed October 2026).</w:t>
      </w:r>
    </w:p>
    <w:p>
      <w:pPr>
        <w:spacing w:after="12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240"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Times New Roman" w:cs="Times New Roman" w:eastAsia="Times New Roman" w:hAnsi="Times New Roman"/>
      <w:color w:val="0F4761"/>
      <w:sz w:val="40"/>
      <w:szCs w:val="4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color w:val="0F4761"/>
      <w:sz w:val="32"/>
      <w:szCs w:val="32"/>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color w:val="0F4761"/>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97dd9f634586dd9c166a30a73aaa8e9eef11b00.png"/><Relationship Id="rId9" Type="http://schemas.openxmlformats.org/officeDocument/2006/relationships/image" Target="media/25010f3f6e87550759656d8e373803c4c2343cba.png"/><Relationship Id="rId10" Type="http://schemas.openxmlformats.org/officeDocument/2006/relationships/image" Target="media/de28a2c405f4076ba52f09f1e166d79cfa7c7e3d.png"/><Relationship Id="rId11" Type="http://schemas.openxmlformats.org/officeDocument/2006/relationships/image" Target="media/127d9bf947023216526fd9106bf1c033620bc83a.png"/><Relationship Id="rId12" Type="http://schemas.openxmlformats.org/officeDocument/2006/relationships/image" Target="media/9741c2154c1ade1b6e1a521f678fe066d29b10df.png"/><Relationship Id="rId13" Type="http://schemas.openxmlformats.org/officeDocument/2006/relationships/image" Target="media/e8c2973c5ca617bf018228602f600f7bb5263b1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Sector Residual Reversion</dc:title>
  <dc:creator>Nakul Pillai</dc:creator>
  <cp:lastModifiedBy>Un-named</cp:lastModifiedBy>
  <cp:revision>1</cp:revision>
  <dcterms:created xsi:type="dcterms:W3CDTF">2026-10-29T13:15:54.012Z</dcterms:created>
  <dcterms:modified xsi:type="dcterms:W3CDTF">2026-10-29T13:15:54.012Z</dcterms:modified>
</cp:coreProperties>
</file>

<file path=docProps/custom.xml><?xml version="1.0" encoding="utf-8"?>
<Properties xmlns="http://schemas.openxmlformats.org/officeDocument/2006/custom-properties" xmlns:vt="http://schemas.openxmlformats.org/officeDocument/2006/docPropsVTypes"/>
</file>