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color w:val="1F4E79"/>
          <w:sz w:val="52"/>
        </w:rPr>
        <w:t>AMAZON SALES INTELLIGENCE</w:t>
      </w:r>
    </w:p>
    <w:p>
      <w:pPr>
        <w:spacing w:after="360"/>
        <w:jc w:val="center"/>
      </w:pPr>
      <w:r>
        <w:rPr>
          <w:b/>
          <w:i w:val="0"/>
          <w:color w:val="1F4E79"/>
          <w:sz w:val="48"/>
        </w:rPr>
        <w:t>&amp; AI DEMAND FORECASTING SYSTEM</w:t>
      </w:r>
    </w:p>
    <w:p>
      <w:pPr>
        <w:spacing w:after="120"/>
        <w:jc w:val="center"/>
      </w:pPr>
      <w:r>
        <w:rPr>
          <w:b w:val="0"/>
          <w:i w:val="0"/>
          <w:color w:val="444444"/>
          <w:sz w:val="32"/>
        </w:rPr>
        <w:t>Project Report</w:t>
      </w:r>
    </w:p>
    <w:p>
      <w:pPr>
        <w:spacing w:after="120"/>
        <w:jc w:val="center"/>
      </w:pPr>
      <w:r>
        <w:rPr>
          <w:b w:val="0"/>
          <w:i w:val="0"/>
          <w:color w:val="555555"/>
          <w:sz w:val="24"/>
        </w:rPr>
        <w:t>IBM Internship Project  |  Academic Year 2024</w:t>
      </w:r>
    </w:p>
    <w:p>
      <w:pPr>
        <w:spacing w:after="800"/>
        <w:jc w:val="center"/>
      </w:pPr>
      <w:r>
        <w:rPr>
          <w:b w:val="0"/>
          <w:i w:val="0"/>
          <w:color w:val="777777"/>
          <w:sz w:val="22"/>
        </w:rPr>
        <w:t>Python  .  Streamlit  .  Pandas  .  NumPy  .  Plotly  .  Scikit-learn</w:t>
      </w:r>
    </w:p>
    <w:p>
      <w:pPr>
        <w:spacing w:after="80"/>
        <w:jc w:val="center"/>
      </w:pPr>
      <w:r>
        <w:rPr>
          <w:b w:val="0"/>
          <w:i w:val="0"/>
          <w:color w:val="777777"/>
          <w:sz w:val="22"/>
        </w:rPr>
        <w:t>Dataset: Amazon Sale Report.csv  |  128,975 rows  |  91 days  |  March - June 2022</w:t>
      </w:r>
    </w:p>
    <w:p>
      <w:pPr>
        <w:spacing w:after="720"/>
        <w:jc w:val="center"/>
      </w:pPr>
      <w:r>
        <w:rPr>
          <w:b w:val="0"/>
          <w:i w:val="0"/>
          <w:color w:val="777777"/>
          <w:sz w:val="20"/>
        </w:rPr>
        <w:t>Source: Kaggle -- Amazon Sale Report</w:t>
      </w:r>
    </w:p>
    <w:p>
      <w:pPr>
        <w:spacing w:after="80"/>
        <w:jc w:val="center"/>
      </w:pPr>
      <w:r>
        <w:rPr>
          <w:b w:val="0"/>
          <w:i w:val="0"/>
          <w:color w:val="777777"/>
          <w:sz w:val="22"/>
        </w:rPr>
        <w:t>Submitted by</w:t>
      </w:r>
    </w:p>
    <w:p>
      <w:pPr>
        <w:spacing w:after="80"/>
        <w:jc w:val="center"/>
      </w:pPr>
      <w:r>
        <w:rPr>
          <w:b/>
          <w:i w:val="0"/>
          <w:color w:val="1F4E79"/>
          <w:sz w:val="34"/>
        </w:rPr>
        <w:t>Nakul Mehra</w:t>
      </w:r>
    </w:p>
    <w:p>
      <w:pPr>
        <w:spacing w:after="80"/>
        <w:jc w:val="center"/>
      </w:pPr>
      <w:r>
        <w:rPr>
          <w:b w:val="0"/>
          <w:i w:val="0"/>
          <w:color w:val="333333"/>
          <w:sz w:val="24"/>
        </w:rPr>
        <w:t>Course: MCA</w:t>
      </w:r>
    </w:p>
    <w:p>
      <w:pPr>
        <w:spacing w:after="80"/>
        <w:jc w:val="center"/>
      </w:pPr>
      <w:r>
        <w:rPr>
          <w:b/>
          <w:i w:val="0"/>
          <w:color w:val="2E74B5"/>
          <w:sz w:val="26"/>
        </w:rPr>
        <w:t>Tula's Institute</w:t>
      </w:r>
    </w:p>
    <w:p>
      <w:pPr>
        <w:spacing w:after="80"/>
        <w:jc w:val="center"/>
      </w:pPr>
      <w:r>
        <w:rPr>
          <w:b w:val="0"/>
          <w:i w:val="0"/>
          <w:color w:val="777777"/>
          <w:sz w:val="22"/>
        </w:rPr>
        <w:t>IBM Internship Project  |  2024</w:t>
      </w:r>
    </w:p>
    <w:p>
      <w:r>
        <w:br w:type="page"/>
      </w:r>
    </w:p>
    <w:p>
      <w:pPr>
        <w:pStyle w:val="Heading1"/>
      </w:pPr>
      <w:r>
        <w:rPr>
          <w:color w:val="1F4E79"/>
          <w:sz w:val="32"/>
        </w:rPr>
        <w:t>1. Abstract</w:t>
      </w:r>
    </w:p>
    <w:p>
      <w:pPr>
        <w:spacing w:after="160"/>
      </w:pPr>
      <w:r>
        <w:rPr>
          <w:b w:val="0"/>
          <w:i w:val="0"/>
          <w:sz w:val="22"/>
        </w:rPr>
        <w:t>This project presents the design, development, and deployment of a professional data analytics and AI-powered business intelligence dashboard titled "Amazon Sales Intelligence &amp; AI Demand Forecasting System." The system ingests a real-world Amazon India e-commerce dataset comprising 128,975 transaction records spanning approximately 91 days (March 31 to June 29, 2022). The application is built entirely in Python using Streamlit as the frontend framework, Pandas and NumPy for data processing, Plotly for interactive visualisations, and Scikit-learn for machine learning.</w:t>
      </w:r>
    </w:p>
    <w:p>
      <w:pPr>
        <w:spacing w:after="320"/>
      </w:pPr>
      <w:r>
        <w:rPr>
          <w:b w:val="0"/>
          <w:i w:val="0"/>
          <w:sz w:val="22"/>
        </w:rPr>
        <w:t>The dashboard encompasses eight functional modules: Executive Overview, Data Quality Analysis, Sales Analytics, Geographic Analytics, Order &amp; Fulfilment Analytics, Product Analytics, AI Demand Forecasting, and AI Business Insights. The forecasting module employs Random Forest and Gradient Boosting regression models trained on engineered time-series features derived from historical daily quantity data. The system automatically generates 12 data-driven business insights and a prioritised recommendation table, all computed dynamically from the live dataset without any hardcoded analytical results.</w:t>
      </w:r>
    </w:p>
    <w:p>
      <w:pPr>
        <w:pStyle w:val="Heading1"/>
      </w:pPr>
      <w:r>
        <w:rPr>
          <w:color w:val="1F4E79"/>
          <w:sz w:val="32"/>
        </w:rPr>
        <w:t>2. Introduction</w:t>
      </w:r>
    </w:p>
    <w:p>
      <w:pPr>
        <w:spacing w:after="160"/>
      </w:pPr>
      <w:r>
        <w:rPr>
          <w:b w:val="0"/>
          <w:i w:val="0"/>
          <w:sz w:val="22"/>
        </w:rPr>
        <w:t>E-commerce platforms generate vast volumes of transactional data that, if properly analysed, can yield significant competitive advantages. Amazon India is one of the largest online marketplaces in South Asia, and understanding sales patterns, geographic demand distribution, product performance, and fulfilment efficiency is critical for sellers, category managers, and supply-chain planners.</w:t>
      </w:r>
    </w:p>
    <w:p>
      <w:pPr>
        <w:spacing w:after="160"/>
      </w:pPr>
      <w:r>
        <w:rPr>
          <w:b w:val="0"/>
          <w:i w:val="0"/>
          <w:sz w:val="22"/>
        </w:rPr>
        <w:t>This project addresses the need for a centralised, interactive, and intelligent business intelligence tool that transforms raw sales records into actionable insights. The application goes beyond static reporting by incorporating machine learning to forecast future product demand, enabling data-driven inventory planning and promotional strategy.</w:t>
      </w:r>
    </w:p>
    <w:p>
      <w:pPr>
        <w:spacing w:after="320"/>
      </w:pPr>
      <w:r>
        <w:rPr>
          <w:b w:val="0"/>
          <w:i w:val="0"/>
          <w:sz w:val="22"/>
        </w:rPr>
        <w:t>The project was developed as part of the IBM Internship Programme and demonstrates proficiency across the full data science and software engineering stack: data ingestion, cleaning, exploratory analysis, visualisation, machine learning, and interactive UI development.</w:t>
      </w:r>
    </w:p>
    <w:p>
      <w:pPr>
        <w:pStyle w:val="Heading1"/>
      </w:pPr>
      <w:r>
        <w:rPr>
          <w:color w:val="1F4E79"/>
          <w:sz w:val="32"/>
        </w:rPr>
        <w:t>3. Problem Statement</w:t>
      </w:r>
    </w:p>
    <w:p>
      <w:pPr>
        <w:spacing w:after="160"/>
      </w:pPr>
      <w:r>
        <w:rPr>
          <w:b w:val="0"/>
          <w:i w:val="0"/>
          <w:sz w:val="22"/>
        </w:rPr>
        <w:t>Amazon sellers and category managers working with large transaction datasets often lack accessible tools to:</w:t>
      </w:r>
    </w:p>
    <w:p>
      <w:pPr>
        <w:pStyle w:val="ListBullet"/>
        <w:spacing w:after="80"/>
      </w:pPr>
      <w:r>
        <w:rPr>
          <w:sz w:val="22"/>
        </w:rPr>
        <w:t>Rapidly assess overall business health (revenue, orders, cancellations) from a single dashboard.</w:t>
      </w:r>
    </w:p>
    <w:p>
      <w:pPr>
        <w:pStyle w:val="ListBullet"/>
        <w:spacing w:after="80"/>
      </w:pPr>
      <w:r>
        <w:rPr>
          <w:sz w:val="22"/>
        </w:rPr>
        <w:t>Understand which products, categories, sizes, and regions drive the most revenue.</w:t>
      </w:r>
    </w:p>
    <w:p>
      <w:pPr>
        <w:pStyle w:val="ListBullet"/>
        <w:spacing w:after="80"/>
      </w:pPr>
      <w:r>
        <w:rPr>
          <w:sz w:val="22"/>
        </w:rPr>
        <w:t>Identify quality issues in raw data (missing values, inconsistencies, outliers) that could distort analysis.</w:t>
      </w:r>
    </w:p>
    <w:p>
      <w:pPr>
        <w:pStyle w:val="ListBullet"/>
        <w:spacing w:after="80"/>
      </w:pPr>
      <w:r>
        <w:rPr>
          <w:sz w:val="22"/>
        </w:rPr>
        <w:t>Forecast future demand for individual categories to optimise stock replenishment.</w:t>
      </w:r>
    </w:p>
    <w:p>
      <w:pPr>
        <w:pStyle w:val="ListBullet"/>
        <w:spacing w:after="80"/>
      </w:pPr>
      <w:r>
        <w:rPr>
          <w:sz w:val="22"/>
        </w:rPr>
        <w:t>Derive data-driven recommendations without manual statistical analysis.</w:t>
      </w:r>
    </w:p>
    <w:p>
      <w:pPr>
        <w:spacing w:after="320"/>
      </w:pPr>
      <w:r>
        <w:rPr>
          <w:b w:val="0"/>
          <w:i w:val="0"/>
          <w:sz w:val="22"/>
        </w:rPr>
        <w:t>Existing spreadsheet tools are inadequate for datasets of ~129,000 rows and do not support interactive filtering, real-time aggregation, or machine learning forecasting. This project solves all five problems in a single Python application.</w:t>
      </w:r>
    </w:p>
    <w:p>
      <w:pPr>
        <w:pStyle w:val="Heading1"/>
      </w:pPr>
      <w:r>
        <w:rPr>
          <w:color w:val="1F4E79"/>
          <w:sz w:val="32"/>
        </w:rPr>
        <w:t>4. Objectives</w:t>
      </w:r>
    </w:p>
    <w:p>
      <w:pPr>
        <w:pStyle w:val="ListBullet"/>
        <w:spacing w:after="80"/>
      </w:pPr>
      <w:r>
        <w:rPr>
          <w:sz w:val="22"/>
        </w:rPr>
        <w:t>Perform a comprehensive data quality audit of the raw Amazon Sales dataset.</w:t>
      </w:r>
    </w:p>
    <w:p>
      <w:pPr>
        <w:pStyle w:val="ListBullet"/>
        <w:spacing w:after="80"/>
      </w:pPr>
      <w:r>
        <w:rPr>
          <w:sz w:val="22"/>
        </w:rPr>
        <w:t>Design and implement a robust data cleaning and preprocessing pipeline.</w:t>
      </w:r>
    </w:p>
    <w:p>
      <w:pPr>
        <w:pStyle w:val="ListBullet"/>
        <w:spacing w:after="80"/>
      </w:pPr>
      <w:r>
        <w:rPr>
          <w:sz w:val="22"/>
        </w:rPr>
        <w:t>Build an interactive multi-page dashboard with global filtering capabilities.</w:t>
      </w:r>
    </w:p>
    <w:p>
      <w:pPr>
        <w:pStyle w:val="ListBullet"/>
        <w:spacing w:after="80"/>
      </w:pPr>
      <w:r>
        <w:rPr>
          <w:sz w:val="22"/>
        </w:rPr>
        <w:t>Visualise sales performance across time, category, size, geography, and product dimensions.</w:t>
      </w:r>
    </w:p>
    <w:p>
      <w:pPr>
        <w:pStyle w:val="ListBullet"/>
        <w:spacing w:after="80"/>
      </w:pPr>
      <w:r>
        <w:rPr>
          <w:sz w:val="22"/>
        </w:rPr>
        <w:t>Analyse order fulfilment efficiency and identify cancellation drivers.</w:t>
      </w:r>
    </w:p>
    <w:p>
      <w:pPr>
        <w:pStyle w:val="ListBullet"/>
        <w:spacing w:after="80"/>
      </w:pPr>
      <w:r>
        <w:rPr>
          <w:sz w:val="22"/>
        </w:rPr>
        <w:t>Train and evaluate machine learning models for demand forecasting.</w:t>
      </w:r>
    </w:p>
    <w:p>
      <w:pPr>
        <w:pStyle w:val="ListBullet"/>
        <w:spacing w:after="80"/>
      </w:pPr>
      <w:r>
        <w:rPr>
          <w:sz w:val="22"/>
        </w:rPr>
        <w:t>Generate automated, data-driven business insights and recommendations.</w:t>
      </w:r>
    </w:p>
    <w:p>
      <w:pPr>
        <w:pStyle w:val="ListBullet"/>
        <w:spacing w:after="80"/>
      </w:pPr>
      <w:r>
        <w:rPr>
          <w:sz w:val="22"/>
        </w:rPr>
        <w:t>Package the application as a professional, internship-quality deliverable.</w:t>
      </w:r>
    </w:p>
    <w:p/>
    <w:p>
      <w:pPr>
        <w:pStyle w:val="Heading1"/>
      </w:pPr>
      <w:r>
        <w:rPr>
          <w:color w:val="1F4E79"/>
          <w:sz w:val="32"/>
        </w:rPr>
        <w:t>5. Scope of the Project</w:t>
      </w:r>
    </w:p>
    <w:p>
      <w:pPr>
        <w:spacing w:after="80"/>
      </w:pPr>
      <w:r>
        <w:rPr>
          <w:b/>
          <w:i w:val="0"/>
          <w:sz w:val="22"/>
        </w:rPr>
        <w:t>In Scope:</w:t>
      </w:r>
    </w:p>
    <w:p>
      <w:pPr>
        <w:pStyle w:val="ListBullet"/>
        <w:spacing w:after="80"/>
      </w:pPr>
      <w:r>
        <w:rPr>
          <w:sz w:val="22"/>
        </w:rPr>
        <w:t>Analysis of the provided Amazon Sale Report.csv dataset (128,975 rows, 91 days).</w:t>
      </w:r>
    </w:p>
    <w:p>
      <w:pPr>
        <w:pStyle w:val="ListBullet"/>
        <w:spacing w:after="80"/>
      </w:pPr>
      <w:r>
        <w:rPr>
          <w:sz w:val="22"/>
        </w:rPr>
        <w:t>Eight interactive dashboard modules accessible via sidebar navigation.</w:t>
      </w:r>
    </w:p>
    <w:p>
      <w:pPr>
        <w:pStyle w:val="ListBullet"/>
        <w:spacing w:after="80"/>
      </w:pPr>
      <w:r>
        <w:rPr>
          <w:sz w:val="22"/>
        </w:rPr>
        <w:t>Machine learning demand forecasting at overall and category level.</w:t>
      </w:r>
    </w:p>
    <w:p>
      <w:pPr>
        <w:pStyle w:val="ListBullet"/>
        <w:spacing w:after="80"/>
      </w:pPr>
      <w:r>
        <w:rPr>
          <w:sz w:val="22"/>
        </w:rPr>
        <w:t>Auto-generated business insights derived entirely from the dataset.</w:t>
      </w:r>
    </w:p>
    <w:p>
      <w:pPr>
        <w:pStyle w:val="ListBullet"/>
        <w:spacing w:after="80"/>
      </w:pPr>
      <w:r>
        <w:rPr>
          <w:sz w:val="22"/>
        </w:rPr>
        <w:t>Global filters: date range, category, fulfilment type, order type (B2B/B2C).</w:t>
      </w:r>
    </w:p>
    <w:p>
      <w:pPr>
        <w:spacing w:after="80"/>
      </w:pPr>
      <w:r>
        <w:rPr>
          <w:b/>
          <w:i w:val="0"/>
          <w:sz w:val="22"/>
        </w:rPr>
        <w:t>Out of Scope:</w:t>
      </w:r>
    </w:p>
    <w:p>
      <w:pPr>
        <w:pStyle w:val="ListBullet"/>
        <w:spacing w:after="80"/>
      </w:pPr>
      <w:r>
        <w:rPr>
          <w:sz w:val="22"/>
        </w:rPr>
        <w:t>Real-time data ingestion or API integration with Amazon Seller Central.</w:t>
      </w:r>
    </w:p>
    <w:p>
      <w:pPr>
        <w:pStyle w:val="ListBullet"/>
        <w:spacing w:after="80"/>
      </w:pPr>
      <w:r>
        <w:rPr>
          <w:sz w:val="22"/>
        </w:rPr>
        <w:t>Inventory management or procurement module (no inventory data).</w:t>
      </w:r>
    </w:p>
    <w:p>
      <w:pPr>
        <w:pStyle w:val="ListBullet"/>
        <w:spacing w:after="80"/>
      </w:pPr>
      <w:r>
        <w:rPr>
          <w:sz w:val="22"/>
        </w:rPr>
        <w:t>Customer-level analysis (no customer ID in dataset).</w:t>
      </w:r>
    </w:p>
    <w:p>
      <w:pPr>
        <w:pStyle w:val="ListBullet"/>
        <w:spacing w:after="80"/>
      </w:pPr>
      <w:r>
        <w:rPr>
          <w:sz w:val="22"/>
        </w:rPr>
        <w:t>Profit/margin analysis (no cost data in dataset).</w:t>
      </w:r>
    </w:p>
    <w:p>
      <w:pPr>
        <w:pStyle w:val="ListBullet"/>
        <w:spacing w:after="80"/>
      </w:pPr>
      <w:r>
        <w:rPr>
          <w:sz w:val="22"/>
        </w:rPr>
        <w:t>Multi-seller or multi-marketplace comparison.</w:t>
      </w:r>
    </w:p>
    <w:p/>
    <w:p>
      <w:r>
        <w:br w:type="page"/>
      </w:r>
    </w:p>
    <w:p>
      <w:pPr>
        <w:pStyle w:val="Heading1"/>
      </w:pPr>
      <w:r>
        <w:rPr>
          <w:color w:val="1F4E79"/>
          <w:sz w:val="32"/>
        </w:rPr>
        <w:t>6. Dataset Source</w:t>
      </w:r>
    </w:p>
    <w:tbl>
      <w:tblPr>
        <w:tblStyle w:val="TableGrid"/>
        <w:tblW w:type="auto" w:w="0"/>
        <w:tblLook w:firstColumn="1" w:firstRow="1" w:lastColumn="0" w:lastRow="0" w:noHBand="0" w:noVBand="1" w:val="04A0"/>
      </w:tblPr>
      <w:tblGrid>
        <w:gridCol w:w="4561"/>
        <w:gridCol w:w="4561"/>
      </w:tblGrid>
      <w:tr>
        <w:tc>
          <w:tcPr>
            <w:tcW w:type="dxa" w:w="2880"/>
            <w:shd w:fill="1F4E79" w:color="FFFFFF" w:val="clear"/>
          </w:tcPr>
          <w:p>
            <w:r>
              <w:rPr>
                <w:b/>
                <w:color w:val="FFFFFF"/>
                <w:sz w:val="20"/>
              </w:rPr>
              <w:t>Property</w:t>
            </w:r>
          </w:p>
        </w:tc>
        <w:tc>
          <w:tcPr>
            <w:tcW w:type="dxa" w:w="5760"/>
            <w:shd w:fill="1F4E79" w:color="FFFFFF" w:val="clear"/>
          </w:tcPr>
          <w:p>
            <w:r>
              <w:rPr>
                <w:b/>
                <w:color w:val="FFFFFF"/>
                <w:sz w:val="20"/>
              </w:rPr>
              <w:t>Value</w:t>
            </w:r>
          </w:p>
        </w:tc>
      </w:tr>
      <w:tr>
        <w:tc>
          <w:tcPr>
            <w:tcW w:type="dxa" w:w="2880"/>
            <w:shd w:fill="EBF3FB" w:val="clear"/>
          </w:tcPr>
          <w:p>
            <w:r>
              <w:rPr>
                <w:sz w:val="20"/>
              </w:rPr>
              <w:t>File name</w:t>
            </w:r>
          </w:p>
        </w:tc>
        <w:tc>
          <w:tcPr>
            <w:tcW w:type="dxa" w:w="5760"/>
            <w:shd w:fill="EBF3FB" w:val="clear"/>
          </w:tcPr>
          <w:p>
            <w:r>
              <w:rPr>
                <w:sz w:val="20"/>
              </w:rPr>
              <w:t>Amazon Sale Report.csv</w:t>
            </w:r>
          </w:p>
        </w:tc>
      </w:tr>
      <w:tr>
        <w:tc>
          <w:tcPr>
            <w:tcW w:type="dxa" w:w="2880"/>
          </w:tcPr>
          <w:p>
            <w:r>
              <w:rPr>
                <w:sz w:val="20"/>
              </w:rPr>
              <w:t>Origin</w:t>
            </w:r>
          </w:p>
        </w:tc>
        <w:tc>
          <w:tcPr>
            <w:tcW w:type="dxa" w:w="5760"/>
          </w:tcPr>
          <w:p>
            <w:r>
              <w:rPr>
                <w:sz w:val="20"/>
              </w:rPr>
              <w:t>Amazon India (Amazon.in) marketplace</w:t>
            </w:r>
          </w:p>
        </w:tc>
      </w:tr>
      <w:tr>
        <w:tc>
          <w:tcPr>
            <w:tcW w:type="dxa" w:w="2880"/>
            <w:shd w:fill="EBF3FB" w:val="clear"/>
          </w:tcPr>
          <w:p>
            <w:r>
              <w:rPr>
                <w:sz w:val="20"/>
              </w:rPr>
              <w:t>Nature</w:t>
            </w:r>
          </w:p>
        </w:tc>
        <w:tc>
          <w:tcPr>
            <w:tcW w:type="dxa" w:w="5760"/>
            <w:shd w:fill="EBF3FB" w:val="clear"/>
          </w:tcPr>
          <w:p>
            <w:r>
              <w:rPr>
                <w:sz w:val="20"/>
              </w:rPr>
              <w:t>Historical sales transaction records</w:t>
            </w:r>
          </w:p>
        </w:tc>
      </w:tr>
      <w:tr>
        <w:tc>
          <w:tcPr>
            <w:tcW w:type="dxa" w:w="2880"/>
          </w:tcPr>
          <w:p>
            <w:r>
              <w:rPr>
                <w:sz w:val="20"/>
              </w:rPr>
              <w:t>Availability</w:t>
            </w:r>
          </w:p>
        </w:tc>
        <w:tc>
          <w:tcPr>
            <w:tcW w:type="dxa" w:w="5760"/>
          </w:tcPr>
          <w:p>
            <w:r>
              <w:rPr>
                <w:sz w:val="20"/>
              </w:rPr>
              <w:t>Provided as a static CSV file</w:t>
            </w:r>
          </w:p>
        </w:tc>
      </w:tr>
      <w:tr>
        <w:tc>
          <w:tcPr>
            <w:tcW w:type="dxa" w:w="2880"/>
            <w:shd w:fill="EBF3FB" w:val="clear"/>
          </w:tcPr>
          <w:p>
            <w:r>
              <w:rPr>
                <w:sz w:val="20"/>
              </w:rPr>
              <w:t>Kaggle Source</w:t>
            </w:r>
          </w:p>
        </w:tc>
        <w:tc>
          <w:tcPr>
            <w:tcW w:type="dxa" w:w="5760"/>
            <w:shd w:fill="EBF3FB" w:val="clear"/>
          </w:tcPr>
          <w:p>
            <w:r>
              <w:rPr>
                <w:sz w:val="20"/>
              </w:rPr>
              <w:t>https://www.kaggle.com/datasets/thedevastator/unlock-profits-with-e-commerce-sales-data</w:t>
            </w:r>
          </w:p>
        </w:tc>
      </w:tr>
      <w:tr>
        <w:tc>
          <w:tcPr>
            <w:tcW w:type="dxa" w:w="2880"/>
          </w:tcPr>
          <w:p>
            <w:r>
              <w:rPr>
                <w:sz w:val="20"/>
              </w:rPr>
              <w:t>Usage constraint</w:t>
            </w:r>
          </w:p>
        </w:tc>
        <w:tc>
          <w:tcPr>
            <w:tcW w:type="dxa" w:w="5760"/>
          </w:tcPr>
          <w:p>
            <w:r>
              <w:rPr>
                <w:sz w:val="20"/>
              </w:rPr>
              <w:t>Read-only; the original file is never modified</w:t>
            </w:r>
          </w:p>
        </w:tc>
      </w:tr>
    </w:tbl>
    <w:p/>
    <w:p>
      <w:pPr>
        <w:pStyle w:val="Heading1"/>
      </w:pPr>
      <w:r>
        <w:rPr>
          <w:color w:val="1F4E79"/>
          <w:sz w:val="32"/>
        </w:rPr>
        <w:t>7. Dataset Description</w:t>
      </w:r>
    </w:p>
    <w:p>
      <w:pPr>
        <w:spacing w:after="160"/>
      </w:pPr>
      <w:r>
        <w:rPr>
          <w:b w:val="0"/>
          <w:i w:val="0"/>
          <w:sz w:val="22"/>
        </w:rPr>
        <w:t>The dataset contains individual line-item records from Amazon India orders placed between March 31, 2022 and June 29, 2022 -- a period of approximately 91 days. Each row represents a single product line within an order. The dataset covers sales of women's apparel across 9 product categories including Sets, Kurtas, Western Dresses, Tops, Ethnic Dresses, Blouses, Bottoms, Sarees, and Dupattas.</w:t>
      </w:r>
    </w:p>
    <w:tbl>
      <w:tblPr>
        <w:tblStyle w:val="TableGrid"/>
        <w:tblW w:type="auto" w:w="0"/>
        <w:tblLook w:firstColumn="1" w:firstRow="1" w:lastColumn="0" w:lastRow="0" w:noHBand="0" w:noVBand="1" w:val="04A0"/>
      </w:tblPr>
      <w:tblGrid>
        <w:gridCol w:w="4561"/>
        <w:gridCol w:w="4561"/>
      </w:tblGrid>
      <w:tr>
        <w:tc>
          <w:tcPr>
            <w:tcW w:type="dxa" w:w="4032"/>
            <w:shd w:fill="1F4E79" w:color="FFFFFF" w:val="clear"/>
          </w:tcPr>
          <w:p>
            <w:r>
              <w:rPr>
                <w:b/>
                <w:color w:val="FFFFFF"/>
                <w:sz w:val="20"/>
              </w:rPr>
              <w:t>Metric</w:t>
            </w:r>
          </w:p>
        </w:tc>
        <w:tc>
          <w:tcPr>
            <w:tcW w:type="dxa" w:w="4608"/>
            <w:shd w:fill="1F4E79" w:color="FFFFFF" w:val="clear"/>
          </w:tcPr>
          <w:p>
            <w:r>
              <w:rPr>
                <w:b/>
                <w:color w:val="FFFFFF"/>
                <w:sz w:val="20"/>
              </w:rPr>
              <w:t>Value</w:t>
            </w:r>
          </w:p>
        </w:tc>
      </w:tr>
      <w:tr>
        <w:tc>
          <w:tcPr>
            <w:tcW w:type="dxa" w:w="4032"/>
            <w:shd w:fill="EBF3FB" w:val="clear"/>
          </w:tcPr>
          <w:p>
            <w:r>
              <w:rPr>
                <w:sz w:val="20"/>
              </w:rPr>
              <w:t>Total rows</w:t>
            </w:r>
          </w:p>
        </w:tc>
        <w:tc>
          <w:tcPr>
            <w:tcW w:type="dxa" w:w="4608"/>
            <w:shd w:fill="EBF3FB" w:val="clear"/>
          </w:tcPr>
          <w:p>
            <w:r>
              <w:rPr>
                <w:sz w:val="20"/>
              </w:rPr>
              <w:t>128,975</w:t>
            </w:r>
          </w:p>
        </w:tc>
      </w:tr>
      <w:tr>
        <w:tc>
          <w:tcPr>
            <w:tcW w:type="dxa" w:w="4032"/>
          </w:tcPr>
          <w:p>
            <w:r>
              <w:rPr>
                <w:sz w:val="20"/>
              </w:rPr>
              <w:t>Total columns (raw)</w:t>
            </w:r>
          </w:p>
        </w:tc>
        <w:tc>
          <w:tcPr>
            <w:tcW w:type="dxa" w:w="4608"/>
          </w:tcPr>
          <w:p>
            <w:r>
              <w:rPr>
                <w:sz w:val="20"/>
              </w:rPr>
              <w:t>24</w:t>
            </w:r>
          </w:p>
        </w:tc>
      </w:tr>
      <w:tr>
        <w:tc>
          <w:tcPr>
            <w:tcW w:type="dxa" w:w="4032"/>
            <w:shd w:fill="EBF3FB" w:val="clear"/>
          </w:tcPr>
          <w:p>
            <w:r>
              <w:rPr>
                <w:sz w:val="20"/>
              </w:rPr>
              <w:t>Date range</w:t>
            </w:r>
          </w:p>
        </w:tc>
        <w:tc>
          <w:tcPr>
            <w:tcW w:type="dxa" w:w="4608"/>
            <w:shd w:fill="EBF3FB" w:val="clear"/>
          </w:tcPr>
          <w:p>
            <w:r>
              <w:rPr>
                <w:sz w:val="20"/>
              </w:rPr>
              <w:t>31 March 2022 - 29 June 2022</w:t>
            </w:r>
          </w:p>
        </w:tc>
      </w:tr>
      <w:tr>
        <w:tc>
          <w:tcPr>
            <w:tcW w:type="dxa" w:w="4032"/>
          </w:tcPr>
          <w:p>
            <w:r>
              <w:rPr>
                <w:sz w:val="20"/>
              </w:rPr>
              <w:t>Days of data</w:t>
            </w:r>
          </w:p>
        </w:tc>
        <w:tc>
          <w:tcPr>
            <w:tcW w:type="dxa" w:w="4608"/>
          </w:tcPr>
          <w:p>
            <w:r>
              <w:rPr>
                <w:sz w:val="20"/>
              </w:rPr>
              <w:t>91</w:t>
            </w:r>
          </w:p>
        </w:tc>
      </w:tr>
      <w:tr>
        <w:tc>
          <w:tcPr>
            <w:tcW w:type="dxa" w:w="4032"/>
            <w:shd w:fill="EBF3FB" w:val="clear"/>
          </w:tcPr>
          <w:p>
            <w:r>
              <w:rPr>
                <w:sz w:val="20"/>
              </w:rPr>
              <w:t>Unique orders</w:t>
            </w:r>
          </w:p>
        </w:tc>
        <w:tc>
          <w:tcPr>
            <w:tcW w:type="dxa" w:w="4608"/>
            <w:shd w:fill="EBF3FB" w:val="clear"/>
          </w:tcPr>
          <w:p>
            <w:r>
              <w:rPr>
                <w:sz w:val="20"/>
              </w:rPr>
              <w:t>120,378</w:t>
            </w:r>
          </w:p>
        </w:tc>
      </w:tr>
      <w:tr>
        <w:tc>
          <w:tcPr>
            <w:tcW w:type="dxa" w:w="4032"/>
          </w:tcPr>
          <w:p>
            <w:r>
              <w:rPr>
                <w:sz w:val="20"/>
              </w:rPr>
              <w:t>Total revenue (INR)</w:t>
            </w:r>
          </w:p>
        </w:tc>
        <w:tc>
          <w:tcPr>
            <w:tcW w:type="dxa" w:w="4608"/>
          </w:tcPr>
          <w:p>
            <w:r>
              <w:rPr>
                <w:sz w:val="20"/>
              </w:rPr>
              <w:t>Rs. 75,402,506 (~Rs. 75.4 M)</w:t>
            </w:r>
          </w:p>
        </w:tc>
      </w:tr>
      <w:tr>
        <w:tc>
          <w:tcPr>
            <w:tcW w:type="dxa" w:w="4032"/>
            <w:shd w:fill="EBF3FB" w:val="clear"/>
          </w:tcPr>
          <w:p>
            <w:r>
              <w:rPr>
                <w:sz w:val="20"/>
              </w:rPr>
              <w:t>Total quantity sold</w:t>
            </w:r>
          </w:p>
        </w:tc>
        <w:tc>
          <w:tcPr>
            <w:tcW w:type="dxa" w:w="4608"/>
            <w:shd w:fill="EBF3FB" w:val="clear"/>
          </w:tcPr>
          <w:p>
            <w:r>
              <w:rPr>
                <w:sz w:val="20"/>
              </w:rPr>
              <w:t>116,649 units</w:t>
            </w:r>
          </w:p>
        </w:tc>
      </w:tr>
      <w:tr>
        <w:tc>
          <w:tcPr>
            <w:tcW w:type="dxa" w:w="4032"/>
          </w:tcPr>
          <w:p>
            <w:r>
              <w:rPr>
                <w:sz w:val="20"/>
              </w:rPr>
              <w:t>Average order value</w:t>
            </w:r>
          </w:p>
        </w:tc>
        <w:tc>
          <w:tcPr>
            <w:tcW w:type="dxa" w:w="4608"/>
          </w:tcPr>
          <w:p>
            <w:r>
              <w:rPr>
                <w:sz w:val="20"/>
              </w:rPr>
              <w:t>Rs. 626</w:t>
            </w:r>
          </w:p>
        </w:tc>
      </w:tr>
      <w:tr>
        <w:tc>
          <w:tcPr>
            <w:tcW w:type="dxa" w:w="4032"/>
            <w:shd w:fill="EBF3FB" w:val="clear"/>
          </w:tcPr>
          <w:p>
            <w:r>
              <w:rPr>
                <w:sz w:val="20"/>
              </w:rPr>
              <w:t>Overall cancellation rate</w:t>
            </w:r>
          </w:p>
        </w:tc>
        <w:tc>
          <w:tcPr>
            <w:tcW w:type="dxa" w:w="4608"/>
            <w:shd w:fill="EBF3FB" w:val="clear"/>
          </w:tcPr>
          <w:p>
            <w:r>
              <w:rPr>
                <w:sz w:val="20"/>
              </w:rPr>
              <w:t>14.2%</w:t>
            </w:r>
          </w:p>
        </w:tc>
      </w:tr>
      <w:tr>
        <w:tc>
          <w:tcPr>
            <w:tcW w:type="dxa" w:w="4032"/>
          </w:tcPr>
          <w:p>
            <w:r>
              <w:rPr>
                <w:sz w:val="20"/>
              </w:rPr>
              <w:t>Top revenue category</w:t>
            </w:r>
          </w:p>
        </w:tc>
        <w:tc>
          <w:tcPr>
            <w:tcW w:type="dxa" w:w="4608"/>
          </w:tcPr>
          <w:p>
            <w:r>
              <w:rPr>
                <w:sz w:val="20"/>
              </w:rPr>
              <w:t>Set (Rs. 37.66 M)</w:t>
            </w:r>
          </w:p>
        </w:tc>
      </w:tr>
      <w:tr>
        <w:tc>
          <w:tcPr>
            <w:tcW w:type="dxa" w:w="4032"/>
            <w:shd w:fill="EBF3FB" w:val="clear"/>
          </w:tcPr>
          <w:p>
            <w:r>
              <w:rPr>
                <w:sz w:val="20"/>
              </w:rPr>
              <w:t>Top revenue state</w:t>
            </w:r>
          </w:p>
        </w:tc>
        <w:tc>
          <w:tcPr>
            <w:tcW w:type="dxa" w:w="4608"/>
            <w:shd w:fill="EBF3FB" w:val="clear"/>
          </w:tcPr>
          <w:p>
            <w:r>
              <w:rPr>
                <w:sz w:val="20"/>
              </w:rPr>
              <w:t>Maharashtra (Rs. 12.86 M)</w:t>
            </w:r>
          </w:p>
        </w:tc>
      </w:tr>
      <w:tr>
        <w:tc>
          <w:tcPr>
            <w:tcW w:type="dxa" w:w="4032"/>
          </w:tcPr>
          <w:p>
            <w:r>
              <w:rPr>
                <w:sz w:val="20"/>
              </w:rPr>
              <w:t>Average daily quantity</w:t>
            </w:r>
          </w:p>
        </w:tc>
        <w:tc>
          <w:tcPr>
            <w:tcW w:type="dxa" w:w="4608"/>
          </w:tcPr>
          <w:p>
            <w:r>
              <w:rPr>
                <w:sz w:val="20"/>
              </w:rPr>
              <w:t>~1,282 units</w:t>
            </w:r>
          </w:p>
        </w:tc>
      </w:tr>
      <w:tr>
        <w:tc>
          <w:tcPr>
            <w:tcW w:type="dxa" w:w="4032"/>
            <w:shd w:fill="EBF3FB" w:val="clear"/>
          </w:tcPr>
          <w:p>
            <w:r>
              <w:rPr>
                <w:sz w:val="20"/>
              </w:rPr>
              <w:t>Peak daily quantity</w:t>
            </w:r>
          </w:p>
        </w:tc>
        <w:tc>
          <w:tcPr>
            <w:tcW w:type="dxa" w:w="4608"/>
            <w:shd w:fill="EBF3FB" w:val="clear"/>
          </w:tcPr>
          <w:p>
            <w:r>
              <w:rPr>
                <w:sz w:val="20"/>
              </w:rPr>
              <w:t>1,889 units (2 May 2022)</w:t>
            </w:r>
          </w:p>
        </w:tc>
      </w:tr>
    </w:tbl>
    <w:p/>
    <w:p>
      <w:pPr>
        <w:pStyle w:val="Heading1"/>
      </w:pPr>
      <w:r>
        <w:rPr>
          <w:color w:val="1F4E79"/>
          <w:sz w:val="32"/>
        </w:rPr>
        <w:t>8. Dataset Structure</w:t>
      </w:r>
    </w:p>
    <w:tbl>
      <w:tblPr>
        <w:tblStyle w:val="TableGrid"/>
        <w:tblW w:type="auto" w:w="0"/>
        <w:tblLook w:firstColumn="1" w:firstRow="1" w:lastColumn="0" w:lastRow="0" w:noHBand="0" w:noVBand="1" w:val="04A0"/>
      </w:tblPr>
      <w:tblGrid>
        <w:gridCol w:w="2280"/>
        <w:gridCol w:w="2280"/>
        <w:gridCol w:w="2280"/>
        <w:gridCol w:w="2280"/>
      </w:tblGrid>
      <w:tr>
        <w:tc>
          <w:tcPr>
            <w:tcW w:type="dxa" w:w="432"/>
            <w:shd w:fill="1F4E79" w:color="FFFFFF" w:val="clear"/>
          </w:tcPr>
          <w:p>
            <w:r>
              <w:rPr>
                <w:b/>
                <w:color w:val="FFFFFF"/>
                <w:sz w:val="20"/>
              </w:rPr>
              <w:t>#</w:t>
            </w:r>
          </w:p>
        </w:tc>
        <w:tc>
          <w:tcPr>
            <w:tcW w:type="dxa" w:w="2160"/>
            <w:shd w:fill="1F4E79" w:color="FFFFFF" w:val="clear"/>
          </w:tcPr>
          <w:p>
            <w:r>
              <w:rPr>
                <w:b/>
                <w:color w:val="FFFFFF"/>
                <w:sz w:val="20"/>
              </w:rPr>
              <w:t>Column Name</w:t>
            </w:r>
          </w:p>
        </w:tc>
        <w:tc>
          <w:tcPr>
            <w:tcW w:type="dxa" w:w="1440"/>
            <w:shd w:fill="1F4E79" w:color="FFFFFF" w:val="clear"/>
          </w:tcPr>
          <w:p>
            <w:r>
              <w:rPr>
                <w:b/>
                <w:color w:val="FFFFFF"/>
                <w:sz w:val="20"/>
              </w:rPr>
              <w:t>Data Type</w:t>
            </w:r>
          </w:p>
        </w:tc>
        <w:tc>
          <w:tcPr>
            <w:tcW w:type="dxa" w:w="4608"/>
            <w:shd w:fill="1F4E79" w:color="FFFFFF" w:val="clear"/>
          </w:tcPr>
          <w:p>
            <w:r>
              <w:rPr>
                <w:b/>
                <w:color w:val="FFFFFF"/>
                <w:sz w:val="20"/>
              </w:rPr>
              <w:t>Description</w:t>
            </w:r>
          </w:p>
        </w:tc>
      </w:tr>
      <w:tr>
        <w:tc>
          <w:tcPr>
            <w:tcW w:type="dxa" w:w="432"/>
            <w:shd w:fill="EBF3FB" w:val="clear"/>
          </w:tcPr>
          <w:p>
            <w:r>
              <w:rPr>
                <w:sz w:val="20"/>
              </w:rPr>
              <w:t>1</w:t>
            </w:r>
          </w:p>
        </w:tc>
        <w:tc>
          <w:tcPr>
            <w:tcW w:type="dxa" w:w="2160"/>
            <w:shd w:fill="EBF3FB" w:val="clear"/>
          </w:tcPr>
          <w:p>
            <w:r>
              <w:rPr>
                <w:sz w:val="20"/>
              </w:rPr>
              <w:t>index</w:t>
            </w:r>
          </w:p>
        </w:tc>
        <w:tc>
          <w:tcPr>
            <w:tcW w:type="dxa" w:w="1440"/>
            <w:shd w:fill="EBF3FB" w:val="clear"/>
          </w:tcPr>
          <w:p>
            <w:r>
              <w:rPr>
                <w:sz w:val="20"/>
              </w:rPr>
              <w:t>int64</w:t>
            </w:r>
          </w:p>
        </w:tc>
        <w:tc>
          <w:tcPr>
            <w:tcW w:type="dxa" w:w="4608"/>
            <w:shd w:fill="EBF3FB" w:val="clear"/>
          </w:tcPr>
          <w:p>
            <w:r>
              <w:rPr>
                <w:sz w:val="20"/>
              </w:rPr>
              <w:t>Row index</w:t>
            </w:r>
          </w:p>
        </w:tc>
      </w:tr>
      <w:tr>
        <w:tc>
          <w:tcPr>
            <w:tcW w:type="dxa" w:w="432"/>
          </w:tcPr>
          <w:p>
            <w:r>
              <w:rPr>
                <w:sz w:val="20"/>
              </w:rPr>
              <w:t>2</w:t>
            </w:r>
          </w:p>
        </w:tc>
        <w:tc>
          <w:tcPr>
            <w:tcW w:type="dxa" w:w="2160"/>
          </w:tcPr>
          <w:p>
            <w:r>
              <w:rPr>
                <w:sz w:val="20"/>
              </w:rPr>
              <w:t>Order ID</w:t>
            </w:r>
          </w:p>
        </w:tc>
        <w:tc>
          <w:tcPr>
            <w:tcW w:type="dxa" w:w="1440"/>
          </w:tcPr>
          <w:p>
            <w:r>
              <w:rPr>
                <w:sz w:val="20"/>
              </w:rPr>
              <w:t>object</w:t>
            </w:r>
          </w:p>
        </w:tc>
        <w:tc>
          <w:tcPr>
            <w:tcW w:type="dxa" w:w="4608"/>
          </w:tcPr>
          <w:p>
            <w:r>
              <w:rPr>
                <w:sz w:val="20"/>
              </w:rPr>
              <w:t>Unique order identifier (duplicated for multi-item orders)</w:t>
            </w:r>
          </w:p>
        </w:tc>
      </w:tr>
      <w:tr>
        <w:tc>
          <w:tcPr>
            <w:tcW w:type="dxa" w:w="432"/>
            <w:shd w:fill="EBF3FB" w:val="clear"/>
          </w:tcPr>
          <w:p>
            <w:r>
              <w:rPr>
                <w:sz w:val="20"/>
              </w:rPr>
              <w:t>3</w:t>
            </w:r>
          </w:p>
        </w:tc>
        <w:tc>
          <w:tcPr>
            <w:tcW w:type="dxa" w:w="2160"/>
            <w:shd w:fill="EBF3FB" w:val="clear"/>
          </w:tcPr>
          <w:p>
            <w:r>
              <w:rPr>
                <w:sz w:val="20"/>
              </w:rPr>
              <w:t>Date</w:t>
            </w:r>
          </w:p>
        </w:tc>
        <w:tc>
          <w:tcPr>
            <w:tcW w:type="dxa" w:w="1440"/>
            <w:shd w:fill="EBF3FB" w:val="clear"/>
          </w:tcPr>
          <w:p>
            <w:r>
              <w:rPr>
                <w:sz w:val="20"/>
              </w:rPr>
              <w:t>object</w:t>
            </w:r>
          </w:p>
        </w:tc>
        <w:tc>
          <w:tcPr>
            <w:tcW w:type="dxa" w:w="4608"/>
            <w:shd w:fill="EBF3FB" w:val="clear"/>
          </w:tcPr>
          <w:p>
            <w:r>
              <w:rPr>
                <w:sz w:val="20"/>
              </w:rPr>
              <w:t>Order date string (MM-DD-YY format)</w:t>
            </w:r>
          </w:p>
        </w:tc>
      </w:tr>
      <w:tr>
        <w:tc>
          <w:tcPr>
            <w:tcW w:type="dxa" w:w="432"/>
          </w:tcPr>
          <w:p>
            <w:r>
              <w:rPr>
                <w:sz w:val="20"/>
              </w:rPr>
              <w:t>4</w:t>
            </w:r>
          </w:p>
        </w:tc>
        <w:tc>
          <w:tcPr>
            <w:tcW w:type="dxa" w:w="2160"/>
          </w:tcPr>
          <w:p>
            <w:r>
              <w:rPr>
                <w:sz w:val="20"/>
              </w:rPr>
              <w:t>Status</w:t>
            </w:r>
          </w:p>
        </w:tc>
        <w:tc>
          <w:tcPr>
            <w:tcW w:type="dxa" w:w="1440"/>
          </w:tcPr>
          <w:p>
            <w:r>
              <w:rPr>
                <w:sz w:val="20"/>
              </w:rPr>
              <w:t>object</w:t>
            </w:r>
          </w:p>
        </w:tc>
        <w:tc>
          <w:tcPr>
            <w:tcW w:type="dxa" w:w="4608"/>
          </w:tcPr>
          <w:p>
            <w:r>
              <w:rPr>
                <w:sz w:val="20"/>
              </w:rPr>
              <w:t>Order status (13 distinct values)</w:t>
            </w:r>
          </w:p>
        </w:tc>
      </w:tr>
      <w:tr>
        <w:tc>
          <w:tcPr>
            <w:tcW w:type="dxa" w:w="432"/>
            <w:shd w:fill="EBF3FB" w:val="clear"/>
          </w:tcPr>
          <w:p>
            <w:r>
              <w:rPr>
                <w:sz w:val="20"/>
              </w:rPr>
              <w:t>5</w:t>
            </w:r>
          </w:p>
        </w:tc>
        <w:tc>
          <w:tcPr>
            <w:tcW w:type="dxa" w:w="2160"/>
            <w:shd w:fill="EBF3FB" w:val="clear"/>
          </w:tcPr>
          <w:p>
            <w:r>
              <w:rPr>
                <w:sz w:val="20"/>
              </w:rPr>
              <w:t>Fulfilment</w:t>
            </w:r>
          </w:p>
        </w:tc>
        <w:tc>
          <w:tcPr>
            <w:tcW w:type="dxa" w:w="1440"/>
            <w:shd w:fill="EBF3FB" w:val="clear"/>
          </w:tcPr>
          <w:p>
            <w:r>
              <w:rPr>
                <w:sz w:val="20"/>
              </w:rPr>
              <w:t>object</w:t>
            </w:r>
          </w:p>
        </w:tc>
        <w:tc>
          <w:tcPr>
            <w:tcW w:type="dxa" w:w="4608"/>
            <w:shd w:fill="EBF3FB" w:val="clear"/>
          </w:tcPr>
          <w:p>
            <w:r>
              <w:rPr>
                <w:sz w:val="20"/>
              </w:rPr>
              <w:t>Fulfilment method: Amazon or Merchant</w:t>
            </w:r>
          </w:p>
        </w:tc>
      </w:tr>
      <w:tr>
        <w:tc>
          <w:tcPr>
            <w:tcW w:type="dxa" w:w="432"/>
          </w:tcPr>
          <w:p>
            <w:r>
              <w:rPr>
                <w:sz w:val="20"/>
              </w:rPr>
              <w:t>6</w:t>
            </w:r>
          </w:p>
        </w:tc>
        <w:tc>
          <w:tcPr>
            <w:tcW w:type="dxa" w:w="2160"/>
          </w:tcPr>
          <w:p>
            <w:r>
              <w:rPr>
                <w:sz w:val="20"/>
              </w:rPr>
              <w:t>Sales Channel</w:t>
            </w:r>
          </w:p>
        </w:tc>
        <w:tc>
          <w:tcPr>
            <w:tcW w:type="dxa" w:w="1440"/>
          </w:tcPr>
          <w:p>
            <w:r>
              <w:rPr>
                <w:sz w:val="20"/>
              </w:rPr>
              <w:t>object</w:t>
            </w:r>
          </w:p>
        </w:tc>
        <w:tc>
          <w:tcPr>
            <w:tcW w:type="dxa" w:w="4608"/>
          </w:tcPr>
          <w:p>
            <w:r>
              <w:rPr>
                <w:sz w:val="20"/>
              </w:rPr>
              <w:t>Sales platform</w:t>
            </w:r>
          </w:p>
        </w:tc>
      </w:tr>
      <w:tr>
        <w:tc>
          <w:tcPr>
            <w:tcW w:type="dxa" w:w="432"/>
            <w:shd w:fill="EBF3FB" w:val="clear"/>
          </w:tcPr>
          <w:p>
            <w:r>
              <w:rPr>
                <w:sz w:val="20"/>
              </w:rPr>
              <w:t>7</w:t>
            </w:r>
          </w:p>
        </w:tc>
        <w:tc>
          <w:tcPr>
            <w:tcW w:type="dxa" w:w="2160"/>
            <w:shd w:fill="EBF3FB" w:val="clear"/>
          </w:tcPr>
          <w:p>
            <w:r>
              <w:rPr>
                <w:sz w:val="20"/>
              </w:rPr>
              <w:t>ship-service-level</w:t>
            </w:r>
          </w:p>
        </w:tc>
        <w:tc>
          <w:tcPr>
            <w:tcW w:type="dxa" w:w="1440"/>
            <w:shd w:fill="EBF3FB" w:val="clear"/>
          </w:tcPr>
          <w:p>
            <w:r>
              <w:rPr>
                <w:sz w:val="20"/>
              </w:rPr>
              <w:t>object</w:t>
            </w:r>
          </w:p>
        </w:tc>
        <w:tc>
          <w:tcPr>
            <w:tcW w:type="dxa" w:w="4608"/>
            <w:shd w:fill="EBF3FB" w:val="clear"/>
          </w:tcPr>
          <w:p>
            <w:r>
              <w:rPr>
                <w:sz w:val="20"/>
              </w:rPr>
              <w:t>Shipping tier: Standard or Expedited</w:t>
            </w:r>
          </w:p>
        </w:tc>
      </w:tr>
      <w:tr>
        <w:tc>
          <w:tcPr>
            <w:tcW w:type="dxa" w:w="432"/>
          </w:tcPr>
          <w:p>
            <w:r>
              <w:rPr>
                <w:sz w:val="20"/>
              </w:rPr>
              <w:t>8</w:t>
            </w:r>
          </w:p>
        </w:tc>
        <w:tc>
          <w:tcPr>
            <w:tcW w:type="dxa" w:w="2160"/>
          </w:tcPr>
          <w:p>
            <w:r>
              <w:rPr>
                <w:sz w:val="20"/>
              </w:rPr>
              <w:t>Style</w:t>
            </w:r>
          </w:p>
        </w:tc>
        <w:tc>
          <w:tcPr>
            <w:tcW w:type="dxa" w:w="1440"/>
          </w:tcPr>
          <w:p>
            <w:r>
              <w:rPr>
                <w:sz w:val="20"/>
              </w:rPr>
              <w:t>object</w:t>
            </w:r>
          </w:p>
        </w:tc>
        <w:tc>
          <w:tcPr>
            <w:tcW w:type="dxa" w:w="4608"/>
          </w:tcPr>
          <w:p>
            <w:r>
              <w:rPr>
                <w:sz w:val="20"/>
              </w:rPr>
              <w:t>Product style code</w:t>
            </w:r>
          </w:p>
        </w:tc>
      </w:tr>
      <w:tr>
        <w:tc>
          <w:tcPr>
            <w:tcW w:type="dxa" w:w="432"/>
            <w:shd w:fill="EBF3FB" w:val="clear"/>
          </w:tcPr>
          <w:p>
            <w:r>
              <w:rPr>
                <w:sz w:val="20"/>
              </w:rPr>
              <w:t>9</w:t>
            </w:r>
          </w:p>
        </w:tc>
        <w:tc>
          <w:tcPr>
            <w:tcW w:type="dxa" w:w="2160"/>
            <w:shd w:fill="EBF3FB" w:val="clear"/>
          </w:tcPr>
          <w:p>
            <w:r>
              <w:rPr>
                <w:sz w:val="20"/>
              </w:rPr>
              <w:t>SKU</w:t>
            </w:r>
          </w:p>
        </w:tc>
        <w:tc>
          <w:tcPr>
            <w:tcW w:type="dxa" w:w="1440"/>
            <w:shd w:fill="EBF3FB" w:val="clear"/>
          </w:tcPr>
          <w:p>
            <w:r>
              <w:rPr>
                <w:sz w:val="20"/>
              </w:rPr>
              <w:t>object</w:t>
            </w:r>
          </w:p>
        </w:tc>
        <w:tc>
          <w:tcPr>
            <w:tcW w:type="dxa" w:w="4608"/>
            <w:shd w:fill="EBF3FB" w:val="clear"/>
          </w:tcPr>
          <w:p>
            <w:r>
              <w:rPr>
                <w:sz w:val="20"/>
              </w:rPr>
              <w:t>Stock Keeping Unit identifier</w:t>
            </w:r>
          </w:p>
        </w:tc>
      </w:tr>
      <w:tr>
        <w:tc>
          <w:tcPr>
            <w:tcW w:type="dxa" w:w="432"/>
          </w:tcPr>
          <w:p>
            <w:r>
              <w:rPr>
                <w:sz w:val="20"/>
              </w:rPr>
              <w:t>10</w:t>
            </w:r>
          </w:p>
        </w:tc>
        <w:tc>
          <w:tcPr>
            <w:tcW w:type="dxa" w:w="2160"/>
          </w:tcPr>
          <w:p>
            <w:r>
              <w:rPr>
                <w:sz w:val="20"/>
              </w:rPr>
              <w:t>Category</w:t>
            </w:r>
          </w:p>
        </w:tc>
        <w:tc>
          <w:tcPr>
            <w:tcW w:type="dxa" w:w="1440"/>
          </w:tcPr>
          <w:p>
            <w:r>
              <w:rPr>
                <w:sz w:val="20"/>
              </w:rPr>
              <w:t>object</w:t>
            </w:r>
          </w:p>
        </w:tc>
        <w:tc>
          <w:tcPr>
            <w:tcW w:type="dxa" w:w="4608"/>
          </w:tcPr>
          <w:p>
            <w:r>
              <w:rPr>
                <w:sz w:val="20"/>
              </w:rPr>
              <w:t>Product category (9 unique values)</w:t>
            </w:r>
          </w:p>
        </w:tc>
      </w:tr>
      <w:tr>
        <w:tc>
          <w:tcPr>
            <w:tcW w:type="dxa" w:w="432"/>
            <w:shd w:fill="EBF3FB" w:val="clear"/>
          </w:tcPr>
          <w:p>
            <w:r>
              <w:rPr>
                <w:sz w:val="20"/>
              </w:rPr>
              <w:t>11</w:t>
            </w:r>
          </w:p>
        </w:tc>
        <w:tc>
          <w:tcPr>
            <w:tcW w:type="dxa" w:w="2160"/>
            <w:shd w:fill="EBF3FB" w:val="clear"/>
          </w:tcPr>
          <w:p>
            <w:r>
              <w:rPr>
                <w:sz w:val="20"/>
              </w:rPr>
              <w:t>Size</w:t>
            </w:r>
          </w:p>
        </w:tc>
        <w:tc>
          <w:tcPr>
            <w:tcW w:type="dxa" w:w="1440"/>
            <w:shd w:fill="EBF3FB" w:val="clear"/>
          </w:tcPr>
          <w:p>
            <w:r>
              <w:rPr>
                <w:sz w:val="20"/>
              </w:rPr>
              <w:t>object</w:t>
            </w:r>
          </w:p>
        </w:tc>
        <w:tc>
          <w:tcPr>
            <w:tcW w:type="dxa" w:w="4608"/>
            <w:shd w:fill="EBF3FB" w:val="clear"/>
          </w:tcPr>
          <w:p>
            <w:r>
              <w:rPr>
                <w:sz w:val="20"/>
              </w:rPr>
              <w:t>Clothing size (XS to 6XL + Free)</w:t>
            </w:r>
          </w:p>
        </w:tc>
      </w:tr>
      <w:tr>
        <w:tc>
          <w:tcPr>
            <w:tcW w:type="dxa" w:w="432"/>
          </w:tcPr>
          <w:p>
            <w:r>
              <w:rPr>
                <w:sz w:val="20"/>
              </w:rPr>
              <w:t>12</w:t>
            </w:r>
          </w:p>
        </w:tc>
        <w:tc>
          <w:tcPr>
            <w:tcW w:type="dxa" w:w="2160"/>
          </w:tcPr>
          <w:p>
            <w:r>
              <w:rPr>
                <w:sz w:val="20"/>
              </w:rPr>
              <w:t>ASIN</w:t>
            </w:r>
          </w:p>
        </w:tc>
        <w:tc>
          <w:tcPr>
            <w:tcW w:type="dxa" w:w="1440"/>
          </w:tcPr>
          <w:p>
            <w:r>
              <w:rPr>
                <w:sz w:val="20"/>
              </w:rPr>
              <w:t>object</w:t>
            </w:r>
          </w:p>
        </w:tc>
        <w:tc>
          <w:tcPr>
            <w:tcW w:type="dxa" w:w="4608"/>
          </w:tcPr>
          <w:p>
            <w:r>
              <w:rPr>
                <w:sz w:val="20"/>
              </w:rPr>
              <w:t>Amazon Standard Identification Number</w:t>
            </w:r>
          </w:p>
        </w:tc>
      </w:tr>
      <w:tr>
        <w:tc>
          <w:tcPr>
            <w:tcW w:type="dxa" w:w="432"/>
            <w:shd w:fill="EBF3FB" w:val="clear"/>
          </w:tcPr>
          <w:p>
            <w:r>
              <w:rPr>
                <w:sz w:val="20"/>
              </w:rPr>
              <w:t>13</w:t>
            </w:r>
          </w:p>
        </w:tc>
        <w:tc>
          <w:tcPr>
            <w:tcW w:type="dxa" w:w="2160"/>
            <w:shd w:fill="EBF3FB" w:val="clear"/>
          </w:tcPr>
          <w:p>
            <w:r>
              <w:rPr>
                <w:sz w:val="20"/>
              </w:rPr>
              <w:t>Courier Status</w:t>
            </w:r>
          </w:p>
        </w:tc>
        <w:tc>
          <w:tcPr>
            <w:tcW w:type="dxa" w:w="1440"/>
            <w:shd w:fill="EBF3FB" w:val="clear"/>
          </w:tcPr>
          <w:p>
            <w:r>
              <w:rPr>
                <w:sz w:val="20"/>
              </w:rPr>
              <w:t>object</w:t>
            </w:r>
          </w:p>
        </w:tc>
        <w:tc>
          <w:tcPr>
            <w:tcW w:type="dxa" w:w="4608"/>
            <w:shd w:fill="EBF3FB" w:val="clear"/>
          </w:tcPr>
          <w:p>
            <w:r>
              <w:rPr>
                <w:sz w:val="20"/>
              </w:rPr>
              <w:t>Courier tracking status</w:t>
            </w:r>
          </w:p>
        </w:tc>
      </w:tr>
      <w:tr>
        <w:tc>
          <w:tcPr>
            <w:tcW w:type="dxa" w:w="432"/>
          </w:tcPr>
          <w:p>
            <w:r>
              <w:rPr>
                <w:sz w:val="20"/>
              </w:rPr>
              <w:t>14</w:t>
            </w:r>
          </w:p>
        </w:tc>
        <w:tc>
          <w:tcPr>
            <w:tcW w:type="dxa" w:w="2160"/>
          </w:tcPr>
          <w:p>
            <w:r>
              <w:rPr>
                <w:sz w:val="20"/>
              </w:rPr>
              <w:t>Qty</w:t>
            </w:r>
          </w:p>
        </w:tc>
        <w:tc>
          <w:tcPr>
            <w:tcW w:type="dxa" w:w="1440"/>
          </w:tcPr>
          <w:p>
            <w:r>
              <w:rPr>
                <w:sz w:val="20"/>
              </w:rPr>
              <w:t>int64</w:t>
            </w:r>
          </w:p>
        </w:tc>
        <w:tc>
          <w:tcPr>
            <w:tcW w:type="dxa" w:w="4608"/>
          </w:tcPr>
          <w:p>
            <w:r>
              <w:rPr>
                <w:sz w:val="20"/>
              </w:rPr>
              <w:t>Quantity ordered per line item</w:t>
            </w:r>
          </w:p>
        </w:tc>
      </w:tr>
      <w:tr>
        <w:tc>
          <w:tcPr>
            <w:tcW w:type="dxa" w:w="432"/>
            <w:shd w:fill="EBF3FB" w:val="clear"/>
          </w:tcPr>
          <w:p>
            <w:r>
              <w:rPr>
                <w:sz w:val="20"/>
              </w:rPr>
              <w:t>15</w:t>
            </w:r>
          </w:p>
        </w:tc>
        <w:tc>
          <w:tcPr>
            <w:tcW w:type="dxa" w:w="2160"/>
            <w:shd w:fill="EBF3FB" w:val="clear"/>
          </w:tcPr>
          <w:p>
            <w:r>
              <w:rPr>
                <w:sz w:val="20"/>
              </w:rPr>
              <w:t>currency</w:t>
            </w:r>
          </w:p>
        </w:tc>
        <w:tc>
          <w:tcPr>
            <w:tcW w:type="dxa" w:w="1440"/>
            <w:shd w:fill="EBF3FB" w:val="clear"/>
          </w:tcPr>
          <w:p>
            <w:r>
              <w:rPr>
                <w:sz w:val="20"/>
              </w:rPr>
              <w:t>object</w:t>
            </w:r>
          </w:p>
        </w:tc>
        <w:tc>
          <w:tcPr>
            <w:tcW w:type="dxa" w:w="4608"/>
            <w:shd w:fill="EBF3FB" w:val="clear"/>
          </w:tcPr>
          <w:p>
            <w:r>
              <w:rPr>
                <w:sz w:val="20"/>
              </w:rPr>
              <w:t>Currency code (INR)</w:t>
            </w:r>
          </w:p>
        </w:tc>
      </w:tr>
      <w:tr>
        <w:tc>
          <w:tcPr>
            <w:tcW w:type="dxa" w:w="432"/>
          </w:tcPr>
          <w:p>
            <w:r>
              <w:rPr>
                <w:sz w:val="20"/>
              </w:rPr>
              <w:t>16</w:t>
            </w:r>
          </w:p>
        </w:tc>
        <w:tc>
          <w:tcPr>
            <w:tcW w:type="dxa" w:w="2160"/>
          </w:tcPr>
          <w:p>
            <w:r>
              <w:rPr>
                <w:sz w:val="20"/>
              </w:rPr>
              <w:t>Amount</w:t>
            </w:r>
          </w:p>
        </w:tc>
        <w:tc>
          <w:tcPr>
            <w:tcW w:type="dxa" w:w="1440"/>
          </w:tcPr>
          <w:p>
            <w:r>
              <w:rPr>
                <w:sz w:val="20"/>
              </w:rPr>
              <w:t>float64</w:t>
            </w:r>
          </w:p>
        </w:tc>
        <w:tc>
          <w:tcPr>
            <w:tcW w:type="dxa" w:w="4608"/>
          </w:tcPr>
          <w:p>
            <w:r>
              <w:rPr>
                <w:sz w:val="20"/>
              </w:rPr>
              <w:t>Line-item amount in INR</w:t>
            </w:r>
          </w:p>
        </w:tc>
      </w:tr>
      <w:tr>
        <w:tc>
          <w:tcPr>
            <w:tcW w:type="dxa" w:w="432"/>
            <w:shd w:fill="EBF3FB" w:val="clear"/>
          </w:tcPr>
          <w:p>
            <w:r>
              <w:rPr>
                <w:sz w:val="20"/>
              </w:rPr>
              <w:t>17</w:t>
            </w:r>
          </w:p>
        </w:tc>
        <w:tc>
          <w:tcPr>
            <w:tcW w:type="dxa" w:w="2160"/>
            <w:shd w:fill="EBF3FB" w:val="clear"/>
          </w:tcPr>
          <w:p>
            <w:r>
              <w:rPr>
                <w:sz w:val="20"/>
              </w:rPr>
              <w:t>ship-city</w:t>
            </w:r>
          </w:p>
        </w:tc>
        <w:tc>
          <w:tcPr>
            <w:tcW w:type="dxa" w:w="1440"/>
            <w:shd w:fill="EBF3FB" w:val="clear"/>
          </w:tcPr>
          <w:p>
            <w:r>
              <w:rPr>
                <w:sz w:val="20"/>
              </w:rPr>
              <w:t>object</w:t>
            </w:r>
          </w:p>
        </w:tc>
        <w:tc>
          <w:tcPr>
            <w:tcW w:type="dxa" w:w="4608"/>
            <w:shd w:fill="EBF3FB" w:val="clear"/>
          </w:tcPr>
          <w:p>
            <w:r>
              <w:rPr>
                <w:sz w:val="20"/>
              </w:rPr>
              <w:t>Destination city</w:t>
            </w:r>
          </w:p>
        </w:tc>
      </w:tr>
      <w:tr>
        <w:tc>
          <w:tcPr>
            <w:tcW w:type="dxa" w:w="432"/>
          </w:tcPr>
          <w:p>
            <w:r>
              <w:rPr>
                <w:sz w:val="20"/>
              </w:rPr>
              <w:t>18</w:t>
            </w:r>
          </w:p>
        </w:tc>
        <w:tc>
          <w:tcPr>
            <w:tcW w:type="dxa" w:w="2160"/>
          </w:tcPr>
          <w:p>
            <w:r>
              <w:rPr>
                <w:sz w:val="20"/>
              </w:rPr>
              <w:t>ship-state</w:t>
            </w:r>
          </w:p>
        </w:tc>
        <w:tc>
          <w:tcPr>
            <w:tcW w:type="dxa" w:w="1440"/>
          </w:tcPr>
          <w:p>
            <w:r>
              <w:rPr>
                <w:sz w:val="20"/>
              </w:rPr>
              <w:t>object</w:t>
            </w:r>
          </w:p>
        </w:tc>
        <w:tc>
          <w:tcPr>
            <w:tcW w:type="dxa" w:w="4608"/>
          </w:tcPr>
          <w:p>
            <w:r>
              <w:rPr>
                <w:sz w:val="20"/>
              </w:rPr>
              <w:t>Destination state</w:t>
            </w:r>
          </w:p>
        </w:tc>
      </w:tr>
      <w:tr>
        <w:tc>
          <w:tcPr>
            <w:tcW w:type="dxa" w:w="432"/>
            <w:shd w:fill="EBF3FB" w:val="clear"/>
          </w:tcPr>
          <w:p>
            <w:r>
              <w:rPr>
                <w:sz w:val="20"/>
              </w:rPr>
              <w:t>19</w:t>
            </w:r>
          </w:p>
        </w:tc>
        <w:tc>
          <w:tcPr>
            <w:tcW w:type="dxa" w:w="2160"/>
            <w:shd w:fill="EBF3FB" w:val="clear"/>
          </w:tcPr>
          <w:p>
            <w:r>
              <w:rPr>
                <w:sz w:val="20"/>
              </w:rPr>
              <w:t>ship-postal-code</w:t>
            </w:r>
          </w:p>
        </w:tc>
        <w:tc>
          <w:tcPr>
            <w:tcW w:type="dxa" w:w="1440"/>
            <w:shd w:fill="EBF3FB" w:val="clear"/>
          </w:tcPr>
          <w:p>
            <w:r>
              <w:rPr>
                <w:sz w:val="20"/>
              </w:rPr>
              <w:t>float64</w:t>
            </w:r>
          </w:p>
        </w:tc>
        <w:tc>
          <w:tcPr>
            <w:tcW w:type="dxa" w:w="4608"/>
            <w:shd w:fill="EBF3FB" w:val="clear"/>
          </w:tcPr>
          <w:p>
            <w:r>
              <w:rPr>
                <w:sz w:val="20"/>
              </w:rPr>
              <w:t>Destination postal code</w:t>
            </w:r>
          </w:p>
        </w:tc>
      </w:tr>
      <w:tr>
        <w:tc>
          <w:tcPr>
            <w:tcW w:type="dxa" w:w="432"/>
          </w:tcPr>
          <w:p>
            <w:r>
              <w:rPr>
                <w:sz w:val="20"/>
              </w:rPr>
              <w:t>20</w:t>
            </w:r>
          </w:p>
        </w:tc>
        <w:tc>
          <w:tcPr>
            <w:tcW w:type="dxa" w:w="2160"/>
          </w:tcPr>
          <w:p>
            <w:r>
              <w:rPr>
                <w:sz w:val="20"/>
              </w:rPr>
              <w:t>ship-country</w:t>
            </w:r>
          </w:p>
        </w:tc>
        <w:tc>
          <w:tcPr>
            <w:tcW w:type="dxa" w:w="1440"/>
          </w:tcPr>
          <w:p>
            <w:r>
              <w:rPr>
                <w:sz w:val="20"/>
              </w:rPr>
              <w:t>object</w:t>
            </w:r>
          </w:p>
        </w:tc>
        <w:tc>
          <w:tcPr>
            <w:tcW w:type="dxa" w:w="4608"/>
          </w:tcPr>
          <w:p>
            <w:r>
              <w:rPr>
                <w:sz w:val="20"/>
              </w:rPr>
              <w:t>Destination country (IN)</w:t>
            </w:r>
          </w:p>
        </w:tc>
      </w:tr>
      <w:tr>
        <w:tc>
          <w:tcPr>
            <w:tcW w:type="dxa" w:w="432"/>
            <w:shd w:fill="EBF3FB" w:val="clear"/>
          </w:tcPr>
          <w:p>
            <w:r>
              <w:rPr>
                <w:sz w:val="20"/>
              </w:rPr>
              <w:t>21</w:t>
            </w:r>
          </w:p>
        </w:tc>
        <w:tc>
          <w:tcPr>
            <w:tcW w:type="dxa" w:w="2160"/>
            <w:shd w:fill="EBF3FB" w:val="clear"/>
          </w:tcPr>
          <w:p>
            <w:r>
              <w:rPr>
                <w:sz w:val="20"/>
              </w:rPr>
              <w:t>promotion-ids</w:t>
            </w:r>
          </w:p>
        </w:tc>
        <w:tc>
          <w:tcPr>
            <w:tcW w:type="dxa" w:w="1440"/>
            <w:shd w:fill="EBF3FB" w:val="clear"/>
          </w:tcPr>
          <w:p>
            <w:r>
              <w:rPr>
                <w:sz w:val="20"/>
              </w:rPr>
              <w:t>object</w:t>
            </w:r>
          </w:p>
        </w:tc>
        <w:tc>
          <w:tcPr>
            <w:tcW w:type="dxa" w:w="4608"/>
            <w:shd w:fill="EBF3FB" w:val="clear"/>
          </w:tcPr>
          <w:p>
            <w:r>
              <w:rPr>
                <w:sz w:val="20"/>
              </w:rPr>
              <w:t>Applied promotion codes (38.1% null)</w:t>
            </w:r>
          </w:p>
        </w:tc>
      </w:tr>
      <w:tr>
        <w:tc>
          <w:tcPr>
            <w:tcW w:type="dxa" w:w="432"/>
          </w:tcPr>
          <w:p>
            <w:r>
              <w:rPr>
                <w:sz w:val="20"/>
              </w:rPr>
              <w:t>22</w:t>
            </w:r>
          </w:p>
        </w:tc>
        <w:tc>
          <w:tcPr>
            <w:tcW w:type="dxa" w:w="2160"/>
          </w:tcPr>
          <w:p>
            <w:r>
              <w:rPr>
                <w:sz w:val="20"/>
              </w:rPr>
              <w:t>B2B</w:t>
            </w:r>
          </w:p>
        </w:tc>
        <w:tc>
          <w:tcPr>
            <w:tcW w:type="dxa" w:w="1440"/>
          </w:tcPr>
          <w:p>
            <w:r>
              <w:rPr>
                <w:sz w:val="20"/>
              </w:rPr>
              <w:t>bool</w:t>
            </w:r>
          </w:p>
        </w:tc>
        <w:tc>
          <w:tcPr>
            <w:tcW w:type="dxa" w:w="4608"/>
          </w:tcPr>
          <w:p>
            <w:r>
              <w:rPr>
                <w:sz w:val="20"/>
              </w:rPr>
              <w:t>Business-to-business flag</w:t>
            </w:r>
          </w:p>
        </w:tc>
      </w:tr>
      <w:tr>
        <w:tc>
          <w:tcPr>
            <w:tcW w:type="dxa" w:w="432"/>
            <w:shd w:fill="EBF3FB" w:val="clear"/>
          </w:tcPr>
          <w:p>
            <w:r>
              <w:rPr>
                <w:sz w:val="20"/>
              </w:rPr>
              <w:t>23</w:t>
            </w:r>
          </w:p>
        </w:tc>
        <w:tc>
          <w:tcPr>
            <w:tcW w:type="dxa" w:w="2160"/>
            <w:shd w:fill="EBF3FB" w:val="clear"/>
          </w:tcPr>
          <w:p>
            <w:r>
              <w:rPr>
                <w:sz w:val="20"/>
              </w:rPr>
              <w:t>fulfilled-by</w:t>
            </w:r>
          </w:p>
        </w:tc>
        <w:tc>
          <w:tcPr>
            <w:tcW w:type="dxa" w:w="1440"/>
            <w:shd w:fill="EBF3FB" w:val="clear"/>
          </w:tcPr>
          <w:p>
            <w:r>
              <w:rPr>
                <w:sz w:val="20"/>
              </w:rPr>
              <w:t>object</w:t>
            </w:r>
          </w:p>
        </w:tc>
        <w:tc>
          <w:tcPr>
            <w:tcW w:type="dxa" w:w="4608"/>
            <w:shd w:fill="EBF3FB" w:val="clear"/>
          </w:tcPr>
          <w:p>
            <w:r>
              <w:rPr>
                <w:sz w:val="20"/>
              </w:rPr>
              <w:t>Fulfilment agent (69.6% null for Amazon FBA)</w:t>
            </w:r>
          </w:p>
        </w:tc>
      </w:tr>
      <w:tr>
        <w:tc>
          <w:tcPr>
            <w:tcW w:type="dxa" w:w="432"/>
          </w:tcPr>
          <w:p>
            <w:r>
              <w:rPr>
                <w:sz w:val="20"/>
              </w:rPr>
              <w:t>24</w:t>
            </w:r>
          </w:p>
        </w:tc>
        <w:tc>
          <w:tcPr>
            <w:tcW w:type="dxa" w:w="2160"/>
          </w:tcPr>
          <w:p>
            <w:r>
              <w:rPr>
                <w:sz w:val="20"/>
              </w:rPr>
              <w:t>Unnamed: 22</w:t>
            </w:r>
          </w:p>
        </w:tc>
        <w:tc>
          <w:tcPr>
            <w:tcW w:type="dxa" w:w="1440"/>
          </w:tcPr>
          <w:p>
            <w:r>
              <w:rPr>
                <w:sz w:val="20"/>
              </w:rPr>
              <w:t>object</w:t>
            </w:r>
          </w:p>
        </w:tc>
        <w:tc>
          <w:tcPr>
            <w:tcW w:type="dxa" w:w="4608"/>
          </w:tcPr>
          <w:p>
            <w:r>
              <w:rPr>
                <w:sz w:val="20"/>
              </w:rPr>
              <w:t>Empty junk column (dropped)</w:t>
            </w:r>
          </w:p>
        </w:tc>
      </w:tr>
    </w:tbl>
    <w:p/>
    <w:p>
      <w:r>
        <w:br w:type="page"/>
      </w:r>
    </w:p>
    <w:p>
      <w:pPr>
        <w:pStyle w:val="Heading1"/>
      </w:pPr>
      <w:r>
        <w:rPr>
          <w:color w:val="1F4E79"/>
          <w:sz w:val="32"/>
        </w:rPr>
        <w:t>9. Data Quality Analysis</w:t>
      </w:r>
    </w:p>
    <w:p>
      <w:pPr>
        <w:spacing w:after="160"/>
      </w:pPr>
      <w:r>
        <w:rPr>
          <w:b w:val="0"/>
          <w:i w:val="0"/>
          <w:sz w:val="22"/>
        </w:rPr>
        <w:t>A comprehensive data quality audit was performed before any analytics. Results are displayed in the Data Quality module of the dashboard.</w:t>
      </w:r>
    </w:p>
    <w:p>
      <w:pPr>
        <w:pStyle w:val="Heading2"/>
      </w:pPr>
      <w:r>
        <w:rPr>
          <w:color w:val="2E74B5"/>
          <w:sz w:val="26"/>
        </w:rPr>
        <w:t>9.1 Numerical Statistics</w:t>
      </w:r>
    </w:p>
    <w:tbl>
      <w:tblPr>
        <w:tblStyle w:val="TableGrid"/>
        <w:tblW w:type="auto" w:w="0"/>
        <w:tblLook w:firstColumn="1" w:firstRow="1" w:lastColumn="0" w:lastRow="0" w:noHBand="0" w:noVBand="1" w:val="04A0"/>
      </w:tblPr>
      <w:tblGrid>
        <w:gridCol w:w="3041"/>
        <w:gridCol w:w="3041"/>
        <w:gridCol w:w="3041"/>
      </w:tblGrid>
      <w:tr>
        <w:tc>
          <w:tcPr>
            <w:tcW w:type="dxa" w:w="2880"/>
            <w:shd w:fill="1F4E79" w:color="FFFFFF" w:val="clear"/>
          </w:tcPr>
          <w:p>
            <w:r>
              <w:rPr>
                <w:b/>
                <w:color w:val="FFFFFF"/>
                <w:sz w:val="20"/>
              </w:rPr>
              <w:t>Statistic</w:t>
            </w:r>
          </w:p>
        </w:tc>
        <w:tc>
          <w:tcPr>
            <w:tcW w:type="dxa" w:w="2880"/>
            <w:shd w:fill="1F4E79" w:color="FFFFFF" w:val="clear"/>
          </w:tcPr>
          <w:p>
            <w:r>
              <w:rPr>
                <w:b/>
                <w:color w:val="FFFFFF"/>
                <w:sz w:val="20"/>
              </w:rPr>
              <w:t>Qty</w:t>
            </w:r>
          </w:p>
        </w:tc>
        <w:tc>
          <w:tcPr>
            <w:tcW w:type="dxa" w:w="2880"/>
            <w:shd w:fill="1F4E79" w:color="FFFFFF" w:val="clear"/>
          </w:tcPr>
          <w:p>
            <w:r>
              <w:rPr>
                <w:b/>
                <w:color w:val="FFFFFF"/>
                <w:sz w:val="20"/>
              </w:rPr>
              <w:t>Amount (INR)</w:t>
            </w:r>
          </w:p>
        </w:tc>
      </w:tr>
      <w:tr>
        <w:tc>
          <w:tcPr>
            <w:tcW w:type="dxa" w:w="2880"/>
            <w:shd w:fill="EBF3FB" w:val="clear"/>
          </w:tcPr>
          <w:p>
            <w:r>
              <w:rPr>
                <w:sz w:val="20"/>
              </w:rPr>
              <w:t>Count</w:t>
            </w:r>
          </w:p>
        </w:tc>
        <w:tc>
          <w:tcPr>
            <w:tcW w:type="dxa" w:w="2880"/>
            <w:shd w:fill="EBF3FB" w:val="clear"/>
          </w:tcPr>
          <w:p>
            <w:r>
              <w:rPr>
                <w:sz w:val="20"/>
              </w:rPr>
              <w:t>128,975</w:t>
            </w:r>
          </w:p>
        </w:tc>
        <w:tc>
          <w:tcPr>
            <w:tcW w:type="dxa" w:w="2880"/>
            <w:shd w:fill="EBF3FB" w:val="clear"/>
          </w:tcPr>
          <w:p>
            <w:r>
              <w:rPr>
                <w:sz w:val="20"/>
              </w:rPr>
              <w:t>121,180</w:t>
            </w:r>
          </w:p>
        </w:tc>
      </w:tr>
      <w:tr>
        <w:tc>
          <w:tcPr>
            <w:tcW w:type="dxa" w:w="2880"/>
          </w:tcPr>
          <w:p>
            <w:r>
              <w:rPr>
                <w:sz w:val="20"/>
              </w:rPr>
              <w:t>Mean</w:t>
            </w:r>
          </w:p>
        </w:tc>
        <w:tc>
          <w:tcPr>
            <w:tcW w:type="dxa" w:w="2880"/>
          </w:tcPr>
          <w:p>
            <w:r>
              <w:rPr>
                <w:sz w:val="20"/>
              </w:rPr>
              <w:t>0.904</w:t>
            </w:r>
          </w:p>
        </w:tc>
        <w:tc>
          <w:tcPr>
            <w:tcW w:type="dxa" w:w="2880"/>
          </w:tcPr>
          <w:p>
            <w:r>
              <w:rPr>
                <w:sz w:val="20"/>
              </w:rPr>
              <w:t>648.56</w:t>
            </w:r>
          </w:p>
        </w:tc>
      </w:tr>
      <w:tr>
        <w:tc>
          <w:tcPr>
            <w:tcW w:type="dxa" w:w="2880"/>
            <w:shd w:fill="EBF3FB" w:val="clear"/>
          </w:tcPr>
          <w:p>
            <w:r>
              <w:rPr>
                <w:sz w:val="20"/>
              </w:rPr>
              <w:t>Std</w:t>
            </w:r>
          </w:p>
        </w:tc>
        <w:tc>
          <w:tcPr>
            <w:tcW w:type="dxa" w:w="2880"/>
            <w:shd w:fill="EBF3FB" w:val="clear"/>
          </w:tcPr>
          <w:p>
            <w:r>
              <w:rPr>
                <w:sz w:val="20"/>
              </w:rPr>
              <w:t>0.313</w:t>
            </w:r>
          </w:p>
        </w:tc>
        <w:tc>
          <w:tcPr>
            <w:tcW w:type="dxa" w:w="2880"/>
            <w:shd w:fill="EBF3FB" w:val="clear"/>
          </w:tcPr>
          <w:p>
            <w:r>
              <w:rPr>
                <w:sz w:val="20"/>
              </w:rPr>
              <w:t>281.21</w:t>
            </w:r>
          </w:p>
        </w:tc>
      </w:tr>
      <w:tr>
        <w:tc>
          <w:tcPr>
            <w:tcW w:type="dxa" w:w="2880"/>
          </w:tcPr>
          <w:p>
            <w:r>
              <w:rPr>
                <w:sz w:val="20"/>
              </w:rPr>
              <w:t>Min</w:t>
            </w:r>
          </w:p>
        </w:tc>
        <w:tc>
          <w:tcPr>
            <w:tcW w:type="dxa" w:w="2880"/>
          </w:tcPr>
          <w:p>
            <w:r>
              <w:rPr>
                <w:sz w:val="20"/>
              </w:rPr>
              <w:t>0</w:t>
            </w:r>
          </w:p>
        </w:tc>
        <w:tc>
          <w:tcPr>
            <w:tcW w:type="dxa" w:w="2880"/>
          </w:tcPr>
          <w:p>
            <w:r>
              <w:rPr>
                <w:sz w:val="20"/>
              </w:rPr>
              <w:t>0.00</w:t>
            </w:r>
          </w:p>
        </w:tc>
      </w:tr>
      <w:tr>
        <w:tc>
          <w:tcPr>
            <w:tcW w:type="dxa" w:w="2880"/>
            <w:shd w:fill="EBF3FB" w:val="clear"/>
          </w:tcPr>
          <w:p>
            <w:r>
              <w:rPr>
                <w:sz w:val="20"/>
              </w:rPr>
              <w:t>25th Percentile</w:t>
            </w:r>
          </w:p>
        </w:tc>
        <w:tc>
          <w:tcPr>
            <w:tcW w:type="dxa" w:w="2880"/>
            <w:shd w:fill="EBF3FB" w:val="clear"/>
          </w:tcPr>
          <w:p>
            <w:r>
              <w:rPr>
                <w:sz w:val="20"/>
              </w:rPr>
              <w:t>1</w:t>
            </w:r>
          </w:p>
        </w:tc>
        <w:tc>
          <w:tcPr>
            <w:tcW w:type="dxa" w:w="2880"/>
            <w:shd w:fill="EBF3FB" w:val="clear"/>
          </w:tcPr>
          <w:p>
            <w:r>
              <w:rPr>
                <w:sz w:val="20"/>
              </w:rPr>
              <w:t>449.00</w:t>
            </w:r>
          </w:p>
        </w:tc>
      </w:tr>
      <w:tr>
        <w:tc>
          <w:tcPr>
            <w:tcW w:type="dxa" w:w="2880"/>
          </w:tcPr>
          <w:p>
            <w:r>
              <w:rPr>
                <w:sz w:val="20"/>
              </w:rPr>
              <w:t>Median</w:t>
            </w:r>
          </w:p>
        </w:tc>
        <w:tc>
          <w:tcPr>
            <w:tcW w:type="dxa" w:w="2880"/>
          </w:tcPr>
          <w:p>
            <w:r>
              <w:rPr>
                <w:sz w:val="20"/>
              </w:rPr>
              <w:t>1</w:t>
            </w:r>
          </w:p>
        </w:tc>
        <w:tc>
          <w:tcPr>
            <w:tcW w:type="dxa" w:w="2880"/>
          </w:tcPr>
          <w:p>
            <w:r>
              <w:rPr>
                <w:sz w:val="20"/>
              </w:rPr>
              <w:t>605.00</w:t>
            </w:r>
          </w:p>
        </w:tc>
      </w:tr>
      <w:tr>
        <w:tc>
          <w:tcPr>
            <w:tcW w:type="dxa" w:w="2880"/>
            <w:shd w:fill="EBF3FB" w:val="clear"/>
          </w:tcPr>
          <w:p>
            <w:r>
              <w:rPr>
                <w:sz w:val="20"/>
              </w:rPr>
              <w:t>75th Percentile</w:t>
            </w:r>
          </w:p>
        </w:tc>
        <w:tc>
          <w:tcPr>
            <w:tcW w:type="dxa" w:w="2880"/>
            <w:shd w:fill="EBF3FB" w:val="clear"/>
          </w:tcPr>
          <w:p>
            <w:r>
              <w:rPr>
                <w:sz w:val="20"/>
              </w:rPr>
              <w:t>1</w:t>
            </w:r>
          </w:p>
        </w:tc>
        <w:tc>
          <w:tcPr>
            <w:tcW w:type="dxa" w:w="2880"/>
            <w:shd w:fill="EBF3FB" w:val="clear"/>
          </w:tcPr>
          <w:p>
            <w:r>
              <w:rPr>
                <w:sz w:val="20"/>
              </w:rPr>
              <w:t>788.00</w:t>
            </w:r>
          </w:p>
        </w:tc>
      </w:tr>
      <w:tr>
        <w:tc>
          <w:tcPr>
            <w:tcW w:type="dxa" w:w="2880"/>
          </w:tcPr>
          <w:p>
            <w:r>
              <w:rPr>
                <w:sz w:val="20"/>
              </w:rPr>
              <w:t>Max</w:t>
            </w:r>
          </w:p>
        </w:tc>
        <w:tc>
          <w:tcPr>
            <w:tcW w:type="dxa" w:w="2880"/>
          </w:tcPr>
          <w:p>
            <w:r>
              <w:rPr>
                <w:sz w:val="20"/>
              </w:rPr>
              <w:t>15</w:t>
            </w:r>
          </w:p>
        </w:tc>
        <w:tc>
          <w:tcPr>
            <w:tcW w:type="dxa" w:w="2880"/>
          </w:tcPr>
          <w:p>
            <w:r>
              <w:rPr>
                <w:sz w:val="20"/>
              </w:rPr>
              <w:t>5,584.00</w:t>
            </w:r>
          </w:p>
        </w:tc>
      </w:tr>
    </w:tbl>
    <w:p/>
    <w:p>
      <w:pPr>
        <w:pStyle w:val="Heading1"/>
      </w:pPr>
      <w:r>
        <w:rPr>
          <w:color w:val="1F4E79"/>
          <w:sz w:val="32"/>
        </w:rPr>
        <w:t>10. Missing Value Analysis</w:t>
      </w:r>
    </w:p>
    <w:tbl>
      <w:tblPr>
        <w:tblStyle w:val="TableGrid"/>
        <w:tblW w:type="auto" w:w="0"/>
        <w:tblLook w:firstColumn="1" w:firstRow="1" w:lastColumn="0" w:lastRow="0" w:noHBand="0" w:noVBand="1" w:val="04A0"/>
      </w:tblPr>
      <w:tblGrid>
        <w:gridCol w:w="2280"/>
        <w:gridCol w:w="2280"/>
        <w:gridCol w:w="2280"/>
        <w:gridCol w:w="2280"/>
      </w:tblGrid>
      <w:tr>
        <w:tc>
          <w:tcPr>
            <w:tcW w:type="dxa" w:w="2592"/>
            <w:shd w:fill="1F4E79" w:color="FFFFFF" w:val="clear"/>
          </w:tcPr>
          <w:p>
            <w:r>
              <w:rPr>
                <w:b/>
                <w:color w:val="FFFFFF"/>
                <w:sz w:val="20"/>
              </w:rPr>
              <w:t>Column</w:t>
            </w:r>
          </w:p>
        </w:tc>
        <w:tc>
          <w:tcPr>
            <w:tcW w:type="dxa" w:w="1728"/>
            <w:shd w:fill="1F4E79" w:color="FFFFFF" w:val="clear"/>
          </w:tcPr>
          <w:p>
            <w:r>
              <w:rPr>
                <w:b/>
                <w:color w:val="FFFFFF"/>
                <w:sz w:val="20"/>
              </w:rPr>
              <w:t>Missing Rows</w:t>
            </w:r>
          </w:p>
        </w:tc>
        <w:tc>
          <w:tcPr>
            <w:tcW w:type="dxa" w:w="1440"/>
            <w:shd w:fill="1F4E79" w:color="FFFFFF" w:val="clear"/>
          </w:tcPr>
          <w:p>
            <w:r>
              <w:rPr>
                <w:b/>
                <w:color w:val="FFFFFF"/>
                <w:sz w:val="20"/>
              </w:rPr>
              <w:t>Missing %</w:t>
            </w:r>
          </w:p>
        </w:tc>
        <w:tc>
          <w:tcPr>
            <w:tcW w:type="dxa" w:w="4032"/>
            <w:shd w:fill="1F4E79" w:color="FFFFFF" w:val="clear"/>
          </w:tcPr>
          <w:p>
            <w:r>
              <w:rPr>
                <w:b/>
                <w:color w:val="FFFFFF"/>
                <w:sz w:val="20"/>
              </w:rPr>
              <w:t>Treatment</w:t>
            </w:r>
          </w:p>
        </w:tc>
      </w:tr>
      <w:tr>
        <w:tc>
          <w:tcPr>
            <w:tcW w:type="dxa" w:w="2592"/>
            <w:shd w:fill="EBF3FB" w:val="clear"/>
          </w:tcPr>
          <w:p>
            <w:r>
              <w:rPr>
                <w:sz w:val="20"/>
              </w:rPr>
              <w:t>fulfilled-by</w:t>
            </w:r>
          </w:p>
        </w:tc>
        <w:tc>
          <w:tcPr>
            <w:tcW w:type="dxa" w:w="1728"/>
            <w:shd w:fill="EBF3FB" w:val="clear"/>
          </w:tcPr>
          <w:p>
            <w:r>
              <w:rPr>
                <w:sz w:val="20"/>
              </w:rPr>
              <w:t>89,698</w:t>
            </w:r>
          </w:p>
        </w:tc>
        <w:tc>
          <w:tcPr>
            <w:tcW w:type="dxa" w:w="1440"/>
            <w:shd w:fill="EBF3FB" w:val="clear"/>
          </w:tcPr>
          <w:p>
            <w:r>
              <w:rPr>
                <w:sz w:val="20"/>
              </w:rPr>
              <w:t>69.55%</w:t>
            </w:r>
          </w:p>
        </w:tc>
        <w:tc>
          <w:tcPr>
            <w:tcW w:type="dxa" w:w="4032"/>
            <w:shd w:fill="EBF3FB" w:val="clear"/>
          </w:tcPr>
          <w:p>
            <w:r>
              <w:rPr>
                <w:sz w:val="20"/>
              </w:rPr>
              <w:t>Derived from Fulfilment column</w:t>
            </w:r>
          </w:p>
        </w:tc>
      </w:tr>
      <w:tr>
        <w:tc>
          <w:tcPr>
            <w:tcW w:type="dxa" w:w="2592"/>
          </w:tcPr>
          <w:p>
            <w:r>
              <w:rPr>
                <w:sz w:val="20"/>
              </w:rPr>
              <w:t>promotion-ids</w:t>
            </w:r>
          </w:p>
        </w:tc>
        <w:tc>
          <w:tcPr>
            <w:tcW w:type="dxa" w:w="1728"/>
          </w:tcPr>
          <w:p>
            <w:r>
              <w:rPr>
                <w:sz w:val="20"/>
              </w:rPr>
              <w:t>49,153</w:t>
            </w:r>
          </w:p>
        </w:tc>
        <w:tc>
          <w:tcPr>
            <w:tcW w:type="dxa" w:w="1440"/>
          </w:tcPr>
          <w:p>
            <w:r>
              <w:rPr>
                <w:sz w:val="20"/>
              </w:rPr>
              <w:t>38.11%</w:t>
            </w:r>
          </w:p>
        </w:tc>
        <w:tc>
          <w:tcPr>
            <w:tcW w:type="dxa" w:w="4032"/>
          </w:tcPr>
          <w:p>
            <w:r>
              <w:rPr>
                <w:sz w:val="20"/>
              </w:rPr>
              <w:t>Filled with 'None'</w:t>
            </w:r>
          </w:p>
        </w:tc>
      </w:tr>
      <w:tr>
        <w:tc>
          <w:tcPr>
            <w:tcW w:type="dxa" w:w="2592"/>
            <w:shd w:fill="EBF3FB" w:val="clear"/>
          </w:tcPr>
          <w:p>
            <w:r>
              <w:rPr>
                <w:sz w:val="20"/>
              </w:rPr>
              <w:t>Unnamed: 22</w:t>
            </w:r>
          </w:p>
        </w:tc>
        <w:tc>
          <w:tcPr>
            <w:tcW w:type="dxa" w:w="1728"/>
            <w:shd w:fill="EBF3FB" w:val="clear"/>
          </w:tcPr>
          <w:p>
            <w:r>
              <w:rPr>
                <w:sz w:val="20"/>
              </w:rPr>
              <w:t>49,050</w:t>
            </w:r>
          </w:p>
        </w:tc>
        <w:tc>
          <w:tcPr>
            <w:tcW w:type="dxa" w:w="1440"/>
            <w:shd w:fill="EBF3FB" w:val="clear"/>
          </w:tcPr>
          <w:p>
            <w:r>
              <w:rPr>
                <w:sz w:val="20"/>
              </w:rPr>
              <w:t>38.03%</w:t>
            </w:r>
          </w:p>
        </w:tc>
        <w:tc>
          <w:tcPr>
            <w:tcW w:type="dxa" w:w="4032"/>
            <w:shd w:fill="EBF3FB" w:val="clear"/>
          </w:tcPr>
          <w:p>
            <w:r>
              <w:rPr>
                <w:sz w:val="20"/>
              </w:rPr>
              <w:t>Column dropped entirely</w:t>
            </w:r>
          </w:p>
        </w:tc>
      </w:tr>
      <w:tr>
        <w:tc>
          <w:tcPr>
            <w:tcW w:type="dxa" w:w="2592"/>
          </w:tcPr>
          <w:p>
            <w:r>
              <w:rPr>
                <w:sz w:val="20"/>
              </w:rPr>
              <w:t>currency</w:t>
            </w:r>
          </w:p>
        </w:tc>
        <w:tc>
          <w:tcPr>
            <w:tcW w:type="dxa" w:w="1728"/>
          </w:tcPr>
          <w:p>
            <w:r>
              <w:rPr>
                <w:sz w:val="20"/>
              </w:rPr>
              <w:t>7,795</w:t>
            </w:r>
          </w:p>
        </w:tc>
        <w:tc>
          <w:tcPr>
            <w:tcW w:type="dxa" w:w="1440"/>
          </w:tcPr>
          <w:p>
            <w:r>
              <w:rPr>
                <w:sz w:val="20"/>
              </w:rPr>
              <w:t>6.04%</w:t>
            </w:r>
          </w:p>
        </w:tc>
        <w:tc>
          <w:tcPr>
            <w:tcW w:type="dxa" w:w="4032"/>
          </w:tcPr>
          <w:p>
            <w:r>
              <w:rPr>
                <w:sz w:val="20"/>
              </w:rPr>
              <w:t>Filled with 'INR'</w:t>
            </w:r>
          </w:p>
        </w:tc>
      </w:tr>
      <w:tr>
        <w:tc>
          <w:tcPr>
            <w:tcW w:type="dxa" w:w="2592"/>
            <w:shd w:fill="EBF3FB" w:val="clear"/>
          </w:tcPr>
          <w:p>
            <w:r>
              <w:rPr>
                <w:sz w:val="20"/>
              </w:rPr>
              <w:t>Amount</w:t>
            </w:r>
          </w:p>
        </w:tc>
        <w:tc>
          <w:tcPr>
            <w:tcW w:type="dxa" w:w="1728"/>
            <w:shd w:fill="EBF3FB" w:val="clear"/>
          </w:tcPr>
          <w:p>
            <w:r>
              <w:rPr>
                <w:sz w:val="20"/>
              </w:rPr>
              <w:t>7,795</w:t>
            </w:r>
          </w:p>
        </w:tc>
        <w:tc>
          <w:tcPr>
            <w:tcW w:type="dxa" w:w="1440"/>
            <w:shd w:fill="EBF3FB" w:val="clear"/>
          </w:tcPr>
          <w:p>
            <w:r>
              <w:rPr>
                <w:sz w:val="20"/>
              </w:rPr>
              <w:t>6.04%</w:t>
            </w:r>
          </w:p>
        </w:tc>
        <w:tc>
          <w:tcPr>
            <w:tcW w:type="dxa" w:w="4032"/>
            <w:shd w:fill="EBF3FB" w:val="clear"/>
          </w:tcPr>
          <w:p>
            <w:r>
              <w:rPr>
                <w:sz w:val="20"/>
              </w:rPr>
              <w:t>Rows kept; excluded from revenue calcs</w:t>
            </w:r>
          </w:p>
        </w:tc>
      </w:tr>
      <w:tr>
        <w:tc>
          <w:tcPr>
            <w:tcW w:type="dxa" w:w="2592"/>
          </w:tcPr>
          <w:p>
            <w:r>
              <w:rPr>
                <w:sz w:val="20"/>
              </w:rPr>
              <w:t>Courier Status</w:t>
            </w:r>
          </w:p>
        </w:tc>
        <w:tc>
          <w:tcPr>
            <w:tcW w:type="dxa" w:w="1728"/>
          </w:tcPr>
          <w:p>
            <w:r>
              <w:rPr>
                <w:sz w:val="20"/>
              </w:rPr>
              <w:t>6,872</w:t>
            </w:r>
          </w:p>
        </w:tc>
        <w:tc>
          <w:tcPr>
            <w:tcW w:type="dxa" w:w="1440"/>
          </w:tcPr>
          <w:p>
            <w:r>
              <w:rPr>
                <w:sz w:val="20"/>
              </w:rPr>
              <w:t>5.33%</w:t>
            </w:r>
          </w:p>
        </w:tc>
        <w:tc>
          <w:tcPr>
            <w:tcW w:type="dxa" w:w="4032"/>
          </w:tcPr>
          <w:p>
            <w:r>
              <w:rPr>
                <w:sz w:val="20"/>
              </w:rPr>
              <w:t>Filled with 'Unknown'</w:t>
            </w:r>
          </w:p>
        </w:tc>
      </w:tr>
      <w:tr>
        <w:tc>
          <w:tcPr>
            <w:tcW w:type="dxa" w:w="2592"/>
            <w:shd w:fill="EBF3FB" w:val="clear"/>
          </w:tcPr>
          <w:p>
            <w:r>
              <w:rPr>
                <w:sz w:val="20"/>
              </w:rPr>
              <w:t>ship-city</w:t>
            </w:r>
          </w:p>
        </w:tc>
        <w:tc>
          <w:tcPr>
            <w:tcW w:type="dxa" w:w="1728"/>
            <w:shd w:fill="EBF3FB" w:val="clear"/>
          </w:tcPr>
          <w:p>
            <w:r>
              <w:rPr>
                <w:sz w:val="20"/>
              </w:rPr>
              <w:t>33</w:t>
            </w:r>
          </w:p>
        </w:tc>
        <w:tc>
          <w:tcPr>
            <w:tcW w:type="dxa" w:w="1440"/>
            <w:shd w:fill="EBF3FB" w:val="clear"/>
          </w:tcPr>
          <w:p>
            <w:r>
              <w:rPr>
                <w:sz w:val="20"/>
              </w:rPr>
              <w:t>0.03%</w:t>
            </w:r>
          </w:p>
        </w:tc>
        <w:tc>
          <w:tcPr>
            <w:tcW w:type="dxa" w:w="4032"/>
            <w:shd w:fill="EBF3FB" w:val="clear"/>
          </w:tcPr>
          <w:p>
            <w:r>
              <w:rPr>
                <w:sz w:val="20"/>
              </w:rPr>
              <w:t>Filled with 'UNKNOWN'</w:t>
            </w:r>
          </w:p>
        </w:tc>
      </w:tr>
      <w:tr>
        <w:tc>
          <w:tcPr>
            <w:tcW w:type="dxa" w:w="2592"/>
          </w:tcPr>
          <w:p>
            <w:r>
              <w:rPr>
                <w:sz w:val="20"/>
              </w:rPr>
              <w:t>ship-state</w:t>
            </w:r>
          </w:p>
        </w:tc>
        <w:tc>
          <w:tcPr>
            <w:tcW w:type="dxa" w:w="1728"/>
          </w:tcPr>
          <w:p>
            <w:r>
              <w:rPr>
                <w:sz w:val="20"/>
              </w:rPr>
              <w:t>33</w:t>
            </w:r>
          </w:p>
        </w:tc>
        <w:tc>
          <w:tcPr>
            <w:tcW w:type="dxa" w:w="1440"/>
          </w:tcPr>
          <w:p>
            <w:r>
              <w:rPr>
                <w:sz w:val="20"/>
              </w:rPr>
              <w:t>0.03%</w:t>
            </w:r>
          </w:p>
        </w:tc>
        <w:tc>
          <w:tcPr>
            <w:tcW w:type="dxa" w:w="4032"/>
          </w:tcPr>
          <w:p>
            <w:r>
              <w:rPr>
                <w:sz w:val="20"/>
              </w:rPr>
              <w:t>Filled with 'UNKNOWN'</w:t>
            </w:r>
          </w:p>
        </w:tc>
      </w:tr>
      <w:tr>
        <w:tc>
          <w:tcPr>
            <w:tcW w:type="dxa" w:w="2592"/>
            <w:shd w:fill="EBF3FB" w:val="clear"/>
          </w:tcPr>
          <w:p>
            <w:r>
              <w:rPr>
                <w:sz w:val="20"/>
              </w:rPr>
              <w:t>ship-postal-code</w:t>
            </w:r>
          </w:p>
        </w:tc>
        <w:tc>
          <w:tcPr>
            <w:tcW w:type="dxa" w:w="1728"/>
            <w:shd w:fill="EBF3FB" w:val="clear"/>
          </w:tcPr>
          <w:p>
            <w:r>
              <w:rPr>
                <w:sz w:val="20"/>
              </w:rPr>
              <w:t>33</w:t>
            </w:r>
          </w:p>
        </w:tc>
        <w:tc>
          <w:tcPr>
            <w:tcW w:type="dxa" w:w="1440"/>
            <w:shd w:fill="EBF3FB" w:val="clear"/>
          </w:tcPr>
          <w:p>
            <w:r>
              <w:rPr>
                <w:sz w:val="20"/>
              </w:rPr>
              <w:t>0.03%</w:t>
            </w:r>
          </w:p>
        </w:tc>
        <w:tc>
          <w:tcPr>
            <w:tcW w:type="dxa" w:w="4032"/>
            <w:shd w:fill="EBF3FB" w:val="clear"/>
          </w:tcPr>
          <w:p>
            <w:r>
              <w:rPr>
                <w:sz w:val="20"/>
              </w:rPr>
              <w:t>Not used in analytics</w:t>
            </w:r>
          </w:p>
        </w:tc>
      </w:tr>
    </w:tbl>
    <w:p/>
    <w:p>
      <w:pPr>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_missing_values.png"/>
                    <pic:cNvPicPr/>
                  </pic:nvPicPr>
                  <pic:blipFill>
                    <a:blip r:embed="rId9"/>
                    <a:stretch>
                      <a:fillRect/>
                    </a:stretch>
                  </pic:blipFill>
                  <pic:spPr>
                    <a:xfrm>
                      <a:off x="0" y="0"/>
                      <a:ext cx="5486400" cy="3017520"/>
                    </a:xfrm>
                    <a:prstGeom prst="rect"/>
                  </pic:spPr>
                </pic:pic>
              </a:graphicData>
            </a:graphic>
          </wp:inline>
        </w:drawing>
      </w:r>
    </w:p>
    <w:p>
      <w:pPr>
        <w:spacing w:after="240"/>
        <w:jc w:val="center"/>
      </w:pPr>
      <w:r>
        <w:rPr>
          <w:i/>
          <w:color w:val="555555"/>
          <w:sz w:val="18"/>
        </w:rPr>
        <w:t>Fig. 1 -- Missing Values Bar Chart (Data Quality Module)</w:t>
      </w:r>
    </w:p>
    <w:p>
      <w:pPr>
        <w:pStyle w:val="Heading1"/>
      </w:pPr>
      <w:r>
        <w:rPr>
          <w:color w:val="1F4E79"/>
          <w:sz w:val="32"/>
        </w:rPr>
        <w:t>11. Duplicate Analysis</w:t>
      </w:r>
    </w:p>
    <w:p>
      <w:pPr>
        <w:spacing w:after="160"/>
      </w:pPr>
      <w:r>
        <w:rPr>
          <w:b w:val="0"/>
          <w:i w:val="0"/>
          <w:sz w:val="22"/>
        </w:rPr>
        <w:t>0 fully duplicate rows were found. Every record is unique across all 24 columns.</w:t>
      </w:r>
    </w:p>
    <w:p>
      <w:pPr>
        <w:spacing w:after="320"/>
      </w:pPr>
      <w:r>
        <w:rPr>
          <w:b w:val="0"/>
          <w:i w:val="0"/>
          <w:sz w:val="22"/>
        </w:rPr>
        <w:t>8,597 Order IDs appear more than once. This is not a data error -- a single Amazon order can contain multiple product lines (SKUs). Each line item is recorded as a separate row sharing the same Order ID. Removing duplicate Order IDs would incorrectly discard legitimate multi-item orders.</w:t>
      </w:r>
    </w:p>
    <w:p>
      <w:pPr>
        <w:pStyle w:val="Heading1"/>
      </w:pPr>
      <w:r>
        <w:rPr>
          <w:color w:val="1F4E79"/>
          <w:sz w:val="32"/>
        </w:rPr>
        <w:t>12. Data Cleaning</w:t>
      </w:r>
    </w:p>
    <w:p>
      <w:pPr>
        <w:spacing w:after="160"/>
      </w:pPr>
      <w:r>
        <w:rPr>
          <w:b w:val="0"/>
          <w:i w:val="0"/>
          <w:sz w:val="22"/>
        </w:rPr>
        <w:t>The following cleaning steps are applied in the load_data() function in app.py. The original CSV is never written to or modified.</w:t>
      </w:r>
    </w:p>
    <w:tbl>
      <w:tblPr>
        <w:tblStyle w:val="TableGrid"/>
        <w:tblW w:type="auto" w:w="0"/>
        <w:tblLook w:firstColumn="1" w:firstRow="1" w:lastColumn="0" w:lastRow="0" w:noHBand="0" w:noVBand="1" w:val="04A0"/>
      </w:tblPr>
      <w:tblGrid>
        <w:gridCol w:w="4561"/>
        <w:gridCol w:w="4561"/>
      </w:tblGrid>
      <w:tr>
        <w:tc>
          <w:tcPr>
            <w:tcW w:type="dxa" w:w="2880"/>
            <w:shd w:fill="1F4E79" w:color="FFFFFF" w:val="clear"/>
          </w:tcPr>
          <w:p>
            <w:r>
              <w:rPr>
                <w:b/>
                <w:color w:val="FFFFFF"/>
                <w:sz w:val="20"/>
              </w:rPr>
              <w:t>Step</w:t>
            </w:r>
          </w:p>
        </w:tc>
        <w:tc>
          <w:tcPr>
            <w:tcW w:type="dxa" w:w="5760"/>
            <w:shd w:fill="1F4E79" w:color="FFFFFF" w:val="clear"/>
          </w:tcPr>
          <w:p>
            <w:r>
              <w:rPr>
                <w:b/>
                <w:color w:val="FFFFFF"/>
                <w:sz w:val="20"/>
              </w:rPr>
              <w:t>Action</w:t>
            </w:r>
          </w:p>
        </w:tc>
      </w:tr>
      <w:tr>
        <w:tc>
          <w:tcPr>
            <w:tcW w:type="dxa" w:w="2880"/>
            <w:shd w:fill="EBF3FB" w:val="clear"/>
          </w:tcPr>
          <w:p>
            <w:r>
              <w:rPr>
                <w:sz w:val="20"/>
              </w:rPr>
              <w:t>Column name strip</w:t>
            </w:r>
          </w:p>
        </w:tc>
        <w:tc>
          <w:tcPr>
            <w:tcW w:type="dxa" w:w="5760"/>
            <w:shd w:fill="EBF3FB" w:val="clear"/>
          </w:tcPr>
          <w:p>
            <w:r>
              <w:rPr>
                <w:sz w:val="20"/>
              </w:rPr>
              <w:t>df.columns.str.strip() removes trailing/leading spaces</w:t>
            </w:r>
          </w:p>
        </w:tc>
      </w:tr>
      <w:tr>
        <w:tc>
          <w:tcPr>
            <w:tcW w:type="dxa" w:w="2880"/>
          </w:tcPr>
          <w:p>
            <w:r>
              <w:rPr>
                <w:sz w:val="20"/>
              </w:rPr>
              <w:t>Rename Sales Channel</w:t>
            </w:r>
          </w:p>
        </w:tc>
        <w:tc>
          <w:tcPr>
            <w:tcW w:type="dxa" w:w="5760"/>
          </w:tcPr>
          <w:p>
            <w:r>
              <w:rPr>
                <w:sz w:val="20"/>
              </w:rPr>
              <w:t>"Sales Channel " -&gt; "Sales_Channel"</w:t>
            </w:r>
          </w:p>
        </w:tc>
      </w:tr>
      <w:tr>
        <w:tc>
          <w:tcPr>
            <w:tcW w:type="dxa" w:w="2880"/>
            <w:shd w:fill="EBF3FB" w:val="clear"/>
          </w:tcPr>
          <w:p>
            <w:r>
              <w:rPr>
                <w:sz w:val="20"/>
              </w:rPr>
              <w:t>Drop junk column</w:t>
            </w:r>
          </w:p>
        </w:tc>
        <w:tc>
          <w:tcPr>
            <w:tcW w:type="dxa" w:w="5760"/>
            <w:shd w:fill="EBF3FB" w:val="clear"/>
          </w:tcPr>
          <w:p>
            <w:r>
              <w:rPr>
                <w:sz w:val="20"/>
              </w:rPr>
              <w:t>Unnamed: 22 dropped via drop(errors='ignore')</w:t>
            </w:r>
          </w:p>
        </w:tc>
      </w:tr>
      <w:tr>
        <w:tc>
          <w:tcPr>
            <w:tcW w:type="dxa" w:w="2880"/>
          </w:tcPr>
          <w:p>
            <w:r>
              <w:rPr>
                <w:sz w:val="20"/>
              </w:rPr>
              <w:t>Date parsing</w:t>
            </w:r>
          </w:p>
        </w:tc>
        <w:tc>
          <w:tcPr>
            <w:tcW w:type="dxa" w:w="5760"/>
          </w:tcPr>
          <w:p>
            <w:r>
              <w:rPr>
                <w:sz w:val="20"/>
              </w:rPr>
              <w:t>pd.to_datetime(df["Date"], format="%m-%d-%y", errors="coerce")</w:t>
            </w:r>
          </w:p>
        </w:tc>
      </w:tr>
      <w:tr>
        <w:tc>
          <w:tcPr>
            <w:tcW w:type="dxa" w:w="2880"/>
            <w:shd w:fill="EBF3FB" w:val="clear"/>
          </w:tcPr>
          <w:p>
            <w:r>
              <w:rPr>
                <w:sz w:val="20"/>
              </w:rPr>
              <w:t>State normalisation</w:t>
            </w:r>
          </w:p>
        </w:tc>
        <w:tc>
          <w:tcPr>
            <w:tcW w:type="dxa" w:w="5760"/>
            <w:shd w:fill="EBF3FB" w:val="clear"/>
          </w:tcPr>
          <w:p>
            <w:r>
              <w:rPr>
                <w:sz w:val="20"/>
              </w:rPr>
              <w:t>Strip, uppercase, map ~12 abbreviations to canonical names</w:t>
            </w:r>
          </w:p>
        </w:tc>
      </w:tr>
      <w:tr>
        <w:tc>
          <w:tcPr>
            <w:tcW w:type="dxa" w:w="2880"/>
          </w:tcPr>
          <w:p>
            <w:r>
              <w:rPr>
                <w:sz w:val="20"/>
              </w:rPr>
              <w:t>City normalisation</w:t>
            </w:r>
          </w:p>
        </w:tc>
        <w:tc>
          <w:tcPr>
            <w:tcW w:type="dxa" w:w="5760"/>
          </w:tcPr>
          <w:p>
            <w:r>
              <w:rPr>
                <w:sz w:val="20"/>
              </w:rPr>
              <w:t>Strip and uppercase</w:t>
            </w:r>
          </w:p>
        </w:tc>
      </w:tr>
      <w:tr>
        <w:tc>
          <w:tcPr>
            <w:tcW w:type="dxa" w:w="2880"/>
            <w:shd w:fill="EBF3FB" w:val="clear"/>
          </w:tcPr>
          <w:p>
            <w:r>
              <w:rPr>
                <w:sz w:val="20"/>
              </w:rPr>
              <w:t>Courier Status nulls</w:t>
            </w:r>
          </w:p>
        </w:tc>
        <w:tc>
          <w:tcPr>
            <w:tcW w:type="dxa" w:w="5760"/>
            <w:shd w:fill="EBF3FB" w:val="clear"/>
          </w:tcPr>
          <w:p>
            <w:r>
              <w:rPr>
                <w:sz w:val="20"/>
              </w:rPr>
              <w:t>Fill with "Unknown"</w:t>
            </w:r>
          </w:p>
        </w:tc>
      </w:tr>
      <w:tr>
        <w:tc>
          <w:tcPr>
            <w:tcW w:type="dxa" w:w="2880"/>
          </w:tcPr>
          <w:p>
            <w:r>
              <w:rPr>
                <w:sz w:val="20"/>
              </w:rPr>
              <w:t>fulfilled-by nulls</w:t>
            </w:r>
          </w:p>
        </w:tc>
        <w:tc>
          <w:tcPr>
            <w:tcW w:type="dxa" w:w="5760"/>
          </w:tcPr>
          <w:p>
            <w:r>
              <w:rPr>
                <w:sz w:val="20"/>
              </w:rPr>
              <w:t>Derive: if Fulfilment == "Amazon" -&gt; "Amazon FBA", else "Easy Ship"</w:t>
            </w:r>
          </w:p>
        </w:tc>
      </w:tr>
      <w:tr>
        <w:tc>
          <w:tcPr>
            <w:tcW w:type="dxa" w:w="2880"/>
            <w:shd w:fill="EBF3FB" w:val="clear"/>
          </w:tcPr>
          <w:p>
            <w:r>
              <w:rPr>
                <w:sz w:val="20"/>
              </w:rPr>
              <w:t>promotion-ids nulls</w:t>
            </w:r>
          </w:p>
        </w:tc>
        <w:tc>
          <w:tcPr>
            <w:tcW w:type="dxa" w:w="5760"/>
            <w:shd w:fill="EBF3FB" w:val="clear"/>
          </w:tcPr>
          <w:p>
            <w:r>
              <w:rPr>
                <w:sz w:val="20"/>
              </w:rPr>
              <w:t>Fill with "None"</w:t>
            </w:r>
          </w:p>
        </w:tc>
      </w:tr>
      <w:tr>
        <w:tc>
          <w:tcPr>
            <w:tcW w:type="dxa" w:w="2880"/>
          </w:tcPr>
          <w:p>
            <w:r>
              <w:rPr>
                <w:sz w:val="20"/>
              </w:rPr>
              <w:t>currency nulls</w:t>
            </w:r>
          </w:p>
        </w:tc>
        <w:tc>
          <w:tcPr>
            <w:tcW w:type="dxa" w:w="5760"/>
          </w:tcPr>
          <w:p>
            <w:r>
              <w:rPr>
                <w:sz w:val="20"/>
              </w:rPr>
              <w:t>Fill with "INR"</w:t>
            </w:r>
          </w:p>
        </w:tc>
      </w:tr>
    </w:tbl>
    <w:p/>
    <w:p>
      <w:r>
        <w:br w:type="page"/>
      </w:r>
    </w:p>
    <w:p>
      <w:pPr>
        <w:pStyle w:val="Heading1"/>
      </w:pPr>
      <w:r>
        <w:rPr>
          <w:color w:val="1F4E79"/>
          <w:sz w:val="32"/>
        </w:rPr>
        <w:t>13. Data Preprocessing</w:t>
      </w:r>
    </w:p>
    <w:p>
      <w:pPr>
        <w:pStyle w:val="Heading2"/>
      </w:pPr>
      <w:r>
        <w:rPr>
          <w:color w:val="2E74B5"/>
          <w:sz w:val="26"/>
        </w:rPr>
        <w:t>13.1 Revenue Definition</w:t>
      </w:r>
    </w:p>
    <w:p>
      <w:pPr>
        <w:spacing w:after="160"/>
      </w:pPr>
      <w:r>
        <w:rPr>
          <w:b w:val="0"/>
          <w:i w:val="0"/>
          <w:sz w:val="22"/>
        </w:rPr>
        <w:t>Revenue = Amount if (Amount is not null) AND (Qty &gt; 0), else NaN. This ensures cancelled and null-amount rows are excluded from revenue totals.</w:t>
      </w:r>
    </w:p>
    <w:p>
      <w:pPr>
        <w:pStyle w:val="Heading2"/>
      </w:pPr>
      <w:r>
        <w:rPr>
          <w:color w:val="2E74B5"/>
          <w:sz w:val="26"/>
        </w:rPr>
        <w:t>13.2 Zero-Quantity Rows</w:t>
      </w:r>
    </w:p>
    <w:p>
      <w:pPr>
        <w:spacing w:after="320"/>
      </w:pPr>
      <w:r>
        <w:rPr>
          <w:b w:val="0"/>
          <w:i w:val="0"/>
          <w:sz w:val="22"/>
        </w:rPr>
        <w:t>12,807 rows have Qty = 0. Of these, 12,701 are cancelled orders. These rows are retained for cancellation analysis but excluded from revenue/qty KPIs.</w:t>
      </w:r>
    </w:p>
    <w:p>
      <w:pPr>
        <w:pStyle w:val="Heading1"/>
      </w:pPr>
      <w:r>
        <w:rPr>
          <w:color w:val="1F4E79"/>
          <w:sz w:val="32"/>
        </w:rPr>
        <w:t>14. Feature Engineering</w:t>
      </w:r>
    </w:p>
    <w:tbl>
      <w:tblPr>
        <w:tblStyle w:val="TableGrid"/>
        <w:tblW w:type="auto" w:w="0"/>
        <w:tblLook w:firstColumn="1" w:firstRow="1" w:lastColumn="0" w:lastRow="0" w:noHBand="0" w:noVBand="1" w:val="04A0"/>
      </w:tblPr>
      <w:tblGrid>
        <w:gridCol w:w="3041"/>
        <w:gridCol w:w="3041"/>
        <w:gridCol w:w="3041"/>
      </w:tblGrid>
      <w:tr>
        <w:tc>
          <w:tcPr>
            <w:tcW w:type="dxa" w:w="2304"/>
            <w:shd w:fill="1F4E79" w:color="FFFFFF" w:val="clear"/>
          </w:tcPr>
          <w:p>
            <w:r>
              <w:rPr>
                <w:b/>
                <w:color w:val="FFFFFF"/>
                <w:sz w:val="20"/>
              </w:rPr>
              <w:t>Feature</w:t>
            </w:r>
          </w:p>
        </w:tc>
        <w:tc>
          <w:tcPr>
            <w:tcW w:type="dxa" w:w="3168"/>
            <w:shd w:fill="1F4E79" w:color="FFFFFF" w:val="clear"/>
          </w:tcPr>
          <w:p>
            <w:r>
              <w:rPr>
                <w:b/>
                <w:color w:val="FFFFFF"/>
                <w:sz w:val="20"/>
              </w:rPr>
              <w:t>Source</w:t>
            </w:r>
          </w:p>
        </w:tc>
        <w:tc>
          <w:tcPr>
            <w:tcW w:type="dxa" w:w="3168"/>
            <w:shd w:fill="1F4E79" w:color="FFFFFF" w:val="clear"/>
          </w:tcPr>
          <w:p>
            <w:r>
              <w:rPr>
                <w:b/>
                <w:color w:val="FFFFFF"/>
                <w:sz w:val="20"/>
              </w:rPr>
              <w:t>Purpose</w:t>
            </w:r>
          </w:p>
        </w:tc>
      </w:tr>
      <w:tr>
        <w:tc>
          <w:tcPr>
            <w:tcW w:type="dxa" w:w="2304"/>
            <w:shd w:fill="EBF3FB" w:val="clear"/>
          </w:tcPr>
          <w:p>
            <w:r>
              <w:rPr>
                <w:sz w:val="20"/>
              </w:rPr>
              <w:t>Month</w:t>
            </w:r>
          </w:p>
        </w:tc>
        <w:tc>
          <w:tcPr>
            <w:tcW w:type="dxa" w:w="3168"/>
            <w:shd w:fill="EBF3FB" w:val="clear"/>
          </w:tcPr>
          <w:p>
            <w:r>
              <w:rPr>
                <w:sz w:val="20"/>
              </w:rPr>
              <w:t>Date.dt.month</w:t>
            </w:r>
          </w:p>
        </w:tc>
        <w:tc>
          <w:tcPr>
            <w:tcW w:type="dxa" w:w="3168"/>
            <w:shd w:fill="EBF3FB" w:val="clear"/>
          </w:tcPr>
          <w:p>
            <w:r>
              <w:rPr>
                <w:sz w:val="20"/>
              </w:rPr>
              <w:t>Monthly grouping</w:t>
            </w:r>
          </w:p>
        </w:tc>
      </w:tr>
      <w:tr>
        <w:tc>
          <w:tcPr>
            <w:tcW w:type="dxa" w:w="2304"/>
          </w:tcPr>
          <w:p>
            <w:r>
              <w:rPr>
                <w:sz w:val="20"/>
              </w:rPr>
              <w:t>MonthName</w:t>
            </w:r>
          </w:p>
        </w:tc>
        <w:tc>
          <w:tcPr>
            <w:tcW w:type="dxa" w:w="3168"/>
          </w:tcPr>
          <w:p>
            <w:r>
              <w:rPr>
                <w:sz w:val="20"/>
              </w:rPr>
              <w:t>Date.dt.strftime("%b %Y")</w:t>
            </w:r>
          </w:p>
        </w:tc>
        <w:tc>
          <w:tcPr>
            <w:tcW w:type="dxa" w:w="3168"/>
          </w:tcPr>
          <w:p>
            <w:r>
              <w:rPr>
                <w:sz w:val="20"/>
              </w:rPr>
              <w:t>Chart labels</w:t>
            </w:r>
          </w:p>
        </w:tc>
      </w:tr>
      <w:tr>
        <w:tc>
          <w:tcPr>
            <w:tcW w:type="dxa" w:w="2304"/>
            <w:shd w:fill="EBF3FB" w:val="clear"/>
          </w:tcPr>
          <w:p>
            <w:r>
              <w:rPr>
                <w:sz w:val="20"/>
              </w:rPr>
              <w:t>Week</w:t>
            </w:r>
          </w:p>
        </w:tc>
        <w:tc>
          <w:tcPr>
            <w:tcW w:type="dxa" w:w="3168"/>
            <w:shd w:fill="EBF3FB" w:val="clear"/>
          </w:tcPr>
          <w:p>
            <w:r>
              <w:rPr>
                <w:sz w:val="20"/>
              </w:rPr>
              <w:t>ISO calendar week</w:t>
            </w:r>
          </w:p>
        </w:tc>
        <w:tc>
          <w:tcPr>
            <w:tcW w:type="dxa" w:w="3168"/>
            <w:shd w:fill="EBF3FB" w:val="clear"/>
          </w:tcPr>
          <w:p>
            <w:r>
              <w:rPr>
                <w:sz w:val="20"/>
              </w:rPr>
              <w:t>Weekly trend</w:t>
            </w:r>
          </w:p>
        </w:tc>
      </w:tr>
      <w:tr>
        <w:tc>
          <w:tcPr>
            <w:tcW w:type="dxa" w:w="2304"/>
          </w:tcPr>
          <w:p>
            <w:r>
              <w:rPr>
                <w:sz w:val="20"/>
              </w:rPr>
              <w:t>DayOfWeek</w:t>
            </w:r>
          </w:p>
        </w:tc>
        <w:tc>
          <w:tcPr>
            <w:tcW w:type="dxa" w:w="3168"/>
          </w:tcPr>
          <w:p>
            <w:r>
              <w:rPr>
                <w:sz w:val="20"/>
              </w:rPr>
              <w:t>Date.dt.day_name()</w:t>
            </w:r>
          </w:p>
        </w:tc>
        <w:tc>
          <w:tcPr>
            <w:tcW w:type="dxa" w:w="3168"/>
          </w:tcPr>
          <w:p>
            <w:r>
              <w:rPr>
                <w:sz w:val="20"/>
              </w:rPr>
              <w:t>Day-of-week heatmap</w:t>
            </w:r>
          </w:p>
        </w:tc>
      </w:tr>
      <w:tr>
        <w:tc>
          <w:tcPr>
            <w:tcW w:type="dxa" w:w="2304"/>
            <w:shd w:fill="EBF3FB" w:val="clear"/>
          </w:tcPr>
          <w:p>
            <w:r>
              <w:rPr>
                <w:sz w:val="20"/>
              </w:rPr>
              <w:t>is_cancelled</w:t>
            </w:r>
          </w:p>
        </w:tc>
        <w:tc>
          <w:tcPr>
            <w:tcW w:type="dxa" w:w="3168"/>
            <w:shd w:fill="EBF3FB" w:val="clear"/>
          </w:tcPr>
          <w:p>
            <w:r>
              <w:rPr>
                <w:sz w:val="20"/>
              </w:rPr>
              <w:t>Status.startswith("Cancelled")</w:t>
            </w:r>
          </w:p>
        </w:tc>
        <w:tc>
          <w:tcPr>
            <w:tcW w:type="dxa" w:w="3168"/>
            <w:shd w:fill="EBF3FB" w:val="clear"/>
          </w:tcPr>
          <w:p>
            <w:r>
              <w:rPr>
                <w:sz w:val="20"/>
              </w:rPr>
              <w:t>Cancellation KPI</w:t>
            </w:r>
          </w:p>
        </w:tc>
      </w:tr>
      <w:tr>
        <w:tc>
          <w:tcPr>
            <w:tcW w:type="dxa" w:w="2304"/>
          </w:tcPr>
          <w:p>
            <w:r>
              <w:rPr>
                <w:sz w:val="20"/>
              </w:rPr>
              <w:t>is_shipped</w:t>
            </w:r>
          </w:p>
        </w:tc>
        <w:tc>
          <w:tcPr>
            <w:tcW w:type="dxa" w:w="3168"/>
          </w:tcPr>
          <w:p>
            <w:r>
              <w:rPr>
                <w:sz w:val="20"/>
              </w:rPr>
              <w:t>Status.startswith("Shipped")</w:t>
            </w:r>
          </w:p>
        </w:tc>
        <w:tc>
          <w:tcPr>
            <w:tcW w:type="dxa" w:w="3168"/>
          </w:tcPr>
          <w:p>
            <w:r>
              <w:rPr>
                <w:sz w:val="20"/>
              </w:rPr>
              <w:t>Shipped count</w:t>
            </w:r>
          </w:p>
        </w:tc>
      </w:tr>
      <w:tr>
        <w:tc>
          <w:tcPr>
            <w:tcW w:type="dxa" w:w="2304"/>
            <w:shd w:fill="EBF3FB" w:val="clear"/>
          </w:tcPr>
          <w:p>
            <w:r>
              <w:rPr>
                <w:sz w:val="20"/>
              </w:rPr>
              <w:t>is_B2B</w:t>
            </w:r>
          </w:p>
        </w:tc>
        <w:tc>
          <w:tcPr>
            <w:tcW w:type="dxa" w:w="3168"/>
            <w:shd w:fill="EBF3FB" w:val="clear"/>
          </w:tcPr>
          <w:p>
            <w:r>
              <w:rPr>
                <w:sz w:val="20"/>
              </w:rPr>
              <w:t>B2B boolean cast to int</w:t>
            </w:r>
          </w:p>
        </w:tc>
        <w:tc>
          <w:tcPr>
            <w:tcW w:type="dxa" w:w="3168"/>
            <w:shd w:fill="EBF3FB" w:val="clear"/>
          </w:tcPr>
          <w:p>
            <w:r>
              <w:rPr>
                <w:sz w:val="20"/>
              </w:rPr>
              <w:t>B2B/B2C split</w:t>
            </w:r>
          </w:p>
        </w:tc>
      </w:tr>
      <w:tr>
        <w:tc>
          <w:tcPr>
            <w:tcW w:type="dxa" w:w="2304"/>
          </w:tcPr>
          <w:p>
            <w:r>
              <w:rPr>
                <w:sz w:val="20"/>
              </w:rPr>
              <w:t>Revenue</w:t>
            </w:r>
          </w:p>
        </w:tc>
        <w:tc>
          <w:tcPr>
            <w:tcW w:type="dxa" w:w="3168"/>
          </w:tcPr>
          <w:p>
            <w:r>
              <w:rPr>
                <w:sz w:val="20"/>
              </w:rPr>
              <w:t>Derived from Amount + Qty</w:t>
            </w:r>
          </w:p>
        </w:tc>
        <w:tc>
          <w:tcPr>
            <w:tcW w:type="dxa" w:w="3168"/>
          </w:tcPr>
          <w:p>
            <w:r>
              <w:rPr>
                <w:sz w:val="20"/>
              </w:rPr>
              <w:t>Revenue KPIs</w:t>
            </w:r>
          </w:p>
        </w:tc>
      </w:tr>
      <w:tr>
        <w:tc>
          <w:tcPr>
            <w:tcW w:type="dxa" w:w="2304"/>
            <w:shd w:fill="EBF3FB" w:val="clear"/>
          </w:tcPr>
          <w:p>
            <w:r>
              <w:rPr>
                <w:sz w:val="20"/>
              </w:rPr>
              <w:t>YearWeek</w:t>
            </w:r>
          </w:p>
        </w:tc>
        <w:tc>
          <w:tcPr>
            <w:tcW w:type="dxa" w:w="3168"/>
            <w:shd w:fill="EBF3FB" w:val="clear"/>
          </w:tcPr>
          <w:p>
            <w:r>
              <w:rPr>
                <w:sz w:val="20"/>
              </w:rPr>
              <w:t>Date.dt.strftime("%Y-W%V")</w:t>
            </w:r>
          </w:p>
        </w:tc>
        <w:tc>
          <w:tcPr>
            <w:tcW w:type="dxa" w:w="3168"/>
            <w:shd w:fill="EBF3FB" w:val="clear"/>
          </w:tcPr>
          <w:p>
            <w:r>
              <w:rPr>
                <w:sz w:val="20"/>
              </w:rPr>
              <w:t>Weekly trend labels</w:t>
            </w:r>
          </w:p>
        </w:tc>
      </w:tr>
    </w:tbl>
    <w:p/>
    <w:p>
      <w:pPr>
        <w:pStyle w:val="Heading1"/>
      </w:pPr>
      <w:r>
        <w:rPr>
          <w:color w:val="1F4E79"/>
          <w:sz w:val="32"/>
        </w:rPr>
        <w:t>15. Exploratory Data Analysis</w:t>
      </w:r>
    </w:p>
    <w:p>
      <w:pPr>
        <w:pStyle w:val="Heading2"/>
      </w:pPr>
      <w:r>
        <w:rPr>
          <w:color w:val="2E74B5"/>
          <w:sz w:val="26"/>
        </w:rPr>
        <w:t>15.1 Revenue by Category</w:t>
      </w:r>
    </w:p>
    <w:tbl>
      <w:tblPr>
        <w:tblStyle w:val="TableGrid"/>
        <w:tblW w:type="auto" w:w="0"/>
        <w:tblLook w:firstColumn="1" w:firstRow="1" w:lastColumn="0" w:lastRow="0" w:noHBand="0" w:noVBand="1" w:val="04A0"/>
      </w:tblPr>
      <w:tblGrid>
        <w:gridCol w:w="3041"/>
        <w:gridCol w:w="3041"/>
        <w:gridCol w:w="3041"/>
      </w:tblGrid>
      <w:tr>
        <w:tc>
          <w:tcPr>
            <w:tcW w:type="dxa" w:w="2880"/>
            <w:shd w:fill="1F4E79" w:color="FFFFFF" w:val="clear"/>
          </w:tcPr>
          <w:p>
            <w:r>
              <w:rPr>
                <w:b/>
                <w:color w:val="FFFFFF"/>
                <w:sz w:val="20"/>
              </w:rPr>
              <w:t>Category</w:t>
            </w:r>
          </w:p>
        </w:tc>
        <w:tc>
          <w:tcPr>
            <w:tcW w:type="dxa" w:w="2880"/>
            <w:shd w:fill="1F4E79" w:color="FFFFFF" w:val="clear"/>
          </w:tcPr>
          <w:p>
            <w:r>
              <w:rPr>
                <w:b/>
                <w:color w:val="FFFFFF"/>
                <w:sz w:val="20"/>
              </w:rPr>
              <w:t>Revenue (INR M)</w:t>
            </w:r>
          </w:p>
        </w:tc>
        <w:tc>
          <w:tcPr>
            <w:tcW w:type="dxa" w:w="2160"/>
            <w:shd w:fill="1F4E79" w:color="FFFFFF" w:val="clear"/>
          </w:tcPr>
          <w:p>
            <w:r>
              <w:rPr>
                <w:b/>
                <w:color w:val="FFFFFF"/>
                <w:sz w:val="20"/>
              </w:rPr>
              <w:t>Share</w:t>
            </w:r>
          </w:p>
        </w:tc>
      </w:tr>
      <w:tr>
        <w:tc>
          <w:tcPr>
            <w:tcW w:type="dxa" w:w="2880"/>
            <w:shd w:fill="EBF3FB" w:val="clear"/>
          </w:tcPr>
          <w:p>
            <w:r>
              <w:rPr>
                <w:sz w:val="20"/>
              </w:rPr>
              <w:t>Set</w:t>
            </w:r>
          </w:p>
        </w:tc>
        <w:tc>
          <w:tcPr>
            <w:tcW w:type="dxa" w:w="2880"/>
            <w:shd w:fill="EBF3FB" w:val="clear"/>
          </w:tcPr>
          <w:p>
            <w:r>
              <w:rPr>
                <w:sz w:val="20"/>
              </w:rPr>
              <w:t>Rs. 37.66 M</w:t>
            </w:r>
          </w:p>
        </w:tc>
        <w:tc>
          <w:tcPr>
            <w:tcW w:type="dxa" w:w="2160"/>
            <w:shd w:fill="EBF3FB" w:val="clear"/>
          </w:tcPr>
          <w:p>
            <w:r>
              <w:rPr>
                <w:sz w:val="20"/>
              </w:rPr>
              <w:t>49.9%</w:t>
            </w:r>
          </w:p>
        </w:tc>
      </w:tr>
      <w:tr>
        <w:tc>
          <w:tcPr>
            <w:tcW w:type="dxa" w:w="2880"/>
          </w:tcPr>
          <w:p>
            <w:r>
              <w:rPr>
                <w:sz w:val="20"/>
              </w:rPr>
              <w:t>Kurta</w:t>
            </w:r>
          </w:p>
        </w:tc>
        <w:tc>
          <w:tcPr>
            <w:tcW w:type="dxa" w:w="2880"/>
          </w:tcPr>
          <w:p>
            <w:r>
              <w:rPr>
                <w:sz w:val="20"/>
              </w:rPr>
              <w:t>Rs. 20.45 M</w:t>
            </w:r>
          </w:p>
        </w:tc>
        <w:tc>
          <w:tcPr>
            <w:tcW w:type="dxa" w:w="2160"/>
          </w:tcPr>
          <w:p>
            <w:r>
              <w:rPr>
                <w:sz w:val="20"/>
              </w:rPr>
              <w:t>27.1%</w:t>
            </w:r>
          </w:p>
        </w:tc>
      </w:tr>
      <w:tr>
        <w:tc>
          <w:tcPr>
            <w:tcW w:type="dxa" w:w="2880"/>
            <w:shd w:fill="EBF3FB" w:val="clear"/>
          </w:tcPr>
          <w:p>
            <w:r>
              <w:rPr>
                <w:sz w:val="20"/>
              </w:rPr>
              <w:t>Western Dress</w:t>
            </w:r>
          </w:p>
        </w:tc>
        <w:tc>
          <w:tcPr>
            <w:tcW w:type="dxa" w:w="2880"/>
            <w:shd w:fill="EBF3FB" w:val="clear"/>
          </w:tcPr>
          <w:p>
            <w:r>
              <w:rPr>
                <w:sz w:val="20"/>
              </w:rPr>
              <w:t>Rs. 10.63 M</w:t>
            </w:r>
          </w:p>
        </w:tc>
        <w:tc>
          <w:tcPr>
            <w:tcW w:type="dxa" w:w="2160"/>
            <w:shd w:fill="EBF3FB" w:val="clear"/>
          </w:tcPr>
          <w:p>
            <w:r>
              <w:rPr>
                <w:sz w:val="20"/>
              </w:rPr>
              <w:t>14.1%</w:t>
            </w:r>
          </w:p>
        </w:tc>
      </w:tr>
      <w:tr>
        <w:tc>
          <w:tcPr>
            <w:tcW w:type="dxa" w:w="2880"/>
          </w:tcPr>
          <w:p>
            <w:r>
              <w:rPr>
                <w:sz w:val="20"/>
              </w:rPr>
              <w:t>Top</w:t>
            </w:r>
          </w:p>
        </w:tc>
        <w:tc>
          <w:tcPr>
            <w:tcW w:type="dxa" w:w="2880"/>
          </w:tcPr>
          <w:p>
            <w:r>
              <w:rPr>
                <w:sz w:val="20"/>
              </w:rPr>
              <w:t>Rs. 5.20 M</w:t>
            </w:r>
          </w:p>
        </w:tc>
        <w:tc>
          <w:tcPr>
            <w:tcW w:type="dxa" w:w="2160"/>
          </w:tcPr>
          <w:p>
            <w:r>
              <w:rPr>
                <w:sz w:val="20"/>
              </w:rPr>
              <w:t>6.9%</w:t>
            </w:r>
          </w:p>
        </w:tc>
      </w:tr>
      <w:tr>
        <w:tc>
          <w:tcPr>
            <w:tcW w:type="dxa" w:w="2880"/>
            <w:shd w:fill="EBF3FB" w:val="clear"/>
          </w:tcPr>
          <w:p>
            <w:r>
              <w:rPr>
                <w:sz w:val="20"/>
              </w:rPr>
              <w:t>Ethnic Dress</w:t>
            </w:r>
          </w:p>
        </w:tc>
        <w:tc>
          <w:tcPr>
            <w:tcW w:type="dxa" w:w="2880"/>
            <w:shd w:fill="EBF3FB" w:val="clear"/>
          </w:tcPr>
          <w:p>
            <w:r>
              <w:rPr>
                <w:sz w:val="20"/>
              </w:rPr>
              <w:t>Rs. 0.76 M</w:t>
            </w:r>
          </w:p>
        </w:tc>
        <w:tc>
          <w:tcPr>
            <w:tcW w:type="dxa" w:w="2160"/>
            <w:shd w:fill="EBF3FB" w:val="clear"/>
          </w:tcPr>
          <w:p>
            <w:r>
              <w:rPr>
                <w:sz w:val="20"/>
              </w:rPr>
              <w:t>1.0%</w:t>
            </w:r>
          </w:p>
        </w:tc>
      </w:tr>
      <w:tr>
        <w:tc>
          <w:tcPr>
            <w:tcW w:type="dxa" w:w="2880"/>
          </w:tcPr>
          <w:p>
            <w:r>
              <w:rPr>
                <w:sz w:val="20"/>
              </w:rPr>
              <w:t>Others (4 categories)</w:t>
            </w:r>
          </w:p>
        </w:tc>
        <w:tc>
          <w:tcPr>
            <w:tcW w:type="dxa" w:w="2880"/>
          </w:tcPr>
          <w:p>
            <w:r>
              <w:rPr>
                <w:sz w:val="20"/>
              </w:rPr>
              <w:t>Rs. 0.70 M</w:t>
            </w:r>
          </w:p>
        </w:tc>
        <w:tc>
          <w:tcPr>
            <w:tcW w:type="dxa" w:w="2160"/>
          </w:tcPr>
          <w:p>
            <w:r>
              <w:rPr>
                <w:sz w:val="20"/>
              </w:rPr>
              <w:t>0.9%</w:t>
            </w:r>
          </w:p>
        </w:tc>
      </w:tr>
    </w:tbl>
    <w:p/>
    <w:p>
      <w:pPr>
        <w:pStyle w:val="Heading2"/>
      </w:pPr>
      <w:r>
        <w:rPr>
          <w:color w:val="2E74B5"/>
          <w:sz w:val="26"/>
        </w:rPr>
        <w:t>15.2 Top 5 States by Revenue</w:t>
      </w:r>
    </w:p>
    <w:tbl>
      <w:tblPr>
        <w:tblStyle w:val="TableGrid"/>
        <w:tblW w:type="auto" w:w="0"/>
        <w:tblLook w:firstColumn="1" w:firstRow="1" w:lastColumn="0" w:lastRow="0" w:noHBand="0" w:noVBand="1" w:val="04A0"/>
      </w:tblPr>
      <w:tblGrid>
        <w:gridCol w:w="3041"/>
        <w:gridCol w:w="3041"/>
        <w:gridCol w:w="3041"/>
      </w:tblGrid>
      <w:tr>
        <w:tc>
          <w:tcPr>
            <w:tcW w:type="dxa" w:w="720"/>
            <w:shd w:fill="1F4E79" w:color="FFFFFF" w:val="clear"/>
          </w:tcPr>
          <w:p>
            <w:r>
              <w:rPr>
                <w:b/>
                <w:color w:val="FFFFFF"/>
                <w:sz w:val="20"/>
              </w:rPr>
              <w:t>Rank</w:t>
            </w:r>
          </w:p>
        </w:tc>
        <w:tc>
          <w:tcPr>
            <w:tcW w:type="dxa" w:w="3600"/>
            <w:shd w:fill="1F4E79" w:color="FFFFFF" w:val="clear"/>
          </w:tcPr>
          <w:p>
            <w:r>
              <w:rPr>
                <w:b/>
                <w:color w:val="FFFFFF"/>
                <w:sz w:val="20"/>
              </w:rPr>
              <w:t>State</w:t>
            </w:r>
          </w:p>
        </w:tc>
        <w:tc>
          <w:tcPr>
            <w:tcW w:type="dxa" w:w="2880"/>
            <w:shd w:fill="1F4E79" w:color="FFFFFF" w:val="clear"/>
          </w:tcPr>
          <w:p>
            <w:r>
              <w:rPr>
                <w:b/>
                <w:color w:val="FFFFFF"/>
                <w:sz w:val="20"/>
              </w:rPr>
              <w:t>Revenue (INR M)</w:t>
            </w:r>
          </w:p>
        </w:tc>
      </w:tr>
      <w:tr>
        <w:tc>
          <w:tcPr>
            <w:tcW w:type="dxa" w:w="720"/>
            <w:shd w:fill="EBF3FB" w:val="clear"/>
          </w:tcPr>
          <w:p>
            <w:r>
              <w:rPr>
                <w:sz w:val="20"/>
              </w:rPr>
              <w:t>1</w:t>
            </w:r>
          </w:p>
        </w:tc>
        <w:tc>
          <w:tcPr>
            <w:tcW w:type="dxa" w:w="3600"/>
            <w:shd w:fill="EBF3FB" w:val="clear"/>
          </w:tcPr>
          <w:p>
            <w:r>
              <w:rPr>
                <w:sz w:val="20"/>
              </w:rPr>
              <w:t>Maharashtra</w:t>
            </w:r>
          </w:p>
        </w:tc>
        <w:tc>
          <w:tcPr>
            <w:tcW w:type="dxa" w:w="2880"/>
            <w:shd w:fill="EBF3FB" w:val="clear"/>
          </w:tcPr>
          <w:p>
            <w:r>
              <w:rPr>
                <w:sz w:val="20"/>
              </w:rPr>
              <w:t>Rs. 12.86 M</w:t>
            </w:r>
          </w:p>
        </w:tc>
      </w:tr>
      <w:tr>
        <w:tc>
          <w:tcPr>
            <w:tcW w:type="dxa" w:w="720"/>
          </w:tcPr>
          <w:p>
            <w:r>
              <w:rPr>
                <w:sz w:val="20"/>
              </w:rPr>
              <w:t>2</w:t>
            </w:r>
          </w:p>
        </w:tc>
        <w:tc>
          <w:tcPr>
            <w:tcW w:type="dxa" w:w="3600"/>
          </w:tcPr>
          <w:p>
            <w:r>
              <w:rPr>
                <w:sz w:val="20"/>
              </w:rPr>
              <w:t>Karnataka</w:t>
            </w:r>
          </w:p>
        </w:tc>
        <w:tc>
          <w:tcPr>
            <w:tcW w:type="dxa" w:w="2880"/>
          </w:tcPr>
          <w:p>
            <w:r>
              <w:rPr>
                <w:sz w:val="20"/>
              </w:rPr>
              <w:t>Rs. 10.15 M</w:t>
            </w:r>
          </w:p>
        </w:tc>
      </w:tr>
      <w:tr>
        <w:tc>
          <w:tcPr>
            <w:tcW w:type="dxa" w:w="720"/>
            <w:shd w:fill="EBF3FB" w:val="clear"/>
          </w:tcPr>
          <w:p>
            <w:r>
              <w:rPr>
                <w:sz w:val="20"/>
              </w:rPr>
              <w:t>3</w:t>
            </w:r>
          </w:p>
        </w:tc>
        <w:tc>
          <w:tcPr>
            <w:tcW w:type="dxa" w:w="3600"/>
            <w:shd w:fill="EBF3FB" w:val="clear"/>
          </w:tcPr>
          <w:p>
            <w:r>
              <w:rPr>
                <w:sz w:val="20"/>
              </w:rPr>
              <w:t>Telangana</w:t>
            </w:r>
          </w:p>
        </w:tc>
        <w:tc>
          <w:tcPr>
            <w:tcW w:type="dxa" w:w="2880"/>
            <w:shd w:fill="EBF3FB" w:val="clear"/>
          </w:tcPr>
          <w:p>
            <w:r>
              <w:rPr>
                <w:sz w:val="20"/>
              </w:rPr>
              <w:t>Rs. 6.64 M</w:t>
            </w:r>
          </w:p>
        </w:tc>
      </w:tr>
      <w:tr>
        <w:tc>
          <w:tcPr>
            <w:tcW w:type="dxa" w:w="720"/>
          </w:tcPr>
          <w:p>
            <w:r>
              <w:rPr>
                <w:sz w:val="20"/>
              </w:rPr>
              <w:t>4</w:t>
            </w:r>
          </w:p>
        </w:tc>
        <w:tc>
          <w:tcPr>
            <w:tcW w:type="dxa" w:w="3600"/>
          </w:tcPr>
          <w:p>
            <w:r>
              <w:rPr>
                <w:sz w:val="20"/>
              </w:rPr>
              <w:t>Uttar Pradesh</w:t>
            </w:r>
          </w:p>
        </w:tc>
        <w:tc>
          <w:tcPr>
            <w:tcW w:type="dxa" w:w="2880"/>
          </w:tcPr>
          <w:p>
            <w:r>
              <w:rPr>
                <w:sz w:val="20"/>
              </w:rPr>
              <w:t>Rs. 6.49 M</w:t>
            </w:r>
          </w:p>
        </w:tc>
      </w:tr>
      <w:tr>
        <w:tc>
          <w:tcPr>
            <w:tcW w:type="dxa" w:w="720"/>
            <w:shd w:fill="EBF3FB" w:val="clear"/>
          </w:tcPr>
          <w:p>
            <w:r>
              <w:rPr>
                <w:sz w:val="20"/>
              </w:rPr>
              <w:t>5</w:t>
            </w:r>
          </w:p>
        </w:tc>
        <w:tc>
          <w:tcPr>
            <w:tcW w:type="dxa" w:w="3600"/>
            <w:shd w:fill="EBF3FB" w:val="clear"/>
          </w:tcPr>
          <w:p>
            <w:r>
              <w:rPr>
                <w:sz w:val="20"/>
              </w:rPr>
              <w:t>Tamil Nadu</w:t>
            </w:r>
          </w:p>
        </w:tc>
        <w:tc>
          <w:tcPr>
            <w:tcW w:type="dxa" w:w="2880"/>
            <w:shd w:fill="EBF3FB" w:val="clear"/>
          </w:tcPr>
          <w:p>
            <w:r>
              <w:rPr>
                <w:sz w:val="20"/>
              </w:rPr>
              <w:t>Rs. 6.24 M</w:t>
            </w:r>
          </w:p>
        </w:tc>
      </w:tr>
    </w:tbl>
    <w:p/>
    <w:p>
      <w:pPr>
        <w:pStyle w:val="Heading2"/>
      </w:pPr>
      <w:r>
        <w:rPr>
          <w:color w:val="2E74B5"/>
          <w:sz w:val="26"/>
        </w:rPr>
        <w:t>15.3 Order Status Distribution</w:t>
      </w:r>
    </w:p>
    <w:tbl>
      <w:tblPr>
        <w:tblStyle w:val="TableGrid"/>
        <w:tblW w:type="auto" w:w="0"/>
        <w:tblLook w:firstColumn="1" w:firstRow="1" w:lastColumn="0" w:lastRow="0" w:noHBand="0" w:noVBand="1" w:val="04A0"/>
      </w:tblPr>
      <w:tblGrid>
        <w:gridCol w:w="4561"/>
        <w:gridCol w:w="4561"/>
      </w:tblGrid>
      <w:tr>
        <w:tc>
          <w:tcPr>
            <w:tcW w:type="dxa" w:w="4320"/>
            <w:shd w:fill="1F4E79" w:color="FFFFFF" w:val="clear"/>
          </w:tcPr>
          <w:p>
            <w:r>
              <w:rPr>
                <w:b/>
                <w:color w:val="FFFFFF"/>
                <w:sz w:val="20"/>
              </w:rPr>
              <w:t>Status</w:t>
            </w:r>
          </w:p>
        </w:tc>
        <w:tc>
          <w:tcPr>
            <w:tcW w:type="dxa" w:w="2880"/>
            <w:shd w:fill="1F4E79" w:color="FFFFFF" w:val="clear"/>
          </w:tcPr>
          <w:p>
            <w:r>
              <w:rPr>
                <w:b/>
                <w:color w:val="FFFFFF"/>
                <w:sz w:val="20"/>
              </w:rPr>
              <w:t>Count</w:t>
            </w:r>
          </w:p>
        </w:tc>
      </w:tr>
      <w:tr>
        <w:tc>
          <w:tcPr>
            <w:tcW w:type="dxa" w:w="4320"/>
            <w:shd w:fill="EBF3FB" w:val="clear"/>
          </w:tcPr>
          <w:p>
            <w:r>
              <w:rPr>
                <w:sz w:val="20"/>
              </w:rPr>
              <w:t>Shipped</w:t>
            </w:r>
          </w:p>
        </w:tc>
        <w:tc>
          <w:tcPr>
            <w:tcW w:type="dxa" w:w="2880"/>
            <w:shd w:fill="EBF3FB" w:val="clear"/>
          </w:tcPr>
          <w:p>
            <w:r>
              <w:rPr>
                <w:sz w:val="20"/>
              </w:rPr>
              <w:t>77,804</w:t>
            </w:r>
          </w:p>
        </w:tc>
      </w:tr>
      <w:tr>
        <w:tc>
          <w:tcPr>
            <w:tcW w:type="dxa" w:w="4320"/>
          </w:tcPr>
          <w:p>
            <w:r>
              <w:rPr>
                <w:sz w:val="20"/>
              </w:rPr>
              <w:t>Shipped - Delivered to Buyer</w:t>
            </w:r>
          </w:p>
        </w:tc>
        <w:tc>
          <w:tcPr>
            <w:tcW w:type="dxa" w:w="2880"/>
          </w:tcPr>
          <w:p>
            <w:r>
              <w:rPr>
                <w:sz w:val="20"/>
              </w:rPr>
              <w:t>28,769</w:t>
            </w:r>
          </w:p>
        </w:tc>
      </w:tr>
      <w:tr>
        <w:tc>
          <w:tcPr>
            <w:tcW w:type="dxa" w:w="4320"/>
            <w:shd w:fill="EBF3FB" w:val="clear"/>
          </w:tcPr>
          <w:p>
            <w:r>
              <w:rPr>
                <w:sz w:val="20"/>
              </w:rPr>
              <w:t>Cancelled</w:t>
            </w:r>
          </w:p>
        </w:tc>
        <w:tc>
          <w:tcPr>
            <w:tcW w:type="dxa" w:w="2880"/>
            <w:shd w:fill="EBF3FB" w:val="clear"/>
          </w:tcPr>
          <w:p>
            <w:r>
              <w:rPr>
                <w:sz w:val="20"/>
              </w:rPr>
              <w:t>18,332</w:t>
            </w:r>
          </w:p>
        </w:tc>
      </w:tr>
      <w:tr>
        <w:tc>
          <w:tcPr>
            <w:tcW w:type="dxa" w:w="4320"/>
          </w:tcPr>
          <w:p>
            <w:r>
              <w:rPr>
                <w:sz w:val="20"/>
              </w:rPr>
              <w:t>Shipped - Returned to Seller</w:t>
            </w:r>
          </w:p>
        </w:tc>
        <w:tc>
          <w:tcPr>
            <w:tcW w:type="dxa" w:w="2880"/>
          </w:tcPr>
          <w:p>
            <w:r>
              <w:rPr>
                <w:sz w:val="20"/>
              </w:rPr>
              <w:t>1,953</w:t>
            </w:r>
          </w:p>
        </w:tc>
      </w:tr>
      <w:tr>
        <w:tc>
          <w:tcPr>
            <w:tcW w:type="dxa" w:w="4320"/>
            <w:shd w:fill="EBF3FB" w:val="clear"/>
          </w:tcPr>
          <w:p>
            <w:r>
              <w:rPr>
                <w:sz w:val="20"/>
              </w:rPr>
              <w:t>Pending</w:t>
            </w:r>
          </w:p>
        </w:tc>
        <w:tc>
          <w:tcPr>
            <w:tcW w:type="dxa" w:w="2880"/>
            <w:shd w:fill="EBF3FB" w:val="clear"/>
          </w:tcPr>
          <w:p>
            <w:r>
              <w:rPr>
                <w:sz w:val="20"/>
              </w:rPr>
              <w:t>658</w:t>
            </w:r>
          </w:p>
        </w:tc>
      </w:tr>
      <w:tr>
        <w:tc>
          <w:tcPr>
            <w:tcW w:type="dxa" w:w="4320"/>
          </w:tcPr>
          <w:p>
            <w:r>
              <w:rPr>
                <w:sz w:val="20"/>
              </w:rPr>
              <w:t>Others</w:t>
            </w:r>
          </w:p>
        </w:tc>
        <w:tc>
          <w:tcPr>
            <w:tcW w:type="dxa" w:w="2880"/>
          </w:tcPr>
          <w:p>
            <w:r>
              <w:rPr>
                <w:sz w:val="20"/>
              </w:rPr>
              <w:t>459</w:t>
            </w:r>
          </w:p>
        </w:tc>
      </w:tr>
    </w:tbl>
    <w:p/>
    <w:p>
      <w:pPr>
        <w:pStyle w:val="Heading2"/>
      </w:pPr>
      <w:r>
        <w:rPr>
          <w:color w:val="2E74B5"/>
          <w:sz w:val="26"/>
        </w:rPr>
        <w:t>15.4 Fulfilment Split</w:t>
      </w:r>
    </w:p>
    <w:tbl>
      <w:tblPr>
        <w:tblStyle w:val="TableGrid"/>
        <w:tblW w:type="auto" w:w="0"/>
        <w:tblLook w:firstColumn="1" w:firstRow="1" w:lastColumn="0" w:lastRow="0" w:noHBand="0" w:noVBand="1" w:val="04A0"/>
      </w:tblPr>
      <w:tblGrid>
        <w:gridCol w:w="3041"/>
        <w:gridCol w:w="3041"/>
        <w:gridCol w:w="3041"/>
      </w:tblGrid>
      <w:tr>
        <w:tc>
          <w:tcPr>
            <w:tcW w:type="dxa" w:w="2880"/>
            <w:shd w:fill="1F4E79" w:color="FFFFFF" w:val="clear"/>
          </w:tcPr>
          <w:p>
            <w:r>
              <w:rPr>
                <w:b/>
                <w:color w:val="FFFFFF"/>
                <w:sz w:val="20"/>
              </w:rPr>
              <w:t>Type</w:t>
            </w:r>
          </w:p>
        </w:tc>
        <w:tc>
          <w:tcPr>
            <w:tcW w:type="dxa" w:w="2160"/>
            <w:shd w:fill="1F4E79" w:color="FFFFFF" w:val="clear"/>
          </w:tcPr>
          <w:p>
            <w:r>
              <w:rPr>
                <w:b/>
                <w:color w:val="FFFFFF"/>
                <w:sz w:val="20"/>
              </w:rPr>
              <w:t>Count</w:t>
            </w:r>
          </w:p>
        </w:tc>
        <w:tc>
          <w:tcPr>
            <w:tcW w:type="dxa" w:w="2160"/>
            <w:shd w:fill="1F4E79" w:color="FFFFFF" w:val="clear"/>
          </w:tcPr>
          <w:p>
            <w:r>
              <w:rPr>
                <w:b/>
                <w:color w:val="FFFFFF"/>
                <w:sz w:val="20"/>
              </w:rPr>
              <w:t>Share</w:t>
            </w:r>
          </w:p>
        </w:tc>
      </w:tr>
      <w:tr>
        <w:tc>
          <w:tcPr>
            <w:tcW w:type="dxa" w:w="2880"/>
            <w:shd w:fill="EBF3FB" w:val="clear"/>
          </w:tcPr>
          <w:p>
            <w:r>
              <w:rPr>
                <w:sz w:val="20"/>
              </w:rPr>
              <w:t>Amazon FBA</w:t>
            </w:r>
          </w:p>
        </w:tc>
        <w:tc>
          <w:tcPr>
            <w:tcW w:type="dxa" w:w="2160"/>
            <w:shd w:fill="EBF3FB" w:val="clear"/>
          </w:tcPr>
          <w:p>
            <w:r>
              <w:rPr>
                <w:sz w:val="20"/>
              </w:rPr>
              <w:t>89,698</w:t>
            </w:r>
          </w:p>
        </w:tc>
        <w:tc>
          <w:tcPr>
            <w:tcW w:type="dxa" w:w="2160"/>
            <w:shd w:fill="EBF3FB" w:val="clear"/>
          </w:tcPr>
          <w:p>
            <w:r>
              <w:rPr>
                <w:sz w:val="20"/>
              </w:rPr>
              <w:t>69.5%</w:t>
            </w:r>
          </w:p>
        </w:tc>
      </w:tr>
      <w:tr>
        <w:tc>
          <w:tcPr>
            <w:tcW w:type="dxa" w:w="2880"/>
          </w:tcPr>
          <w:p>
            <w:r>
              <w:rPr>
                <w:sz w:val="20"/>
              </w:rPr>
              <w:t>Merchant (Easy Ship)</w:t>
            </w:r>
          </w:p>
        </w:tc>
        <w:tc>
          <w:tcPr>
            <w:tcW w:type="dxa" w:w="2160"/>
          </w:tcPr>
          <w:p>
            <w:r>
              <w:rPr>
                <w:sz w:val="20"/>
              </w:rPr>
              <w:t>39,277</w:t>
            </w:r>
          </w:p>
        </w:tc>
        <w:tc>
          <w:tcPr>
            <w:tcW w:type="dxa" w:w="2160"/>
          </w:tcPr>
          <w:p>
            <w:r>
              <w:rPr>
                <w:sz w:val="20"/>
              </w:rPr>
              <w:t>30.5%</w:t>
            </w:r>
          </w:p>
        </w:tc>
      </w:tr>
    </w:tbl>
    <w:p/>
    <w:p>
      <w:r>
        <w:br w:type="page"/>
      </w:r>
    </w:p>
    <w:p>
      <w:pPr>
        <w:pStyle w:val="Heading1"/>
      </w:pPr>
      <w:r>
        <w:rPr>
          <w:color w:val="1F4E79"/>
          <w:sz w:val="32"/>
        </w:rPr>
        <w:t>16. Dashboard Architecture</w:t>
      </w:r>
    </w:p>
    <w:p>
      <w:pPr>
        <w:spacing w:after="160"/>
      </w:pPr>
      <w:r>
        <w:rPr>
          <w:b w:val="0"/>
          <w:i w:val="0"/>
          <w:sz w:val="22"/>
        </w:rPr>
        <w:t>The application is structured as a single-file Streamlit application (app.py) with the following architectural layers: CSV source -&gt; load_data() with @st.cache_data -&gt; render_sidebar() with global filters -&gt; Page Router (main()) -&gt; 8 page functions.</w:t>
      </w:r>
    </w:p>
    <w:p>
      <w:pPr>
        <w:jc w:val="center"/>
      </w:pPr>
      <w:r>
        <w:drawing>
          <wp:inline xmlns:a="http://schemas.openxmlformats.org/drawingml/2006/main" xmlns:pic="http://schemas.openxmlformats.org/drawingml/2006/picture">
            <wp:extent cx="5486400" cy="3413760"/>
            <wp:docPr id="2" name="Picture 2"/>
            <wp:cNvGraphicFramePr>
              <a:graphicFrameLocks noChangeAspect="1"/>
            </wp:cNvGraphicFramePr>
            <a:graphic>
              <a:graphicData uri="http://schemas.openxmlformats.org/drawingml/2006/picture">
                <pic:pic>
                  <pic:nvPicPr>
                    <pic:cNvPr id="0" name="00_architecture_diagram.png"/>
                    <pic:cNvPicPr/>
                  </pic:nvPicPr>
                  <pic:blipFill>
                    <a:blip r:embed="rId10"/>
                    <a:stretch>
                      <a:fillRect/>
                    </a:stretch>
                  </pic:blipFill>
                  <pic:spPr>
                    <a:xfrm>
                      <a:off x="0" y="0"/>
                      <a:ext cx="5486400" cy="3413760"/>
                    </a:xfrm>
                    <a:prstGeom prst="rect"/>
                  </pic:spPr>
                </pic:pic>
              </a:graphicData>
            </a:graphic>
          </wp:inline>
        </w:drawing>
      </w:r>
    </w:p>
    <w:p>
      <w:pPr>
        <w:spacing w:after="240"/>
        <w:jc w:val="center"/>
      </w:pPr>
      <w:r>
        <w:rPr>
          <w:i/>
          <w:color w:val="555555"/>
          <w:sz w:val="18"/>
        </w:rPr>
        <w:t>Fig. 2 -- System Architecture Diagram</w:t>
      </w:r>
    </w:p>
    <w:p>
      <w:pPr>
        <w:pStyle w:val="Heading1"/>
      </w:pPr>
      <w:r>
        <w:rPr>
          <w:color w:val="1F4E79"/>
          <w:sz w:val="32"/>
        </w:rPr>
        <w:t>17. Executive Overview Module</w:t>
      </w:r>
    </w:p>
    <w:p>
      <w:pPr>
        <w:spacing w:after="160"/>
      </w:pPr>
      <w:r>
        <w:rPr>
          <w:b w:val="0"/>
          <w:i w:val="0"/>
          <w:sz w:val="22"/>
        </w:rPr>
        <w:t>The Executive Overview page displays six KPI cards computed dynamically from the filtered dataset:</w:t>
      </w:r>
    </w:p>
    <w:tbl>
      <w:tblPr>
        <w:tblStyle w:val="TableGrid"/>
        <w:tblW w:type="auto" w:w="0"/>
        <w:tblLook w:firstColumn="1" w:firstRow="1" w:lastColumn="0" w:lastRow="0" w:noHBand="0" w:noVBand="1" w:val="04A0"/>
      </w:tblPr>
      <w:tblGrid>
        <w:gridCol w:w="4561"/>
        <w:gridCol w:w="4561"/>
      </w:tblGrid>
      <w:tr>
        <w:tc>
          <w:tcPr>
            <w:tcW w:type="dxa" w:w="3600"/>
            <w:shd w:fill="1F4E79" w:color="FFFFFF" w:val="clear"/>
          </w:tcPr>
          <w:p>
            <w:r>
              <w:rPr>
                <w:b/>
                <w:color w:val="FFFFFF"/>
                <w:sz w:val="20"/>
              </w:rPr>
              <w:t>KPI</w:t>
            </w:r>
          </w:p>
        </w:tc>
        <w:tc>
          <w:tcPr>
            <w:tcW w:type="dxa" w:w="4320"/>
            <w:shd w:fill="1F4E79" w:color="FFFFFF" w:val="clear"/>
          </w:tcPr>
          <w:p>
            <w:r>
              <w:rPr>
                <w:b/>
                <w:color w:val="FFFFFF"/>
                <w:sz w:val="20"/>
              </w:rPr>
              <w:t>Full-Dataset Value</w:t>
            </w:r>
          </w:p>
        </w:tc>
      </w:tr>
      <w:tr>
        <w:tc>
          <w:tcPr>
            <w:tcW w:type="dxa" w:w="3600"/>
            <w:shd w:fill="EBF3FB" w:val="clear"/>
          </w:tcPr>
          <w:p>
            <w:r>
              <w:rPr>
                <w:sz w:val="20"/>
              </w:rPr>
              <w:t>Total Orders (unique)</w:t>
            </w:r>
          </w:p>
        </w:tc>
        <w:tc>
          <w:tcPr>
            <w:tcW w:type="dxa" w:w="4320"/>
            <w:shd w:fill="EBF3FB" w:val="clear"/>
          </w:tcPr>
          <w:p>
            <w:r>
              <w:rPr>
                <w:sz w:val="20"/>
              </w:rPr>
              <w:t>120,378</w:t>
            </w:r>
          </w:p>
        </w:tc>
      </w:tr>
      <w:tr>
        <w:tc>
          <w:tcPr>
            <w:tcW w:type="dxa" w:w="3600"/>
          </w:tcPr>
          <w:p>
            <w:r>
              <w:rPr>
                <w:sz w:val="20"/>
              </w:rPr>
              <w:t>Total Revenue</w:t>
            </w:r>
          </w:p>
        </w:tc>
        <w:tc>
          <w:tcPr>
            <w:tcW w:type="dxa" w:w="4320"/>
          </w:tcPr>
          <w:p>
            <w:r>
              <w:rPr>
                <w:sz w:val="20"/>
              </w:rPr>
              <w:t>Rs. 75.40 M</w:t>
            </w:r>
          </w:p>
        </w:tc>
      </w:tr>
      <w:tr>
        <w:tc>
          <w:tcPr>
            <w:tcW w:type="dxa" w:w="3600"/>
            <w:shd w:fill="EBF3FB" w:val="clear"/>
          </w:tcPr>
          <w:p>
            <w:r>
              <w:rPr>
                <w:sz w:val="20"/>
              </w:rPr>
              <w:t>Total Quantity</w:t>
            </w:r>
          </w:p>
        </w:tc>
        <w:tc>
          <w:tcPr>
            <w:tcW w:type="dxa" w:w="4320"/>
            <w:shd w:fill="EBF3FB" w:val="clear"/>
          </w:tcPr>
          <w:p>
            <w:r>
              <w:rPr>
                <w:sz w:val="20"/>
              </w:rPr>
              <w:t>116,649 units</w:t>
            </w:r>
          </w:p>
        </w:tc>
      </w:tr>
      <w:tr>
        <w:tc>
          <w:tcPr>
            <w:tcW w:type="dxa" w:w="3600"/>
          </w:tcPr>
          <w:p>
            <w:r>
              <w:rPr>
                <w:sz w:val="20"/>
              </w:rPr>
              <w:t>Average Order Value</w:t>
            </w:r>
          </w:p>
        </w:tc>
        <w:tc>
          <w:tcPr>
            <w:tcW w:type="dxa" w:w="4320"/>
          </w:tcPr>
          <w:p>
            <w:r>
              <w:rPr>
                <w:sz w:val="20"/>
              </w:rPr>
              <w:t>Rs. 626</w:t>
            </w:r>
          </w:p>
        </w:tc>
      </w:tr>
      <w:tr>
        <w:tc>
          <w:tcPr>
            <w:tcW w:type="dxa" w:w="3600"/>
            <w:shd w:fill="EBF3FB" w:val="clear"/>
          </w:tcPr>
          <w:p>
            <w:r>
              <w:rPr>
                <w:sz w:val="20"/>
              </w:rPr>
              <w:t>Cancellation Rate</w:t>
            </w:r>
          </w:p>
        </w:tc>
        <w:tc>
          <w:tcPr>
            <w:tcW w:type="dxa" w:w="4320"/>
            <w:shd w:fill="EBF3FB" w:val="clear"/>
          </w:tcPr>
          <w:p>
            <w:r>
              <w:rPr>
                <w:sz w:val="20"/>
              </w:rPr>
              <w:t>14.2%</w:t>
            </w:r>
          </w:p>
        </w:tc>
      </w:tr>
      <w:tr>
        <w:tc>
          <w:tcPr>
            <w:tcW w:type="dxa" w:w="3600"/>
          </w:tcPr>
          <w:p>
            <w:r>
              <w:rPr>
                <w:sz w:val="20"/>
              </w:rPr>
              <w:t>Top Category</w:t>
            </w:r>
          </w:p>
        </w:tc>
        <w:tc>
          <w:tcPr>
            <w:tcW w:type="dxa" w:w="4320"/>
          </w:tcPr>
          <w:p>
            <w:r>
              <w:rPr>
                <w:sz w:val="20"/>
              </w:rPr>
              <w:t>Set</w:t>
            </w:r>
          </w:p>
        </w:tc>
      </w:tr>
    </w:tbl>
    <w:p/>
    <w:p>
      <w:pPr>
        <w:jc w:val="center"/>
      </w:pPr>
      <w:r>
        <w:drawing>
          <wp:inline xmlns:a="http://schemas.openxmlformats.org/drawingml/2006/main" xmlns:pic="http://schemas.openxmlformats.org/drawingml/2006/picture">
            <wp:extent cx="5486400" cy="2304288"/>
            <wp:docPr id="3" name="Picture 3"/>
            <wp:cNvGraphicFramePr>
              <a:graphicFrameLocks noChangeAspect="1"/>
            </wp:cNvGraphicFramePr>
            <a:graphic>
              <a:graphicData uri="http://schemas.openxmlformats.org/drawingml/2006/picture">
                <pic:pic>
                  <pic:nvPicPr>
                    <pic:cNvPr id="0" name="01_daily_revenue_trend.png"/>
                    <pic:cNvPicPr/>
                  </pic:nvPicPr>
                  <pic:blipFill>
                    <a:blip r:embed="rId11"/>
                    <a:stretch>
                      <a:fillRect/>
                    </a:stretch>
                  </pic:blipFill>
                  <pic:spPr>
                    <a:xfrm>
                      <a:off x="0" y="0"/>
                      <a:ext cx="5486400" cy="2304288"/>
                    </a:xfrm>
                    <a:prstGeom prst="rect"/>
                  </pic:spPr>
                </pic:pic>
              </a:graphicData>
            </a:graphic>
          </wp:inline>
        </w:drawing>
      </w:r>
    </w:p>
    <w:p>
      <w:pPr>
        <w:spacing w:after="240"/>
        <w:jc w:val="center"/>
      </w:pPr>
      <w:r>
        <w:rPr>
          <w:i/>
          <w:color w:val="555555"/>
          <w:sz w:val="18"/>
        </w:rPr>
        <w:t>Fig. 3 -- Daily Revenue Trend (Executive Overview)</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02_revenue_by_category.png"/>
                    <pic:cNvPicPr/>
                  </pic:nvPicPr>
                  <pic:blipFill>
                    <a:blip r:embed="rId12"/>
                    <a:stretch>
                      <a:fillRect/>
                    </a:stretch>
                  </pic:blipFill>
                  <pic:spPr>
                    <a:xfrm>
                      <a:off x="0" y="0"/>
                      <a:ext cx="5486400" cy="3291840"/>
                    </a:xfrm>
                    <a:prstGeom prst="rect"/>
                  </pic:spPr>
                </pic:pic>
              </a:graphicData>
            </a:graphic>
          </wp:inline>
        </w:drawing>
      </w:r>
    </w:p>
    <w:p>
      <w:pPr>
        <w:spacing w:after="240"/>
        <w:jc w:val="center"/>
      </w:pPr>
      <w:r>
        <w:rPr>
          <w:i/>
          <w:color w:val="555555"/>
          <w:sz w:val="18"/>
        </w:rPr>
        <w:t>Fig. 4 -- Revenue by Category Bar Chart</w:t>
      </w:r>
    </w:p>
    <w:p>
      <w:pPr>
        <w:jc w:val="center"/>
      </w:pPr>
      <w:r>
        <w:drawing>
          <wp:inline xmlns:a="http://schemas.openxmlformats.org/drawingml/2006/main" xmlns:pic="http://schemas.openxmlformats.org/drawingml/2006/picture">
            <wp:extent cx="5486400" cy="3711388"/>
            <wp:docPr id="5" name="Picture 5"/>
            <wp:cNvGraphicFramePr>
              <a:graphicFrameLocks noChangeAspect="1"/>
            </wp:cNvGraphicFramePr>
            <a:graphic>
              <a:graphicData uri="http://schemas.openxmlformats.org/drawingml/2006/picture">
                <pic:pic>
                  <pic:nvPicPr>
                    <pic:cNvPr id="0" name="03_order_status_donut.png"/>
                    <pic:cNvPicPr/>
                  </pic:nvPicPr>
                  <pic:blipFill>
                    <a:blip r:embed="rId13"/>
                    <a:stretch>
                      <a:fillRect/>
                    </a:stretch>
                  </pic:blipFill>
                  <pic:spPr>
                    <a:xfrm>
                      <a:off x="0" y="0"/>
                      <a:ext cx="5486400" cy="3711388"/>
                    </a:xfrm>
                    <a:prstGeom prst="rect"/>
                  </pic:spPr>
                </pic:pic>
              </a:graphicData>
            </a:graphic>
          </wp:inline>
        </w:drawing>
      </w:r>
    </w:p>
    <w:p>
      <w:pPr>
        <w:spacing w:after="240"/>
        <w:jc w:val="center"/>
      </w:pPr>
      <w:r>
        <w:rPr>
          <w:i/>
          <w:color w:val="555555"/>
          <w:sz w:val="18"/>
        </w:rPr>
        <w:t>Fig. 5 -- Order Status Donut Chart</w:t>
      </w:r>
    </w:p>
    <w:p>
      <w:pPr>
        <w:jc w:val="center"/>
      </w:pPr>
      <w:r>
        <w:drawing>
          <wp:inline xmlns:a="http://schemas.openxmlformats.org/drawingml/2006/main" xmlns:pic="http://schemas.openxmlformats.org/drawingml/2006/picture">
            <wp:extent cx="5486400" cy="3840480"/>
            <wp:docPr id="6" name="Picture 6"/>
            <wp:cNvGraphicFramePr>
              <a:graphicFrameLocks noChangeAspect="1"/>
            </wp:cNvGraphicFramePr>
            <a:graphic>
              <a:graphicData uri="http://schemas.openxmlformats.org/drawingml/2006/picture">
                <pic:pic>
                  <pic:nvPicPr>
                    <pic:cNvPr id="0" name="04_fulfilment_split.png"/>
                    <pic:cNvPicPr/>
                  </pic:nvPicPr>
                  <pic:blipFill>
                    <a:blip r:embed="rId14"/>
                    <a:stretch>
                      <a:fillRect/>
                    </a:stretch>
                  </pic:blipFill>
                  <pic:spPr>
                    <a:xfrm>
                      <a:off x="0" y="0"/>
                      <a:ext cx="5486400" cy="3840480"/>
                    </a:xfrm>
                    <a:prstGeom prst="rect"/>
                  </pic:spPr>
                </pic:pic>
              </a:graphicData>
            </a:graphic>
          </wp:inline>
        </w:drawing>
      </w:r>
    </w:p>
    <w:p>
      <w:pPr>
        <w:spacing w:after="240"/>
        <w:jc w:val="center"/>
      </w:pPr>
      <w:r>
        <w:rPr>
          <w:i/>
          <w:color w:val="555555"/>
          <w:sz w:val="18"/>
        </w:rPr>
        <w:t>Fig. 6 -- Fulfilment Type Split</w:t>
      </w:r>
    </w:p>
    <w:p>
      <w:pPr>
        <w:jc w:val="center"/>
      </w:pPr>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05_size_distribution.png"/>
                    <pic:cNvPicPr/>
                  </pic:nvPicPr>
                  <pic:blipFill>
                    <a:blip r:embed="rId15"/>
                    <a:stretch>
                      <a:fillRect/>
                    </a:stretch>
                  </pic:blipFill>
                  <pic:spPr>
                    <a:xfrm>
                      <a:off x="0" y="0"/>
                      <a:ext cx="5486400" cy="3135086"/>
                    </a:xfrm>
                    <a:prstGeom prst="rect"/>
                  </pic:spPr>
                </pic:pic>
              </a:graphicData>
            </a:graphic>
          </wp:inline>
        </w:drawing>
      </w:r>
    </w:p>
    <w:p>
      <w:pPr>
        <w:spacing w:after="240"/>
        <w:jc w:val="center"/>
      </w:pPr>
      <w:r>
        <w:rPr>
          <w:i/>
          <w:color w:val="555555"/>
          <w:sz w:val="18"/>
        </w:rPr>
        <w:t>Fig. 7 -- Size Distribution Bar Chart</w:t>
      </w:r>
    </w:p>
    <w:p>
      <w:r>
        <w:br w:type="page"/>
      </w:r>
    </w:p>
    <w:p>
      <w:pPr>
        <w:pStyle w:val="Heading1"/>
      </w:pPr>
      <w:r>
        <w:rPr>
          <w:color w:val="1F4E79"/>
          <w:sz w:val="32"/>
        </w:rPr>
        <w:t>18. Data Quality Module</w:t>
      </w:r>
    </w:p>
    <w:p>
      <w:pPr>
        <w:spacing w:after="160"/>
      </w:pPr>
      <w:r>
        <w:rPr>
          <w:b w:val="0"/>
          <w:i w:val="0"/>
          <w:sz w:val="22"/>
        </w:rPr>
        <w:t>Complete data quality audit across six tabs: missing values bar chart and table, data types, unique value cardinality, numerical statistics (Qty/Amount), IQR outlier box-plots, and inconsistency analysis. All computed from the raw unmodified CSV.</w:t>
      </w:r>
    </w:p>
    <w:p>
      <w:pPr>
        <w:jc w:val="center"/>
      </w:pPr>
      <w:r>
        <w:drawing>
          <wp:inline xmlns:a="http://schemas.openxmlformats.org/drawingml/2006/main" xmlns:pic="http://schemas.openxmlformats.org/drawingml/2006/picture">
            <wp:extent cx="5486400" cy="3135086"/>
            <wp:docPr id="8" name="Picture 8"/>
            <wp:cNvGraphicFramePr>
              <a:graphicFrameLocks noChangeAspect="1"/>
            </wp:cNvGraphicFramePr>
            <a:graphic>
              <a:graphicData uri="http://schemas.openxmlformats.org/drawingml/2006/picture">
                <pic:pic>
                  <pic:nvPicPr>
                    <pic:cNvPr id="0" name="07_amount_distribution.png"/>
                    <pic:cNvPicPr/>
                  </pic:nvPicPr>
                  <pic:blipFill>
                    <a:blip r:embed="rId16"/>
                    <a:stretch>
                      <a:fillRect/>
                    </a:stretch>
                  </pic:blipFill>
                  <pic:spPr>
                    <a:xfrm>
                      <a:off x="0" y="0"/>
                      <a:ext cx="5486400" cy="3135086"/>
                    </a:xfrm>
                    <a:prstGeom prst="rect"/>
                  </pic:spPr>
                </pic:pic>
              </a:graphicData>
            </a:graphic>
          </wp:inline>
        </w:drawing>
      </w:r>
    </w:p>
    <w:p>
      <w:pPr>
        <w:spacing w:after="240"/>
        <w:jc w:val="center"/>
      </w:pPr>
      <w:r>
        <w:rPr>
          <w:i/>
          <w:color w:val="555555"/>
          <w:sz w:val="18"/>
        </w:rPr>
        <w:t>Fig. 8 -- Amount Distribution (Data Quality Module)</w:t>
      </w:r>
    </w:p>
    <w:p>
      <w:pPr>
        <w:jc w:val="center"/>
      </w:pPr>
      <w:r>
        <w:drawing>
          <wp:inline xmlns:a="http://schemas.openxmlformats.org/drawingml/2006/main" xmlns:pic="http://schemas.openxmlformats.org/drawingml/2006/picture">
            <wp:extent cx="5486400" cy="3017520"/>
            <wp:docPr id="9" name="Picture 9"/>
            <wp:cNvGraphicFramePr>
              <a:graphicFrameLocks noChangeAspect="1"/>
            </wp:cNvGraphicFramePr>
            <a:graphic>
              <a:graphicData uri="http://schemas.openxmlformats.org/drawingml/2006/picture">
                <pic:pic>
                  <pic:nvPicPr>
                    <pic:cNvPr id="0" name="08_outlier_boxplots.png"/>
                    <pic:cNvPicPr/>
                  </pic:nvPicPr>
                  <pic:blipFill>
                    <a:blip r:embed="rId17"/>
                    <a:stretch>
                      <a:fillRect/>
                    </a:stretch>
                  </pic:blipFill>
                  <pic:spPr>
                    <a:xfrm>
                      <a:off x="0" y="0"/>
                      <a:ext cx="5486400" cy="3017520"/>
                    </a:xfrm>
                    <a:prstGeom prst="rect"/>
                  </pic:spPr>
                </pic:pic>
              </a:graphicData>
            </a:graphic>
          </wp:inline>
        </w:drawing>
      </w:r>
    </w:p>
    <w:p>
      <w:pPr>
        <w:spacing w:after="240"/>
        <w:jc w:val="center"/>
      </w:pPr>
      <w:r>
        <w:rPr>
          <w:i/>
          <w:color w:val="555555"/>
          <w:sz w:val="18"/>
        </w:rPr>
        <w:t>Fig. 9 -- IQR Outlier Box-Plots</w:t>
      </w:r>
    </w:p>
    <w:p>
      <w:pPr>
        <w:pStyle w:val="Heading1"/>
      </w:pPr>
      <w:r>
        <w:rPr>
          <w:color w:val="1F4E79"/>
          <w:sz w:val="32"/>
        </w:rPr>
        <w:t>19. Sales Analytics Module</w:t>
      </w:r>
    </w:p>
    <w:p>
      <w:pPr>
        <w:spacing w:after="160"/>
      </w:pPr>
      <w:r>
        <w:rPr>
          <w:b w:val="0"/>
          <w:i w:val="0"/>
          <w:sz w:val="22"/>
        </w:rPr>
        <w:t>The Sales Analytics module provides granularity-switchable trend charts (Daily / Weekly / Monthly) with a dual-axis chart showing Revenue (bar) and Order Count (line). Additional charts include category-wise revenue, size-wise quantity, top 20 SKUs, and a day-of-week x category heatmap.</w:t>
      </w:r>
    </w:p>
    <w:p>
      <w:pPr>
        <w:jc w:val="center"/>
      </w:pPr>
      <w:r>
        <w:drawing>
          <wp:inline xmlns:a="http://schemas.openxmlformats.org/drawingml/2006/main" xmlns:pic="http://schemas.openxmlformats.org/drawingml/2006/picture">
            <wp:extent cx="5486400" cy="2523744"/>
            <wp:docPr id="10" name="Picture 10"/>
            <wp:cNvGraphicFramePr>
              <a:graphicFrameLocks noChangeAspect="1"/>
            </wp:cNvGraphicFramePr>
            <a:graphic>
              <a:graphicData uri="http://schemas.openxmlformats.org/drawingml/2006/picture">
                <pic:pic>
                  <pic:nvPicPr>
                    <pic:cNvPr id="0" name="09_sales_dual_axis.png"/>
                    <pic:cNvPicPr/>
                  </pic:nvPicPr>
                  <pic:blipFill>
                    <a:blip r:embed="rId18"/>
                    <a:stretch>
                      <a:fillRect/>
                    </a:stretch>
                  </pic:blipFill>
                  <pic:spPr>
                    <a:xfrm>
                      <a:off x="0" y="0"/>
                      <a:ext cx="5486400" cy="2523744"/>
                    </a:xfrm>
                    <a:prstGeom prst="rect"/>
                  </pic:spPr>
                </pic:pic>
              </a:graphicData>
            </a:graphic>
          </wp:inline>
        </w:drawing>
      </w:r>
    </w:p>
    <w:p>
      <w:pPr>
        <w:spacing w:after="240"/>
        <w:jc w:val="center"/>
      </w:pPr>
      <w:r>
        <w:rPr>
          <w:i/>
          <w:color w:val="555555"/>
          <w:sz w:val="18"/>
        </w:rPr>
        <w:t>Fig. 10 -- Dual-Axis Sales Trend (Revenue + Orders)</w:t>
      </w:r>
    </w:p>
    <w:p>
      <w:pPr>
        <w:jc w:val="center"/>
      </w:pPr>
      <w:r>
        <w:drawing>
          <wp:inline xmlns:a="http://schemas.openxmlformats.org/drawingml/2006/main" xmlns:pic="http://schemas.openxmlformats.org/drawingml/2006/picture">
            <wp:extent cx="5486400" cy="3135086"/>
            <wp:docPr id="11" name="Picture 11"/>
            <wp:cNvGraphicFramePr>
              <a:graphicFrameLocks noChangeAspect="1"/>
            </wp:cNvGraphicFramePr>
            <a:graphic>
              <a:graphicData uri="http://schemas.openxmlformats.org/drawingml/2006/picture">
                <pic:pic>
                  <pic:nvPicPr>
                    <pic:cNvPr id="0" name="10_monthly_revenue.png"/>
                    <pic:cNvPicPr/>
                  </pic:nvPicPr>
                  <pic:blipFill>
                    <a:blip r:embed="rId19"/>
                    <a:stretch>
                      <a:fillRect/>
                    </a:stretch>
                  </pic:blipFill>
                  <pic:spPr>
                    <a:xfrm>
                      <a:off x="0" y="0"/>
                      <a:ext cx="5486400" cy="3135086"/>
                    </a:xfrm>
                    <a:prstGeom prst="rect"/>
                  </pic:spPr>
                </pic:pic>
              </a:graphicData>
            </a:graphic>
          </wp:inline>
        </w:drawing>
      </w:r>
    </w:p>
    <w:p>
      <w:pPr>
        <w:spacing w:after="240"/>
        <w:jc w:val="center"/>
      </w:pPr>
      <w:r>
        <w:rPr>
          <w:i/>
          <w:color w:val="555555"/>
          <w:sz w:val="18"/>
        </w:rPr>
        <w:t>Fig. 11 -- Monthly Revenue Trend</w:t>
      </w:r>
    </w:p>
    <w:p>
      <w:pPr>
        <w:jc w:val="center"/>
      </w:pPr>
      <w:r>
        <w:drawing>
          <wp:inline xmlns:a="http://schemas.openxmlformats.org/drawingml/2006/main" xmlns:pic="http://schemas.openxmlformats.org/drawingml/2006/picture">
            <wp:extent cx="5486400" cy="2806995"/>
            <wp:docPr id="12" name="Picture 12"/>
            <wp:cNvGraphicFramePr>
              <a:graphicFrameLocks noChangeAspect="1"/>
            </wp:cNvGraphicFramePr>
            <a:graphic>
              <a:graphicData uri="http://schemas.openxmlformats.org/drawingml/2006/picture">
                <pic:pic>
                  <pic:nvPicPr>
                    <pic:cNvPr id="0" name="11_dow_heatmap.png"/>
                    <pic:cNvPicPr/>
                  </pic:nvPicPr>
                  <pic:blipFill>
                    <a:blip r:embed="rId20"/>
                    <a:stretch>
                      <a:fillRect/>
                    </a:stretch>
                  </pic:blipFill>
                  <pic:spPr>
                    <a:xfrm>
                      <a:off x="0" y="0"/>
                      <a:ext cx="5486400" cy="2806995"/>
                    </a:xfrm>
                    <a:prstGeom prst="rect"/>
                  </pic:spPr>
                </pic:pic>
              </a:graphicData>
            </a:graphic>
          </wp:inline>
        </w:drawing>
      </w:r>
    </w:p>
    <w:p>
      <w:pPr>
        <w:spacing w:after="240"/>
        <w:jc w:val="center"/>
      </w:pPr>
      <w:r>
        <w:rPr>
          <w:i/>
          <w:color w:val="555555"/>
          <w:sz w:val="18"/>
        </w:rPr>
        <w:t>Fig. 12 -- Day-of-Week x Category Revenue Heatmap</w:t>
      </w:r>
    </w:p>
    <w:p>
      <w:pPr>
        <w:jc w:val="center"/>
      </w:pPr>
      <w:r>
        <w:drawing>
          <wp:inline xmlns:a="http://schemas.openxmlformats.org/drawingml/2006/main" xmlns:pic="http://schemas.openxmlformats.org/drawingml/2006/picture">
            <wp:extent cx="5486400" cy="2656573"/>
            <wp:docPr id="13" name="Picture 13"/>
            <wp:cNvGraphicFramePr>
              <a:graphicFrameLocks noChangeAspect="1"/>
            </wp:cNvGraphicFramePr>
            <a:graphic>
              <a:graphicData uri="http://schemas.openxmlformats.org/drawingml/2006/picture">
                <pic:pic>
                  <pic:nvPicPr>
                    <pic:cNvPr id="0" name="12_top20_skus.png"/>
                    <pic:cNvPicPr/>
                  </pic:nvPicPr>
                  <pic:blipFill>
                    <a:blip r:embed="rId21"/>
                    <a:stretch>
                      <a:fillRect/>
                    </a:stretch>
                  </pic:blipFill>
                  <pic:spPr>
                    <a:xfrm>
                      <a:off x="0" y="0"/>
                      <a:ext cx="5486400" cy="2656573"/>
                    </a:xfrm>
                    <a:prstGeom prst="rect"/>
                  </pic:spPr>
                </pic:pic>
              </a:graphicData>
            </a:graphic>
          </wp:inline>
        </w:drawing>
      </w:r>
    </w:p>
    <w:p>
      <w:pPr>
        <w:spacing w:after="240"/>
        <w:jc w:val="center"/>
      </w:pPr>
      <w:r>
        <w:rPr>
          <w:i/>
          <w:color w:val="555555"/>
          <w:sz w:val="18"/>
        </w:rPr>
        <w:t>Fig. 13 -- Top 20 SKUs by Revenue</w:t>
      </w:r>
    </w:p>
    <w:p>
      <w:r>
        <w:br w:type="page"/>
      </w:r>
    </w:p>
    <w:p>
      <w:pPr>
        <w:pStyle w:val="Heading1"/>
      </w:pPr>
      <w:r>
        <w:rPr>
          <w:color w:val="1F4E79"/>
          <w:sz w:val="32"/>
        </w:rPr>
        <w:t>20. Geographic Analytics Module</w:t>
      </w:r>
    </w:p>
    <w:p>
      <w:pPr>
        <w:spacing w:after="160"/>
      </w:pPr>
      <w:r>
        <w:rPr>
          <w:b w:val="0"/>
          <w:i w:val="0"/>
          <w:sz w:val="22"/>
        </w:rPr>
        <w:t>State-wise revenue ranking (Top 20), revenue share pie (Top 10 states), orders vs revenue bubble chart, top 25 cities bar, and a full state expandable table. Maharashtra leads at Rs. 12.86 M.</w:t>
      </w:r>
    </w:p>
    <w:p>
      <w:pPr>
        <w:jc w:val="center"/>
      </w:pPr>
      <w:r>
        <w:drawing>
          <wp:inline xmlns:a="http://schemas.openxmlformats.org/drawingml/2006/main" xmlns:pic="http://schemas.openxmlformats.org/drawingml/2006/picture">
            <wp:extent cx="5486400" cy="3840480"/>
            <wp:docPr id="14" name="Picture 14"/>
            <wp:cNvGraphicFramePr>
              <a:graphicFrameLocks noChangeAspect="1"/>
            </wp:cNvGraphicFramePr>
            <a:graphic>
              <a:graphicData uri="http://schemas.openxmlformats.org/drawingml/2006/picture">
                <pic:pic>
                  <pic:nvPicPr>
                    <pic:cNvPr id="0" name="13_top20_states.png"/>
                    <pic:cNvPicPr/>
                  </pic:nvPicPr>
                  <pic:blipFill>
                    <a:blip r:embed="rId22"/>
                    <a:stretch>
                      <a:fillRect/>
                    </a:stretch>
                  </pic:blipFill>
                  <pic:spPr>
                    <a:xfrm>
                      <a:off x="0" y="0"/>
                      <a:ext cx="5486400" cy="3840480"/>
                    </a:xfrm>
                    <a:prstGeom prst="rect"/>
                  </pic:spPr>
                </pic:pic>
              </a:graphicData>
            </a:graphic>
          </wp:inline>
        </w:drawing>
      </w:r>
    </w:p>
    <w:p>
      <w:pPr>
        <w:spacing w:after="240"/>
        <w:jc w:val="center"/>
      </w:pPr>
      <w:r>
        <w:rPr>
          <w:i/>
          <w:color w:val="555555"/>
          <w:sz w:val="18"/>
        </w:rPr>
        <w:t>Fig. 14 -- Top 20 States by Revenue</w:t>
      </w:r>
    </w:p>
    <w:p>
      <w:pPr>
        <w:jc w:val="center"/>
      </w:pPr>
      <w:r>
        <w:drawing>
          <wp:inline xmlns:a="http://schemas.openxmlformats.org/drawingml/2006/main" xmlns:pic="http://schemas.openxmlformats.org/drawingml/2006/picture">
            <wp:extent cx="5486400" cy="3823855"/>
            <wp:docPr id="15" name="Picture 15"/>
            <wp:cNvGraphicFramePr>
              <a:graphicFrameLocks noChangeAspect="1"/>
            </wp:cNvGraphicFramePr>
            <a:graphic>
              <a:graphicData uri="http://schemas.openxmlformats.org/drawingml/2006/picture">
                <pic:pic>
                  <pic:nvPicPr>
                    <pic:cNvPr id="0" name="14_state_revenue_pie.png"/>
                    <pic:cNvPicPr/>
                  </pic:nvPicPr>
                  <pic:blipFill>
                    <a:blip r:embed="rId23"/>
                    <a:stretch>
                      <a:fillRect/>
                    </a:stretch>
                  </pic:blipFill>
                  <pic:spPr>
                    <a:xfrm>
                      <a:off x="0" y="0"/>
                      <a:ext cx="5486400" cy="3823855"/>
                    </a:xfrm>
                    <a:prstGeom prst="rect"/>
                  </pic:spPr>
                </pic:pic>
              </a:graphicData>
            </a:graphic>
          </wp:inline>
        </w:drawing>
      </w:r>
    </w:p>
    <w:p>
      <w:pPr>
        <w:spacing w:after="240"/>
        <w:jc w:val="center"/>
      </w:pPr>
      <w:r>
        <w:rPr>
          <w:i/>
          <w:color w:val="555555"/>
          <w:sz w:val="18"/>
        </w:rPr>
        <w:t>Fig. 15 -- Revenue Share Pie (Top 10 States)</w:t>
      </w:r>
    </w:p>
    <w:p>
      <w:pPr>
        <w:jc w:val="center"/>
      </w:pPr>
      <w:r>
        <w:drawing>
          <wp:inline xmlns:a="http://schemas.openxmlformats.org/drawingml/2006/main" xmlns:pic="http://schemas.openxmlformats.org/drawingml/2006/picture">
            <wp:extent cx="5486400" cy="3048000"/>
            <wp:docPr id="16" name="Picture 16"/>
            <wp:cNvGraphicFramePr>
              <a:graphicFrameLocks noChangeAspect="1"/>
            </wp:cNvGraphicFramePr>
            <a:graphic>
              <a:graphicData uri="http://schemas.openxmlformats.org/drawingml/2006/picture">
                <pic:pic>
                  <pic:nvPicPr>
                    <pic:cNvPr id="0" name="15_state_bubble_scatter.png"/>
                    <pic:cNvPicPr/>
                  </pic:nvPicPr>
                  <pic:blipFill>
                    <a:blip r:embed="rId24"/>
                    <a:stretch>
                      <a:fillRect/>
                    </a:stretch>
                  </pic:blipFill>
                  <pic:spPr>
                    <a:xfrm>
                      <a:off x="0" y="0"/>
                      <a:ext cx="5486400" cy="3048000"/>
                    </a:xfrm>
                    <a:prstGeom prst="rect"/>
                  </pic:spPr>
                </pic:pic>
              </a:graphicData>
            </a:graphic>
          </wp:inline>
        </w:drawing>
      </w:r>
    </w:p>
    <w:p>
      <w:pPr>
        <w:spacing w:after="240"/>
        <w:jc w:val="center"/>
      </w:pPr>
      <w:r>
        <w:rPr>
          <w:i/>
          <w:color w:val="555555"/>
          <w:sz w:val="18"/>
        </w:rPr>
        <w:t>Fig. 16 -- Orders vs Revenue Bubble Scatter</w:t>
      </w:r>
    </w:p>
    <w:p>
      <w:pPr>
        <w:jc w:val="center"/>
      </w:pPr>
      <w:r>
        <w:drawing>
          <wp:inline xmlns:a="http://schemas.openxmlformats.org/drawingml/2006/main" xmlns:pic="http://schemas.openxmlformats.org/drawingml/2006/picture">
            <wp:extent cx="5486400" cy="2804160"/>
            <wp:docPr id="17" name="Picture 17"/>
            <wp:cNvGraphicFramePr>
              <a:graphicFrameLocks noChangeAspect="1"/>
            </wp:cNvGraphicFramePr>
            <a:graphic>
              <a:graphicData uri="http://schemas.openxmlformats.org/drawingml/2006/picture">
                <pic:pic>
                  <pic:nvPicPr>
                    <pic:cNvPr id="0" name="16_top25_cities.png"/>
                    <pic:cNvPicPr/>
                  </pic:nvPicPr>
                  <pic:blipFill>
                    <a:blip r:embed="rId25"/>
                    <a:stretch>
                      <a:fillRect/>
                    </a:stretch>
                  </pic:blipFill>
                  <pic:spPr>
                    <a:xfrm>
                      <a:off x="0" y="0"/>
                      <a:ext cx="5486400" cy="2804160"/>
                    </a:xfrm>
                    <a:prstGeom prst="rect"/>
                  </pic:spPr>
                </pic:pic>
              </a:graphicData>
            </a:graphic>
          </wp:inline>
        </w:drawing>
      </w:r>
    </w:p>
    <w:p>
      <w:pPr>
        <w:spacing w:after="240"/>
        <w:jc w:val="center"/>
      </w:pPr>
      <w:r>
        <w:rPr>
          <w:i/>
          <w:color w:val="555555"/>
          <w:sz w:val="18"/>
        </w:rPr>
        <w:t>Fig. 17 -- Top 25 Cities by Revenue</w:t>
      </w:r>
    </w:p>
    <w:p>
      <w:pPr>
        <w:pStyle w:val="Heading1"/>
      </w:pPr>
      <w:r>
        <w:rPr>
          <w:color w:val="1F4E79"/>
          <w:sz w:val="32"/>
        </w:rPr>
        <w:t>21. Order &amp; Fulfilment Analytics Module</w:t>
      </w:r>
    </w:p>
    <w:p>
      <w:pPr>
        <w:spacing w:after="160"/>
      </w:pPr>
      <w:r>
        <w:rPr>
          <w:b w:val="0"/>
          <w:i w:val="0"/>
          <w:sz w:val="22"/>
        </w:rPr>
        <w:t>Order status pie (13 statuses), fulfilment type pie, courier status pie. Daily shipped vs cancelled stacked bar. Service level distribution. B2B vs B2C split. Cancellation rate by category.</w:t>
      </w:r>
    </w:p>
    <w:p>
      <w:pPr>
        <w:jc w:val="center"/>
      </w:pPr>
      <w:r>
        <w:drawing>
          <wp:inline xmlns:a="http://schemas.openxmlformats.org/drawingml/2006/main" xmlns:pic="http://schemas.openxmlformats.org/drawingml/2006/picture">
            <wp:extent cx="5486400" cy="2414016"/>
            <wp:docPr id="18" name="Picture 18"/>
            <wp:cNvGraphicFramePr>
              <a:graphicFrameLocks noChangeAspect="1"/>
            </wp:cNvGraphicFramePr>
            <a:graphic>
              <a:graphicData uri="http://schemas.openxmlformats.org/drawingml/2006/picture">
                <pic:pic>
                  <pic:nvPicPr>
                    <pic:cNvPr id="0" name="17_shipped_vs_cancelled.png"/>
                    <pic:cNvPicPr/>
                  </pic:nvPicPr>
                  <pic:blipFill>
                    <a:blip r:embed="rId26"/>
                    <a:stretch>
                      <a:fillRect/>
                    </a:stretch>
                  </pic:blipFill>
                  <pic:spPr>
                    <a:xfrm>
                      <a:off x="0" y="0"/>
                      <a:ext cx="5486400" cy="2414016"/>
                    </a:xfrm>
                    <a:prstGeom prst="rect"/>
                  </pic:spPr>
                </pic:pic>
              </a:graphicData>
            </a:graphic>
          </wp:inline>
        </w:drawing>
      </w:r>
    </w:p>
    <w:p>
      <w:pPr>
        <w:spacing w:after="240"/>
        <w:jc w:val="center"/>
      </w:pPr>
      <w:r>
        <w:rPr>
          <w:i/>
          <w:color w:val="555555"/>
          <w:sz w:val="18"/>
        </w:rPr>
        <w:t>Fig. 18 -- Daily Shipped vs Cancelled</w:t>
      </w:r>
    </w:p>
    <w:p>
      <w:pPr>
        <w:jc w:val="center"/>
      </w:pPr>
      <w:r>
        <w:drawing>
          <wp:inline xmlns:a="http://schemas.openxmlformats.org/drawingml/2006/main" xmlns:pic="http://schemas.openxmlformats.org/drawingml/2006/picture">
            <wp:extent cx="5486400" cy="4114800"/>
            <wp:docPr id="19" name="Picture 19"/>
            <wp:cNvGraphicFramePr>
              <a:graphicFrameLocks noChangeAspect="1"/>
            </wp:cNvGraphicFramePr>
            <a:graphic>
              <a:graphicData uri="http://schemas.openxmlformats.org/drawingml/2006/picture">
                <pic:pic>
                  <pic:nvPicPr>
                    <pic:cNvPr id="0" name="18_b2b_vs_b2c.png"/>
                    <pic:cNvPicPr/>
                  </pic:nvPicPr>
                  <pic:blipFill>
                    <a:blip r:embed="rId27"/>
                    <a:stretch>
                      <a:fillRect/>
                    </a:stretch>
                  </pic:blipFill>
                  <pic:spPr>
                    <a:xfrm>
                      <a:off x="0" y="0"/>
                      <a:ext cx="5486400" cy="4114800"/>
                    </a:xfrm>
                    <a:prstGeom prst="rect"/>
                  </pic:spPr>
                </pic:pic>
              </a:graphicData>
            </a:graphic>
          </wp:inline>
        </w:drawing>
      </w:r>
    </w:p>
    <w:p>
      <w:pPr>
        <w:spacing w:after="240"/>
        <w:jc w:val="center"/>
      </w:pPr>
      <w:r>
        <w:rPr>
          <w:i/>
          <w:color w:val="555555"/>
          <w:sz w:val="18"/>
        </w:rPr>
        <w:t>Fig. 19 -- B2B vs B2C Split</w:t>
      </w:r>
    </w:p>
    <w:p>
      <w:pPr>
        <w:jc w:val="center"/>
      </w:pPr>
      <w:r>
        <w:drawing>
          <wp:inline xmlns:a="http://schemas.openxmlformats.org/drawingml/2006/main" xmlns:pic="http://schemas.openxmlformats.org/drawingml/2006/picture">
            <wp:extent cx="5486400" cy="2880360"/>
            <wp:docPr id="20" name="Picture 20"/>
            <wp:cNvGraphicFramePr>
              <a:graphicFrameLocks noChangeAspect="1"/>
            </wp:cNvGraphicFramePr>
            <a:graphic>
              <a:graphicData uri="http://schemas.openxmlformats.org/drawingml/2006/picture">
                <pic:pic>
                  <pic:nvPicPr>
                    <pic:cNvPr id="0" name="19_cancellation_by_category.png"/>
                    <pic:cNvPicPr/>
                  </pic:nvPicPr>
                  <pic:blipFill>
                    <a:blip r:embed="rId28"/>
                    <a:stretch>
                      <a:fillRect/>
                    </a:stretch>
                  </pic:blipFill>
                  <pic:spPr>
                    <a:xfrm>
                      <a:off x="0" y="0"/>
                      <a:ext cx="5486400" cy="2880360"/>
                    </a:xfrm>
                    <a:prstGeom prst="rect"/>
                  </pic:spPr>
                </pic:pic>
              </a:graphicData>
            </a:graphic>
          </wp:inline>
        </w:drawing>
      </w:r>
    </w:p>
    <w:p>
      <w:pPr>
        <w:spacing w:after="240"/>
        <w:jc w:val="center"/>
      </w:pPr>
      <w:r>
        <w:rPr>
          <w:i/>
          <w:color w:val="555555"/>
          <w:sz w:val="18"/>
        </w:rPr>
        <w:t>Fig. 20 -- Cancellation Rate by Category</w:t>
      </w:r>
    </w:p>
    <w:p>
      <w:r>
        <w:br w:type="page"/>
      </w:r>
    </w:p>
    <w:p>
      <w:pPr>
        <w:pStyle w:val="Heading1"/>
      </w:pPr>
      <w:r>
        <w:rPr>
          <w:color w:val="1F4E79"/>
          <w:sz w:val="32"/>
        </w:rPr>
        <w:t>22. Product Analytics Module</w:t>
      </w:r>
    </w:p>
    <w:p>
      <w:pPr>
        <w:spacing w:after="160"/>
      </w:pPr>
      <w:r>
        <w:rPr>
          <w:b w:val="0"/>
          <w:i w:val="0"/>
          <w:sz w:val="22"/>
        </w:rPr>
        <w:t>Top 15 and bottom 15 products by revenue, category performance summary table, category x size quantity heatmap, and top 30 SKUs interactive table.</w:t>
      </w:r>
    </w:p>
    <w:p>
      <w:pPr>
        <w:jc w:val="center"/>
      </w:pPr>
      <w:r>
        <w:drawing>
          <wp:inline xmlns:a="http://schemas.openxmlformats.org/drawingml/2006/main" xmlns:pic="http://schemas.openxmlformats.org/drawingml/2006/picture">
            <wp:extent cx="5486400" cy="3566160"/>
            <wp:docPr id="21" name="Picture 21"/>
            <wp:cNvGraphicFramePr>
              <a:graphicFrameLocks noChangeAspect="1"/>
            </wp:cNvGraphicFramePr>
            <a:graphic>
              <a:graphicData uri="http://schemas.openxmlformats.org/drawingml/2006/picture">
                <pic:pic>
                  <pic:nvPicPr>
                    <pic:cNvPr id="0" name="20_top15_products.png"/>
                    <pic:cNvPicPr/>
                  </pic:nvPicPr>
                  <pic:blipFill>
                    <a:blip r:embed="rId29"/>
                    <a:stretch>
                      <a:fillRect/>
                    </a:stretch>
                  </pic:blipFill>
                  <pic:spPr>
                    <a:xfrm>
                      <a:off x="0" y="0"/>
                      <a:ext cx="5486400" cy="3566160"/>
                    </a:xfrm>
                    <a:prstGeom prst="rect"/>
                  </pic:spPr>
                </pic:pic>
              </a:graphicData>
            </a:graphic>
          </wp:inline>
        </w:drawing>
      </w:r>
    </w:p>
    <w:p>
      <w:pPr>
        <w:spacing w:after="240"/>
        <w:jc w:val="center"/>
      </w:pPr>
      <w:r>
        <w:rPr>
          <w:i/>
          <w:color w:val="555555"/>
          <w:sz w:val="18"/>
        </w:rPr>
        <w:t>Fig. 21 -- Top 15 Products by Revenue</w:t>
      </w:r>
    </w:p>
    <w:p>
      <w:pPr>
        <w:jc w:val="center"/>
      </w:pPr>
      <w:r>
        <w:drawing>
          <wp:inline xmlns:a="http://schemas.openxmlformats.org/drawingml/2006/main" xmlns:pic="http://schemas.openxmlformats.org/drawingml/2006/picture">
            <wp:extent cx="5486400" cy="3017520"/>
            <wp:docPr id="22" name="Picture 22"/>
            <wp:cNvGraphicFramePr>
              <a:graphicFrameLocks noChangeAspect="1"/>
            </wp:cNvGraphicFramePr>
            <a:graphic>
              <a:graphicData uri="http://schemas.openxmlformats.org/drawingml/2006/picture">
                <pic:pic>
                  <pic:nvPicPr>
                    <pic:cNvPr id="0" name="21_category_size_heatmap.png"/>
                    <pic:cNvPicPr/>
                  </pic:nvPicPr>
                  <pic:blipFill>
                    <a:blip r:embed="rId30"/>
                    <a:stretch>
                      <a:fillRect/>
                    </a:stretch>
                  </pic:blipFill>
                  <pic:spPr>
                    <a:xfrm>
                      <a:off x="0" y="0"/>
                      <a:ext cx="5486400" cy="3017520"/>
                    </a:xfrm>
                    <a:prstGeom prst="rect"/>
                  </pic:spPr>
                </pic:pic>
              </a:graphicData>
            </a:graphic>
          </wp:inline>
        </w:drawing>
      </w:r>
    </w:p>
    <w:p>
      <w:pPr>
        <w:spacing w:after="240"/>
        <w:jc w:val="center"/>
      </w:pPr>
      <w:r>
        <w:rPr>
          <w:i/>
          <w:color w:val="555555"/>
          <w:sz w:val="18"/>
        </w:rPr>
        <w:t>Fig. 22 -- Category x Size Quantity Heatmap</w:t>
      </w:r>
    </w:p>
    <w:p>
      <w:pPr>
        <w:pStyle w:val="Heading1"/>
      </w:pPr>
      <w:r>
        <w:rPr>
          <w:color w:val="1F4E79"/>
          <w:sz w:val="32"/>
        </w:rPr>
        <w:t>23. AI Demand Forecasting Module</w:t>
      </w:r>
    </w:p>
    <w:p>
      <w:pPr>
        <w:spacing w:after="160"/>
      </w:pPr>
      <w:r>
        <w:rPr>
          <w:b w:val="0"/>
          <w:i w:val="0"/>
          <w:sz w:val="22"/>
        </w:rPr>
        <w:t>The forecasting module allows users to select a product category, model (Random Forest or Gradient Boosting), and forecast horizon (7, 14, or 30 days). Outputs include MAE, RMSE, and R2 metrics; an Actual vs Predicted line chart; a Historical + Future Forecast combined chart; a forecasted-quantities table; and a feature importance bar chart.</w:t>
      </w:r>
    </w:p>
    <w:p>
      <w:pPr>
        <w:jc w:val="center"/>
      </w:pPr>
      <w:r>
        <w:drawing>
          <wp:inline xmlns:a="http://schemas.openxmlformats.org/drawingml/2006/main" xmlns:pic="http://schemas.openxmlformats.org/drawingml/2006/picture">
            <wp:extent cx="5486400" cy="2682240"/>
            <wp:docPr id="23" name="Picture 23"/>
            <wp:cNvGraphicFramePr>
              <a:graphicFrameLocks noChangeAspect="1"/>
            </wp:cNvGraphicFramePr>
            <a:graphic>
              <a:graphicData uri="http://schemas.openxmlformats.org/drawingml/2006/picture">
                <pic:pic>
                  <pic:nvPicPr>
                    <pic:cNvPr id="0" name="22_actual_vs_predicted.png"/>
                    <pic:cNvPicPr/>
                  </pic:nvPicPr>
                  <pic:blipFill>
                    <a:blip r:embed="rId31"/>
                    <a:stretch>
                      <a:fillRect/>
                    </a:stretch>
                  </pic:blipFill>
                  <pic:spPr>
                    <a:xfrm>
                      <a:off x="0" y="0"/>
                      <a:ext cx="5486400" cy="2682240"/>
                    </a:xfrm>
                    <a:prstGeom prst="rect"/>
                  </pic:spPr>
                </pic:pic>
              </a:graphicData>
            </a:graphic>
          </wp:inline>
        </w:drawing>
      </w:r>
    </w:p>
    <w:p>
      <w:pPr>
        <w:spacing w:after="240"/>
        <w:jc w:val="center"/>
      </w:pPr>
      <w:r>
        <w:rPr>
          <w:i/>
          <w:color w:val="555555"/>
          <w:sz w:val="18"/>
        </w:rPr>
        <w:t>Fig. 23 -- Actual vs Predicted (Test Set)</w:t>
      </w:r>
    </w:p>
    <w:p>
      <w:pPr>
        <w:jc w:val="center"/>
      </w:pPr>
      <w:r>
        <w:drawing>
          <wp:inline xmlns:a="http://schemas.openxmlformats.org/drawingml/2006/main" xmlns:pic="http://schemas.openxmlformats.org/drawingml/2006/picture">
            <wp:extent cx="5486400" cy="2523744"/>
            <wp:docPr id="24" name="Picture 24"/>
            <wp:cNvGraphicFramePr>
              <a:graphicFrameLocks noChangeAspect="1"/>
            </wp:cNvGraphicFramePr>
            <a:graphic>
              <a:graphicData uri="http://schemas.openxmlformats.org/drawingml/2006/picture">
                <pic:pic>
                  <pic:nvPicPr>
                    <pic:cNvPr id="0" name="23_future_forecast.png"/>
                    <pic:cNvPicPr/>
                  </pic:nvPicPr>
                  <pic:blipFill>
                    <a:blip r:embed="rId32"/>
                    <a:stretch>
                      <a:fillRect/>
                    </a:stretch>
                  </pic:blipFill>
                  <pic:spPr>
                    <a:xfrm>
                      <a:off x="0" y="0"/>
                      <a:ext cx="5486400" cy="2523744"/>
                    </a:xfrm>
                    <a:prstGeom prst="rect"/>
                  </pic:spPr>
                </pic:pic>
              </a:graphicData>
            </a:graphic>
          </wp:inline>
        </w:drawing>
      </w:r>
    </w:p>
    <w:p>
      <w:pPr>
        <w:spacing w:after="240"/>
        <w:jc w:val="center"/>
      </w:pPr>
      <w:r>
        <w:rPr>
          <w:i/>
          <w:color w:val="555555"/>
          <w:sz w:val="18"/>
        </w:rPr>
        <w:t>Fig. 24 -- Historical + Future Demand Forecast</w:t>
      </w:r>
    </w:p>
    <w:p>
      <w:pPr>
        <w:jc w:val="center"/>
      </w:pPr>
      <w:r>
        <w:drawing>
          <wp:inline xmlns:a="http://schemas.openxmlformats.org/drawingml/2006/main" xmlns:pic="http://schemas.openxmlformats.org/drawingml/2006/picture">
            <wp:extent cx="5486400" cy="3753853"/>
            <wp:docPr id="25" name="Picture 25"/>
            <wp:cNvGraphicFramePr>
              <a:graphicFrameLocks noChangeAspect="1"/>
            </wp:cNvGraphicFramePr>
            <a:graphic>
              <a:graphicData uri="http://schemas.openxmlformats.org/drawingml/2006/picture">
                <pic:pic>
                  <pic:nvPicPr>
                    <pic:cNvPr id="0" name="24_feature_importance.png"/>
                    <pic:cNvPicPr/>
                  </pic:nvPicPr>
                  <pic:blipFill>
                    <a:blip r:embed="rId33"/>
                    <a:stretch>
                      <a:fillRect/>
                    </a:stretch>
                  </pic:blipFill>
                  <pic:spPr>
                    <a:xfrm>
                      <a:off x="0" y="0"/>
                      <a:ext cx="5486400" cy="3753853"/>
                    </a:xfrm>
                    <a:prstGeom prst="rect"/>
                  </pic:spPr>
                </pic:pic>
              </a:graphicData>
            </a:graphic>
          </wp:inline>
        </w:drawing>
      </w:r>
    </w:p>
    <w:p>
      <w:pPr>
        <w:spacing w:after="240"/>
        <w:jc w:val="center"/>
      </w:pPr>
      <w:r>
        <w:rPr>
          <w:i/>
          <w:color w:val="555555"/>
          <w:sz w:val="18"/>
        </w:rPr>
        <w:t>Fig. 25 -- Feature Importance Chart</w:t>
      </w:r>
    </w:p>
    <w:p>
      <w:r>
        <w:br w:type="page"/>
      </w:r>
    </w:p>
    <w:p>
      <w:pPr>
        <w:pStyle w:val="Heading1"/>
      </w:pPr>
      <w:r>
        <w:rPr>
          <w:color w:val="1F4E79"/>
          <w:sz w:val="32"/>
        </w:rPr>
        <w:t>24. Machine Learning Methodology</w:t>
      </w:r>
    </w:p>
    <w:p>
      <w:pPr>
        <w:pStyle w:val="Heading2"/>
      </w:pPr>
      <w:r>
        <w:rPr>
          <w:color w:val="2E74B5"/>
          <w:sz w:val="26"/>
        </w:rPr>
        <w:t>24.1 Problem Formulation</w:t>
      </w:r>
    </w:p>
    <w:p>
      <w:pPr>
        <w:spacing w:after="160"/>
      </w:pPr>
      <w:r>
        <w:rPr>
          <w:b w:val="0"/>
          <w:i w:val="0"/>
          <w:sz w:val="22"/>
        </w:rPr>
        <w:t>The forecasting problem is formulated as a supervised regression task on a daily time-series. The target variable is the total quantity of items sold on each day.</w:t>
      </w:r>
    </w:p>
    <w:p>
      <w:pPr>
        <w:pStyle w:val="Heading2"/>
      </w:pPr>
      <w:r>
        <w:rPr>
          <w:color w:val="2E74B5"/>
          <w:sz w:val="26"/>
        </w:rPr>
        <w:t>24.2 Features Used for Forecasting</w:t>
      </w:r>
    </w:p>
    <w:tbl>
      <w:tblPr>
        <w:tblStyle w:val="TableGrid"/>
        <w:tblW w:type="auto" w:w="0"/>
        <w:tblLook w:firstColumn="1" w:firstRow="1" w:lastColumn="0" w:lastRow="0" w:noHBand="0" w:noVBand="1" w:val="04A0"/>
      </w:tblPr>
      <w:tblGrid>
        <w:gridCol w:w="3041"/>
        <w:gridCol w:w="3041"/>
        <w:gridCol w:w="3041"/>
      </w:tblGrid>
      <w:tr>
        <w:tc>
          <w:tcPr>
            <w:tcW w:type="dxa" w:w="2592"/>
            <w:shd w:fill="1F4E79" w:color="FFFFFF" w:val="clear"/>
          </w:tcPr>
          <w:p>
            <w:r>
              <w:rPr>
                <w:b/>
                <w:color w:val="FFFFFF"/>
                <w:sz w:val="20"/>
              </w:rPr>
              <w:t>Feature</w:t>
            </w:r>
          </w:p>
        </w:tc>
        <w:tc>
          <w:tcPr>
            <w:tcW w:type="dxa" w:w="1872"/>
            <w:shd w:fill="1F4E79" w:color="FFFFFF" w:val="clear"/>
          </w:tcPr>
          <w:p>
            <w:r>
              <w:rPr>
                <w:b/>
                <w:color w:val="FFFFFF"/>
                <w:sz w:val="20"/>
              </w:rPr>
              <w:t>Type</w:t>
            </w:r>
          </w:p>
        </w:tc>
        <w:tc>
          <w:tcPr>
            <w:tcW w:type="dxa" w:w="4176"/>
            <w:shd w:fill="1F4E79" w:color="FFFFFF" w:val="clear"/>
          </w:tcPr>
          <w:p>
            <w:r>
              <w:rPr>
                <w:b/>
                <w:color w:val="FFFFFF"/>
                <w:sz w:val="20"/>
              </w:rPr>
              <w:t>Description</w:t>
            </w:r>
          </w:p>
        </w:tc>
      </w:tr>
      <w:tr>
        <w:tc>
          <w:tcPr>
            <w:tcW w:type="dxa" w:w="2592"/>
            <w:shd w:fill="EBF3FB" w:val="clear"/>
          </w:tcPr>
          <w:p>
            <w:r>
              <w:rPr>
                <w:sz w:val="20"/>
              </w:rPr>
              <w:t>day_of_week</w:t>
            </w:r>
          </w:p>
        </w:tc>
        <w:tc>
          <w:tcPr>
            <w:tcW w:type="dxa" w:w="1872"/>
            <w:shd w:fill="EBF3FB" w:val="clear"/>
          </w:tcPr>
          <w:p>
            <w:r>
              <w:rPr>
                <w:sz w:val="20"/>
              </w:rPr>
              <w:t>Calendar</w:t>
            </w:r>
          </w:p>
        </w:tc>
        <w:tc>
          <w:tcPr>
            <w:tcW w:type="dxa" w:w="4176"/>
            <w:shd w:fill="EBF3FB" w:val="clear"/>
          </w:tcPr>
          <w:p>
            <w:r>
              <w:rPr>
                <w:sz w:val="20"/>
              </w:rPr>
              <w:t>0=Monday ... 6=Sunday</w:t>
            </w:r>
          </w:p>
        </w:tc>
      </w:tr>
      <w:tr>
        <w:tc>
          <w:tcPr>
            <w:tcW w:type="dxa" w:w="2592"/>
          </w:tcPr>
          <w:p>
            <w:r>
              <w:rPr>
                <w:sz w:val="20"/>
              </w:rPr>
              <w:t>day_of_month</w:t>
            </w:r>
          </w:p>
        </w:tc>
        <w:tc>
          <w:tcPr>
            <w:tcW w:type="dxa" w:w="1872"/>
          </w:tcPr>
          <w:p>
            <w:r>
              <w:rPr>
                <w:sz w:val="20"/>
              </w:rPr>
              <w:t>Calendar</w:t>
            </w:r>
          </w:p>
        </w:tc>
        <w:tc>
          <w:tcPr>
            <w:tcW w:type="dxa" w:w="4176"/>
          </w:tcPr>
          <w:p>
            <w:r>
              <w:rPr>
                <w:sz w:val="20"/>
              </w:rPr>
              <w:t>Day number within the month (1-31)</w:t>
            </w:r>
          </w:p>
        </w:tc>
      </w:tr>
      <w:tr>
        <w:tc>
          <w:tcPr>
            <w:tcW w:type="dxa" w:w="2592"/>
            <w:shd w:fill="EBF3FB" w:val="clear"/>
          </w:tcPr>
          <w:p>
            <w:r>
              <w:rPr>
                <w:sz w:val="20"/>
              </w:rPr>
              <w:t>week_of_year</w:t>
            </w:r>
          </w:p>
        </w:tc>
        <w:tc>
          <w:tcPr>
            <w:tcW w:type="dxa" w:w="1872"/>
            <w:shd w:fill="EBF3FB" w:val="clear"/>
          </w:tcPr>
          <w:p>
            <w:r>
              <w:rPr>
                <w:sz w:val="20"/>
              </w:rPr>
              <w:t>Calendar</w:t>
            </w:r>
          </w:p>
        </w:tc>
        <w:tc>
          <w:tcPr>
            <w:tcW w:type="dxa" w:w="4176"/>
            <w:shd w:fill="EBF3FB" w:val="clear"/>
          </w:tcPr>
          <w:p>
            <w:r>
              <w:rPr>
                <w:sz w:val="20"/>
              </w:rPr>
              <w:t>ISO calendar week number</w:t>
            </w:r>
          </w:p>
        </w:tc>
      </w:tr>
      <w:tr>
        <w:tc>
          <w:tcPr>
            <w:tcW w:type="dxa" w:w="2592"/>
          </w:tcPr>
          <w:p>
            <w:r>
              <w:rPr>
                <w:sz w:val="20"/>
              </w:rPr>
              <w:t>month</w:t>
            </w:r>
          </w:p>
        </w:tc>
        <w:tc>
          <w:tcPr>
            <w:tcW w:type="dxa" w:w="1872"/>
          </w:tcPr>
          <w:p>
            <w:r>
              <w:rPr>
                <w:sz w:val="20"/>
              </w:rPr>
              <w:t>Calendar</w:t>
            </w:r>
          </w:p>
        </w:tc>
        <w:tc>
          <w:tcPr>
            <w:tcW w:type="dxa" w:w="4176"/>
          </w:tcPr>
          <w:p>
            <w:r>
              <w:rPr>
                <w:sz w:val="20"/>
              </w:rPr>
              <w:t>Month number (3=March, 4=April, ...)</w:t>
            </w:r>
          </w:p>
        </w:tc>
      </w:tr>
      <w:tr>
        <w:tc>
          <w:tcPr>
            <w:tcW w:type="dxa" w:w="2592"/>
            <w:shd w:fill="EBF3FB" w:val="clear"/>
          </w:tcPr>
          <w:p>
            <w:r>
              <w:rPr>
                <w:sz w:val="20"/>
              </w:rPr>
              <w:t>is_weekend</w:t>
            </w:r>
          </w:p>
        </w:tc>
        <w:tc>
          <w:tcPr>
            <w:tcW w:type="dxa" w:w="1872"/>
            <w:shd w:fill="EBF3FB" w:val="clear"/>
          </w:tcPr>
          <w:p>
            <w:r>
              <w:rPr>
                <w:sz w:val="20"/>
              </w:rPr>
              <w:t>Calendar</w:t>
            </w:r>
          </w:p>
        </w:tc>
        <w:tc>
          <w:tcPr>
            <w:tcW w:type="dxa" w:w="4176"/>
            <w:shd w:fill="EBF3FB" w:val="clear"/>
          </w:tcPr>
          <w:p>
            <w:r>
              <w:rPr>
                <w:sz w:val="20"/>
              </w:rPr>
              <w:t>1 if Saturday or Sunday, else 0</w:t>
            </w:r>
          </w:p>
        </w:tc>
      </w:tr>
      <w:tr>
        <w:tc>
          <w:tcPr>
            <w:tcW w:type="dxa" w:w="2592"/>
          </w:tcPr>
          <w:p>
            <w:r>
              <w:rPr>
                <w:sz w:val="20"/>
              </w:rPr>
              <w:t>lag_1</w:t>
            </w:r>
          </w:p>
        </w:tc>
        <w:tc>
          <w:tcPr>
            <w:tcW w:type="dxa" w:w="1872"/>
          </w:tcPr>
          <w:p>
            <w:r>
              <w:rPr>
                <w:sz w:val="20"/>
              </w:rPr>
              <w:t>Lag</w:t>
            </w:r>
          </w:p>
        </w:tc>
        <w:tc>
          <w:tcPr>
            <w:tcW w:type="dxa" w:w="4176"/>
          </w:tcPr>
          <w:p>
            <w:r>
              <w:rPr>
                <w:sz w:val="20"/>
              </w:rPr>
              <w:t>Qty sold 1 day ago</w:t>
            </w:r>
          </w:p>
        </w:tc>
      </w:tr>
      <w:tr>
        <w:tc>
          <w:tcPr>
            <w:tcW w:type="dxa" w:w="2592"/>
            <w:shd w:fill="EBF3FB" w:val="clear"/>
          </w:tcPr>
          <w:p>
            <w:r>
              <w:rPr>
                <w:sz w:val="20"/>
              </w:rPr>
              <w:t>lag_3</w:t>
            </w:r>
          </w:p>
        </w:tc>
        <w:tc>
          <w:tcPr>
            <w:tcW w:type="dxa" w:w="1872"/>
            <w:shd w:fill="EBF3FB" w:val="clear"/>
          </w:tcPr>
          <w:p>
            <w:r>
              <w:rPr>
                <w:sz w:val="20"/>
              </w:rPr>
              <w:t>Lag</w:t>
            </w:r>
          </w:p>
        </w:tc>
        <w:tc>
          <w:tcPr>
            <w:tcW w:type="dxa" w:w="4176"/>
            <w:shd w:fill="EBF3FB" w:val="clear"/>
          </w:tcPr>
          <w:p>
            <w:r>
              <w:rPr>
                <w:sz w:val="20"/>
              </w:rPr>
              <w:t>Qty sold 3 days ago</w:t>
            </w:r>
          </w:p>
        </w:tc>
      </w:tr>
      <w:tr>
        <w:tc>
          <w:tcPr>
            <w:tcW w:type="dxa" w:w="2592"/>
          </w:tcPr>
          <w:p>
            <w:r>
              <w:rPr>
                <w:sz w:val="20"/>
              </w:rPr>
              <w:t>lag_7</w:t>
            </w:r>
          </w:p>
        </w:tc>
        <w:tc>
          <w:tcPr>
            <w:tcW w:type="dxa" w:w="1872"/>
          </w:tcPr>
          <w:p>
            <w:r>
              <w:rPr>
                <w:sz w:val="20"/>
              </w:rPr>
              <w:t>Lag</w:t>
            </w:r>
          </w:p>
        </w:tc>
        <w:tc>
          <w:tcPr>
            <w:tcW w:type="dxa" w:w="4176"/>
          </w:tcPr>
          <w:p>
            <w:r>
              <w:rPr>
                <w:sz w:val="20"/>
              </w:rPr>
              <w:t>Qty sold 7 days ago</w:t>
            </w:r>
          </w:p>
        </w:tc>
      </w:tr>
      <w:tr>
        <w:tc>
          <w:tcPr>
            <w:tcW w:type="dxa" w:w="2592"/>
            <w:shd w:fill="EBF3FB" w:val="clear"/>
          </w:tcPr>
          <w:p>
            <w:r>
              <w:rPr>
                <w:sz w:val="20"/>
              </w:rPr>
              <w:t>lag_14</w:t>
            </w:r>
          </w:p>
        </w:tc>
        <w:tc>
          <w:tcPr>
            <w:tcW w:type="dxa" w:w="1872"/>
            <w:shd w:fill="EBF3FB" w:val="clear"/>
          </w:tcPr>
          <w:p>
            <w:r>
              <w:rPr>
                <w:sz w:val="20"/>
              </w:rPr>
              <w:t>Lag</w:t>
            </w:r>
          </w:p>
        </w:tc>
        <w:tc>
          <w:tcPr>
            <w:tcW w:type="dxa" w:w="4176"/>
            <w:shd w:fill="EBF3FB" w:val="clear"/>
          </w:tcPr>
          <w:p>
            <w:r>
              <w:rPr>
                <w:sz w:val="20"/>
              </w:rPr>
              <w:t>Qty sold 14 days ago</w:t>
            </w:r>
          </w:p>
        </w:tc>
      </w:tr>
      <w:tr>
        <w:tc>
          <w:tcPr>
            <w:tcW w:type="dxa" w:w="2592"/>
          </w:tcPr>
          <w:p>
            <w:r>
              <w:rPr>
                <w:sz w:val="20"/>
              </w:rPr>
              <w:t>rolling_mean_3</w:t>
            </w:r>
          </w:p>
        </w:tc>
        <w:tc>
          <w:tcPr>
            <w:tcW w:type="dxa" w:w="1872"/>
          </w:tcPr>
          <w:p>
            <w:r>
              <w:rPr>
                <w:sz w:val="20"/>
              </w:rPr>
              <w:t>Rolling stat</w:t>
            </w:r>
          </w:p>
        </w:tc>
        <w:tc>
          <w:tcPr>
            <w:tcW w:type="dxa" w:w="4176"/>
          </w:tcPr>
          <w:p>
            <w:r>
              <w:rPr>
                <w:sz w:val="20"/>
              </w:rPr>
              <w:t>3-day rolling mean (shifted by 1)</w:t>
            </w:r>
          </w:p>
        </w:tc>
      </w:tr>
      <w:tr>
        <w:tc>
          <w:tcPr>
            <w:tcW w:type="dxa" w:w="2592"/>
            <w:shd w:fill="EBF3FB" w:val="clear"/>
          </w:tcPr>
          <w:p>
            <w:r>
              <w:rPr>
                <w:sz w:val="20"/>
              </w:rPr>
              <w:t>rolling_mean_7</w:t>
            </w:r>
          </w:p>
        </w:tc>
        <w:tc>
          <w:tcPr>
            <w:tcW w:type="dxa" w:w="1872"/>
            <w:shd w:fill="EBF3FB" w:val="clear"/>
          </w:tcPr>
          <w:p>
            <w:r>
              <w:rPr>
                <w:sz w:val="20"/>
              </w:rPr>
              <w:t>Rolling stat</w:t>
            </w:r>
          </w:p>
        </w:tc>
        <w:tc>
          <w:tcPr>
            <w:tcW w:type="dxa" w:w="4176"/>
            <w:shd w:fill="EBF3FB" w:val="clear"/>
          </w:tcPr>
          <w:p>
            <w:r>
              <w:rPr>
                <w:sz w:val="20"/>
              </w:rPr>
              <w:t>7-day rolling mean (shifted by 1)</w:t>
            </w:r>
          </w:p>
        </w:tc>
      </w:tr>
      <w:tr>
        <w:tc>
          <w:tcPr>
            <w:tcW w:type="dxa" w:w="2592"/>
          </w:tcPr>
          <w:p>
            <w:r>
              <w:rPr>
                <w:sz w:val="20"/>
              </w:rPr>
              <w:t>rolling_mean_14</w:t>
            </w:r>
          </w:p>
        </w:tc>
        <w:tc>
          <w:tcPr>
            <w:tcW w:type="dxa" w:w="1872"/>
          </w:tcPr>
          <w:p>
            <w:r>
              <w:rPr>
                <w:sz w:val="20"/>
              </w:rPr>
              <w:t>Rolling stat</w:t>
            </w:r>
          </w:p>
        </w:tc>
        <w:tc>
          <w:tcPr>
            <w:tcW w:type="dxa" w:w="4176"/>
          </w:tcPr>
          <w:p>
            <w:r>
              <w:rPr>
                <w:sz w:val="20"/>
              </w:rPr>
              <w:t>14-day rolling mean (shifted by 1)</w:t>
            </w:r>
          </w:p>
        </w:tc>
      </w:tr>
      <w:tr>
        <w:tc>
          <w:tcPr>
            <w:tcW w:type="dxa" w:w="2592"/>
            <w:shd w:fill="EBF3FB" w:val="clear"/>
          </w:tcPr>
          <w:p>
            <w:r>
              <w:rPr>
                <w:sz w:val="20"/>
              </w:rPr>
              <w:t>rolling_std_3</w:t>
            </w:r>
          </w:p>
        </w:tc>
        <w:tc>
          <w:tcPr>
            <w:tcW w:type="dxa" w:w="1872"/>
            <w:shd w:fill="EBF3FB" w:val="clear"/>
          </w:tcPr>
          <w:p>
            <w:r>
              <w:rPr>
                <w:sz w:val="20"/>
              </w:rPr>
              <w:t>Rolling stat</w:t>
            </w:r>
          </w:p>
        </w:tc>
        <w:tc>
          <w:tcPr>
            <w:tcW w:type="dxa" w:w="4176"/>
            <w:shd w:fill="EBF3FB" w:val="clear"/>
          </w:tcPr>
          <w:p>
            <w:r>
              <w:rPr>
                <w:sz w:val="20"/>
              </w:rPr>
              <w:t>3-day rolling std (shifted by 1)</w:t>
            </w:r>
          </w:p>
        </w:tc>
      </w:tr>
      <w:tr>
        <w:tc>
          <w:tcPr>
            <w:tcW w:type="dxa" w:w="2592"/>
          </w:tcPr>
          <w:p>
            <w:r>
              <w:rPr>
                <w:sz w:val="20"/>
              </w:rPr>
              <w:t>rolling_std_7</w:t>
            </w:r>
          </w:p>
        </w:tc>
        <w:tc>
          <w:tcPr>
            <w:tcW w:type="dxa" w:w="1872"/>
          </w:tcPr>
          <w:p>
            <w:r>
              <w:rPr>
                <w:sz w:val="20"/>
              </w:rPr>
              <w:t>Rolling stat</w:t>
            </w:r>
          </w:p>
        </w:tc>
        <w:tc>
          <w:tcPr>
            <w:tcW w:type="dxa" w:w="4176"/>
          </w:tcPr>
          <w:p>
            <w:r>
              <w:rPr>
                <w:sz w:val="20"/>
              </w:rPr>
              <w:t>7-day rolling std (shifted by 1)</w:t>
            </w:r>
          </w:p>
        </w:tc>
      </w:tr>
      <w:tr>
        <w:tc>
          <w:tcPr>
            <w:tcW w:type="dxa" w:w="2592"/>
            <w:shd w:fill="EBF3FB" w:val="clear"/>
          </w:tcPr>
          <w:p>
            <w:r>
              <w:rPr>
                <w:sz w:val="20"/>
              </w:rPr>
              <w:t>rolling_std_14</w:t>
            </w:r>
          </w:p>
        </w:tc>
        <w:tc>
          <w:tcPr>
            <w:tcW w:type="dxa" w:w="1872"/>
            <w:shd w:fill="EBF3FB" w:val="clear"/>
          </w:tcPr>
          <w:p>
            <w:r>
              <w:rPr>
                <w:sz w:val="20"/>
              </w:rPr>
              <w:t>Rolling stat</w:t>
            </w:r>
          </w:p>
        </w:tc>
        <w:tc>
          <w:tcPr>
            <w:tcW w:type="dxa" w:w="4176"/>
            <w:shd w:fill="EBF3FB" w:val="clear"/>
          </w:tcPr>
          <w:p>
            <w:r>
              <w:rPr>
                <w:sz w:val="20"/>
              </w:rPr>
              <w:t>14-day rolling std (shifted by 1)</w:t>
            </w:r>
          </w:p>
        </w:tc>
      </w:tr>
    </w:tbl>
    <w:p/>
    <w:p>
      <w:pPr>
        <w:pStyle w:val="Heading2"/>
      </w:pPr>
      <w:r>
        <w:rPr>
          <w:color w:val="2E74B5"/>
          <w:sz w:val="26"/>
        </w:rPr>
        <w:t>24.3 Train/Test Methodology</w:t>
      </w:r>
    </w:p>
    <w:p>
      <w:pPr>
        <w:spacing w:after="160"/>
      </w:pPr>
      <w:r>
        <w:rPr>
          <w:b w:val="0"/>
          <w:i w:val="0"/>
          <w:sz w:val="22"/>
        </w:rPr>
        <w:t>Temporal 80/20 split (no shuffling, no cross-validation). Train set: first 61 days. Test set: last 16 days. No data leakage -- all lag/rolling features use shift(1). Future forecasting uses iterative (auto-regressive) prediction.</w:t>
      </w:r>
    </w:p>
    <w:p>
      <w:pPr>
        <w:pStyle w:val="Heading1"/>
      </w:pPr>
      <w:r>
        <w:rPr>
          <w:color w:val="1F4E79"/>
          <w:sz w:val="32"/>
        </w:rPr>
        <w:t>25. Actual Model Results</w:t>
      </w:r>
    </w:p>
    <w:p>
      <w:pPr>
        <w:spacing w:after="160"/>
      </w:pPr>
      <w:r>
        <w:rPr>
          <w:b w:val="0"/>
          <w:i w:val="0"/>
          <w:sz w:val="22"/>
        </w:rPr>
        <w:t>All metrics are computed from actual trained models on the actual dataset. No numbers have been invented or approximated.</w:t>
      </w:r>
    </w:p>
    <w:p>
      <w:pPr>
        <w:pStyle w:val="Heading2"/>
      </w:pPr>
      <w:r>
        <w:rPr>
          <w:color w:val="2E74B5"/>
          <w:sz w:val="26"/>
        </w:rPr>
        <w:t>25.1 All Categories (Total Daily Quantity)</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592"/>
            <w:shd w:fill="1F4E79" w:color="FFFFFF" w:val="clear"/>
          </w:tcPr>
          <w:p>
            <w:r>
              <w:rPr>
                <w:b/>
                <w:color w:val="FFFFFF"/>
                <w:sz w:val="20"/>
              </w:rPr>
              <w:t>Model</w:t>
            </w:r>
          </w:p>
        </w:tc>
        <w:tc>
          <w:tcPr>
            <w:tcW w:type="dxa" w:w="1152"/>
            <w:shd w:fill="1F4E79" w:color="FFFFFF" w:val="clear"/>
          </w:tcPr>
          <w:p>
            <w:r>
              <w:rPr>
                <w:b/>
                <w:color w:val="FFFFFF"/>
                <w:sz w:val="20"/>
              </w:rPr>
              <w:t>MAE</w:t>
            </w:r>
          </w:p>
        </w:tc>
        <w:tc>
          <w:tcPr>
            <w:tcW w:type="dxa" w:w="1152"/>
            <w:shd w:fill="1F4E79" w:color="FFFFFF" w:val="clear"/>
          </w:tcPr>
          <w:p>
            <w:r>
              <w:rPr>
                <w:b/>
                <w:color w:val="FFFFFF"/>
                <w:sz w:val="20"/>
              </w:rPr>
              <w:t>RMSE</w:t>
            </w:r>
          </w:p>
        </w:tc>
        <w:tc>
          <w:tcPr>
            <w:tcW w:type="dxa" w:w="1152"/>
            <w:shd w:fill="1F4E79" w:color="FFFFFF" w:val="clear"/>
          </w:tcPr>
          <w:p>
            <w:r>
              <w:rPr>
                <w:b/>
                <w:color w:val="FFFFFF"/>
                <w:sz w:val="20"/>
              </w:rPr>
              <w:t>R2</w:t>
            </w:r>
          </w:p>
        </w:tc>
        <w:tc>
          <w:tcPr>
            <w:tcW w:type="dxa" w:w="1440"/>
            <w:shd w:fill="1F4E79" w:color="FFFFFF" w:val="clear"/>
          </w:tcPr>
          <w:p>
            <w:r>
              <w:rPr>
                <w:b/>
                <w:color w:val="FFFFFF"/>
                <w:sz w:val="20"/>
              </w:rPr>
              <w:t>Train Days</w:t>
            </w:r>
          </w:p>
        </w:tc>
        <w:tc>
          <w:tcPr>
            <w:tcW w:type="dxa" w:w="1440"/>
            <w:shd w:fill="1F4E79" w:color="FFFFFF" w:val="clear"/>
          </w:tcPr>
          <w:p>
            <w:r>
              <w:rPr>
                <w:b/>
                <w:color w:val="FFFFFF"/>
                <w:sz w:val="20"/>
              </w:rPr>
              <w:t>Test Days</w:t>
            </w:r>
          </w:p>
        </w:tc>
      </w:tr>
      <w:tr>
        <w:tc>
          <w:tcPr>
            <w:tcW w:type="dxa" w:w="2592"/>
            <w:shd w:fill="EBF3FB" w:val="clear"/>
          </w:tcPr>
          <w:p>
            <w:r>
              <w:rPr>
                <w:sz w:val="20"/>
              </w:rPr>
              <w:t>Random Forest</w:t>
            </w:r>
          </w:p>
        </w:tc>
        <w:tc>
          <w:tcPr>
            <w:tcW w:type="dxa" w:w="1152"/>
            <w:shd w:fill="EBF3FB" w:val="clear"/>
          </w:tcPr>
          <w:p>
            <w:r>
              <w:rPr>
                <w:sz w:val="20"/>
              </w:rPr>
              <w:t>119.97</w:t>
            </w:r>
          </w:p>
        </w:tc>
        <w:tc>
          <w:tcPr>
            <w:tcW w:type="dxa" w:w="1152"/>
            <w:shd w:fill="EBF3FB" w:val="clear"/>
          </w:tcPr>
          <w:p>
            <w:r>
              <w:rPr>
                <w:sz w:val="20"/>
              </w:rPr>
              <w:t>171.69</w:t>
            </w:r>
          </w:p>
        </w:tc>
        <w:tc>
          <w:tcPr>
            <w:tcW w:type="dxa" w:w="1152"/>
            <w:shd w:fill="EBF3FB" w:val="clear"/>
          </w:tcPr>
          <w:p>
            <w:r>
              <w:rPr>
                <w:sz w:val="20"/>
              </w:rPr>
              <w:t>-0.3927</w:t>
            </w:r>
          </w:p>
        </w:tc>
        <w:tc>
          <w:tcPr>
            <w:tcW w:type="dxa" w:w="1440"/>
            <w:shd w:fill="EBF3FB" w:val="clear"/>
          </w:tcPr>
          <w:p>
            <w:r>
              <w:rPr>
                <w:sz w:val="20"/>
              </w:rPr>
              <w:t>61</w:t>
            </w:r>
          </w:p>
        </w:tc>
        <w:tc>
          <w:tcPr>
            <w:tcW w:type="dxa" w:w="1440"/>
            <w:shd w:fill="EBF3FB" w:val="clear"/>
          </w:tcPr>
          <w:p>
            <w:r>
              <w:rPr>
                <w:sz w:val="20"/>
              </w:rPr>
              <w:t>16</w:t>
            </w:r>
          </w:p>
        </w:tc>
      </w:tr>
      <w:tr>
        <w:tc>
          <w:tcPr>
            <w:tcW w:type="dxa" w:w="2592"/>
          </w:tcPr>
          <w:p>
            <w:r>
              <w:rPr>
                <w:sz w:val="20"/>
              </w:rPr>
              <w:t>Gradient Boosting</w:t>
            </w:r>
          </w:p>
        </w:tc>
        <w:tc>
          <w:tcPr>
            <w:tcW w:type="dxa" w:w="1152"/>
          </w:tcPr>
          <w:p>
            <w:r>
              <w:rPr>
                <w:sz w:val="20"/>
              </w:rPr>
              <w:t>110.64</w:t>
            </w:r>
          </w:p>
        </w:tc>
        <w:tc>
          <w:tcPr>
            <w:tcW w:type="dxa" w:w="1152"/>
          </w:tcPr>
          <w:p>
            <w:r>
              <w:rPr>
                <w:sz w:val="20"/>
              </w:rPr>
              <w:t>166.77</w:t>
            </w:r>
          </w:p>
        </w:tc>
        <w:tc>
          <w:tcPr>
            <w:tcW w:type="dxa" w:w="1152"/>
          </w:tcPr>
          <w:p>
            <w:r>
              <w:rPr>
                <w:sz w:val="20"/>
              </w:rPr>
              <w:t>-0.3140</w:t>
            </w:r>
          </w:p>
        </w:tc>
        <w:tc>
          <w:tcPr>
            <w:tcW w:type="dxa" w:w="1440"/>
          </w:tcPr>
          <w:p>
            <w:r>
              <w:rPr>
                <w:sz w:val="20"/>
              </w:rPr>
              <w:t>61</w:t>
            </w:r>
          </w:p>
        </w:tc>
        <w:tc>
          <w:tcPr>
            <w:tcW w:type="dxa" w:w="1440"/>
          </w:tcPr>
          <w:p>
            <w:r>
              <w:rPr>
                <w:sz w:val="20"/>
              </w:rPr>
              <w:t>16</w:t>
            </w:r>
          </w:p>
        </w:tc>
      </w:tr>
    </w:tbl>
    <w:p/>
    <w:p>
      <w:pPr>
        <w:pStyle w:val="Heading2"/>
      </w:pPr>
      <w:r>
        <w:rPr>
          <w:color w:val="2E74B5"/>
          <w:sz w:val="26"/>
        </w:rPr>
        <w:t>25.2 Set Category</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592"/>
            <w:shd w:fill="1F4E79" w:color="FFFFFF" w:val="clear"/>
          </w:tcPr>
          <w:p>
            <w:r>
              <w:rPr>
                <w:b/>
                <w:color w:val="FFFFFF"/>
                <w:sz w:val="20"/>
              </w:rPr>
              <w:t>Model</w:t>
            </w:r>
          </w:p>
        </w:tc>
        <w:tc>
          <w:tcPr>
            <w:tcW w:type="dxa" w:w="1152"/>
            <w:shd w:fill="1F4E79" w:color="FFFFFF" w:val="clear"/>
          </w:tcPr>
          <w:p>
            <w:r>
              <w:rPr>
                <w:b/>
                <w:color w:val="FFFFFF"/>
                <w:sz w:val="20"/>
              </w:rPr>
              <w:t>MAE</w:t>
            </w:r>
          </w:p>
        </w:tc>
        <w:tc>
          <w:tcPr>
            <w:tcW w:type="dxa" w:w="1152"/>
            <w:shd w:fill="1F4E79" w:color="FFFFFF" w:val="clear"/>
          </w:tcPr>
          <w:p>
            <w:r>
              <w:rPr>
                <w:b/>
                <w:color w:val="FFFFFF"/>
                <w:sz w:val="20"/>
              </w:rPr>
              <w:t>RMSE</w:t>
            </w:r>
          </w:p>
        </w:tc>
        <w:tc>
          <w:tcPr>
            <w:tcW w:type="dxa" w:w="1152"/>
            <w:shd w:fill="1F4E79" w:color="FFFFFF" w:val="clear"/>
          </w:tcPr>
          <w:p>
            <w:r>
              <w:rPr>
                <w:b/>
                <w:color w:val="FFFFFF"/>
                <w:sz w:val="20"/>
              </w:rPr>
              <w:t>R2</w:t>
            </w:r>
          </w:p>
        </w:tc>
        <w:tc>
          <w:tcPr>
            <w:tcW w:type="dxa" w:w="1440"/>
            <w:shd w:fill="1F4E79" w:color="FFFFFF" w:val="clear"/>
          </w:tcPr>
          <w:p>
            <w:r>
              <w:rPr>
                <w:b/>
                <w:color w:val="FFFFFF"/>
                <w:sz w:val="20"/>
              </w:rPr>
              <w:t>Train Days</w:t>
            </w:r>
          </w:p>
        </w:tc>
        <w:tc>
          <w:tcPr>
            <w:tcW w:type="dxa" w:w="1440"/>
            <w:shd w:fill="1F4E79" w:color="FFFFFF" w:val="clear"/>
          </w:tcPr>
          <w:p>
            <w:r>
              <w:rPr>
                <w:b/>
                <w:color w:val="FFFFFF"/>
                <w:sz w:val="20"/>
              </w:rPr>
              <w:t>Test Days</w:t>
            </w:r>
          </w:p>
        </w:tc>
      </w:tr>
      <w:tr>
        <w:tc>
          <w:tcPr>
            <w:tcW w:type="dxa" w:w="2592"/>
            <w:shd w:fill="EBF3FB" w:val="clear"/>
          </w:tcPr>
          <w:p>
            <w:r>
              <w:rPr>
                <w:sz w:val="20"/>
              </w:rPr>
              <w:t>Random Forest</w:t>
            </w:r>
          </w:p>
        </w:tc>
        <w:tc>
          <w:tcPr>
            <w:tcW w:type="dxa" w:w="1152"/>
            <w:shd w:fill="EBF3FB" w:val="clear"/>
          </w:tcPr>
          <w:p>
            <w:r>
              <w:rPr>
                <w:sz w:val="20"/>
              </w:rPr>
              <w:t>38.60</w:t>
            </w:r>
          </w:p>
        </w:tc>
        <w:tc>
          <w:tcPr>
            <w:tcW w:type="dxa" w:w="1152"/>
            <w:shd w:fill="EBF3FB" w:val="clear"/>
          </w:tcPr>
          <w:p>
            <w:r>
              <w:rPr>
                <w:sz w:val="20"/>
              </w:rPr>
              <w:t>65.74</w:t>
            </w:r>
          </w:p>
        </w:tc>
        <w:tc>
          <w:tcPr>
            <w:tcW w:type="dxa" w:w="1152"/>
            <w:shd w:fill="EBF3FB" w:val="clear"/>
          </w:tcPr>
          <w:p>
            <w:r>
              <w:rPr>
                <w:sz w:val="20"/>
              </w:rPr>
              <w:t>-0.2255</w:t>
            </w:r>
          </w:p>
        </w:tc>
        <w:tc>
          <w:tcPr>
            <w:tcW w:type="dxa" w:w="1440"/>
            <w:shd w:fill="EBF3FB" w:val="clear"/>
          </w:tcPr>
          <w:p>
            <w:r>
              <w:rPr>
                <w:sz w:val="20"/>
              </w:rPr>
              <w:t>61</w:t>
            </w:r>
          </w:p>
        </w:tc>
        <w:tc>
          <w:tcPr>
            <w:tcW w:type="dxa" w:w="1440"/>
            <w:shd w:fill="EBF3FB" w:val="clear"/>
          </w:tcPr>
          <w:p>
            <w:r>
              <w:rPr>
                <w:sz w:val="20"/>
              </w:rPr>
              <w:t>16</w:t>
            </w:r>
          </w:p>
        </w:tc>
      </w:tr>
      <w:tr>
        <w:tc>
          <w:tcPr>
            <w:tcW w:type="dxa" w:w="2592"/>
          </w:tcPr>
          <w:p>
            <w:r>
              <w:rPr>
                <w:sz w:val="20"/>
              </w:rPr>
              <w:t>Gradient Boosting</w:t>
            </w:r>
          </w:p>
        </w:tc>
        <w:tc>
          <w:tcPr>
            <w:tcW w:type="dxa" w:w="1152"/>
          </w:tcPr>
          <w:p>
            <w:r>
              <w:rPr>
                <w:sz w:val="20"/>
              </w:rPr>
              <w:t>42.32</w:t>
            </w:r>
          </w:p>
        </w:tc>
        <w:tc>
          <w:tcPr>
            <w:tcW w:type="dxa" w:w="1152"/>
          </w:tcPr>
          <w:p>
            <w:r>
              <w:rPr>
                <w:sz w:val="20"/>
              </w:rPr>
              <w:t>67.30</w:t>
            </w:r>
          </w:p>
        </w:tc>
        <w:tc>
          <w:tcPr>
            <w:tcW w:type="dxa" w:w="1152"/>
          </w:tcPr>
          <w:p>
            <w:r>
              <w:rPr>
                <w:sz w:val="20"/>
              </w:rPr>
              <w:t>-0.2842</w:t>
            </w:r>
          </w:p>
        </w:tc>
        <w:tc>
          <w:tcPr>
            <w:tcW w:type="dxa" w:w="1440"/>
          </w:tcPr>
          <w:p>
            <w:r>
              <w:rPr>
                <w:sz w:val="20"/>
              </w:rPr>
              <w:t>61</w:t>
            </w:r>
          </w:p>
        </w:tc>
        <w:tc>
          <w:tcPr>
            <w:tcW w:type="dxa" w:w="1440"/>
          </w:tcPr>
          <w:p>
            <w:r>
              <w:rPr>
                <w:sz w:val="20"/>
              </w:rPr>
              <w:t>16</w:t>
            </w:r>
          </w:p>
        </w:tc>
      </w:tr>
    </w:tbl>
    <w:p/>
    <w:p>
      <w:pPr>
        <w:pStyle w:val="Heading2"/>
      </w:pPr>
      <w:r>
        <w:rPr>
          <w:color w:val="2E74B5"/>
          <w:sz w:val="26"/>
        </w:rPr>
        <w:t>25.3 Interpretation of R2 Scores</w:t>
      </w:r>
    </w:p>
    <w:p>
      <w:pPr>
        <w:spacing w:after="320"/>
      </w:pPr>
      <w:r>
        <w:rPr>
          <w:b w:val="0"/>
          <w:i w:val="0"/>
          <w:sz w:val="22"/>
        </w:rPr>
        <w:t>The negative R2 scores indicate the model performed worse than a naive baseline on the 16-day test set. This is expected given: only 91 days of data, no seasonality signal (single quarter), high variance in the test window, and no external regressors. Despite negative R2, the MAE and RMSE values confirm directionally reasonable forecasts within 35-120 units/day depending on category scale.</w:t>
      </w:r>
    </w:p>
    <w:p>
      <w:r>
        <w:br w:type="page"/>
      </w:r>
    </w:p>
    <w:p>
      <w:pPr>
        <w:pStyle w:val="Heading1"/>
      </w:pPr>
      <w:r>
        <w:rPr>
          <w:color w:val="1F4E79"/>
          <w:sz w:val="32"/>
        </w:rPr>
        <w:t>26. AI Business Insights Module</w:t>
      </w:r>
    </w:p>
    <w:p>
      <w:pPr>
        <w:spacing w:after="160"/>
      </w:pPr>
      <w:r>
        <w:rPr>
          <w:b w:val="0"/>
          <w:i w:val="0"/>
          <w:sz w:val="22"/>
        </w:rPr>
        <w:t>The AI Business Insights module automatically generates 12 insight cards using live data computed at runtime. No insight text is hardcoded.</w:t>
      </w:r>
    </w:p>
    <w:tbl>
      <w:tblPr>
        <w:tblStyle w:val="TableGrid"/>
        <w:tblW w:type="auto" w:w="0"/>
        <w:tblLook w:firstColumn="1" w:firstRow="1" w:lastColumn="0" w:lastRow="0" w:noHBand="0" w:noVBand="1" w:val="04A0"/>
      </w:tblPr>
      <w:tblGrid>
        <w:gridCol w:w="3041"/>
        <w:gridCol w:w="3041"/>
        <w:gridCol w:w="3041"/>
      </w:tblGrid>
      <w:tr>
        <w:tc>
          <w:tcPr>
            <w:tcW w:type="dxa" w:w="432"/>
            <w:shd w:fill="1F4E79" w:color="FFFFFF" w:val="clear"/>
          </w:tcPr>
          <w:p>
            <w:r>
              <w:rPr>
                <w:b/>
                <w:color w:val="FFFFFF"/>
                <w:sz w:val="20"/>
              </w:rPr>
              <w:t>#</w:t>
            </w:r>
          </w:p>
        </w:tc>
        <w:tc>
          <w:tcPr>
            <w:tcW w:type="dxa" w:w="2880"/>
            <w:shd w:fill="1F4E79" w:color="FFFFFF" w:val="clear"/>
          </w:tcPr>
          <w:p>
            <w:r>
              <w:rPr>
                <w:b/>
                <w:color w:val="FFFFFF"/>
                <w:sz w:val="20"/>
              </w:rPr>
              <w:t>Insight Type</w:t>
            </w:r>
          </w:p>
        </w:tc>
        <w:tc>
          <w:tcPr>
            <w:tcW w:type="dxa" w:w="5328"/>
            <w:shd w:fill="1F4E79" w:color="FFFFFF" w:val="clear"/>
          </w:tcPr>
          <w:p>
            <w:r>
              <w:rPr>
                <w:b/>
                <w:color w:val="FFFFFF"/>
                <w:sz w:val="20"/>
              </w:rPr>
              <w:t>Description</w:t>
            </w:r>
          </w:p>
        </w:tc>
      </w:tr>
      <w:tr>
        <w:tc>
          <w:tcPr>
            <w:tcW w:type="dxa" w:w="432"/>
            <w:shd w:fill="EBF3FB" w:val="clear"/>
          </w:tcPr>
          <w:p>
            <w:r>
              <w:rPr>
                <w:sz w:val="20"/>
              </w:rPr>
              <w:t>1</w:t>
            </w:r>
          </w:p>
        </w:tc>
        <w:tc>
          <w:tcPr>
            <w:tcW w:type="dxa" w:w="2880"/>
            <w:shd w:fill="EBF3FB" w:val="clear"/>
          </w:tcPr>
          <w:p>
            <w:r>
              <w:rPr>
                <w:sz w:val="20"/>
              </w:rPr>
              <w:t>Top Revenue Category</w:t>
            </w:r>
          </w:p>
        </w:tc>
        <w:tc>
          <w:tcPr>
            <w:tcW w:type="dxa" w:w="5328"/>
            <w:shd w:fill="EBF3FB" w:val="clear"/>
          </w:tcPr>
          <w:p>
            <w:r>
              <w:rPr>
                <w:sz w:val="20"/>
              </w:rPr>
              <w:t>Identifies highest-revenue category with actual figure</w:t>
            </w:r>
          </w:p>
        </w:tc>
      </w:tr>
      <w:tr>
        <w:tc>
          <w:tcPr>
            <w:tcW w:type="dxa" w:w="432"/>
          </w:tcPr>
          <w:p>
            <w:r>
              <w:rPr>
                <w:sz w:val="20"/>
              </w:rPr>
              <w:t>2</w:t>
            </w:r>
          </w:p>
        </w:tc>
        <w:tc>
          <w:tcPr>
            <w:tcW w:type="dxa" w:w="2880"/>
          </w:tcPr>
          <w:p>
            <w:r>
              <w:rPr>
                <w:sz w:val="20"/>
              </w:rPr>
              <w:t>High Cancellation Category</w:t>
            </w:r>
          </w:p>
        </w:tc>
        <w:tc>
          <w:tcPr>
            <w:tcW w:type="dxa" w:w="5328"/>
          </w:tcPr>
          <w:p>
            <w:r>
              <w:rPr>
                <w:sz w:val="20"/>
              </w:rPr>
              <w:t>Flags category with highest cancellation rate</w:t>
            </w:r>
          </w:p>
        </w:tc>
      </w:tr>
      <w:tr>
        <w:tc>
          <w:tcPr>
            <w:tcW w:type="dxa" w:w="432"/>
            <w:shd w:fill="EBF3FB" w:val="clear"/>
          </w:tcPr>
          <w:p>
            <w:r>
              <w:rPr>
                <w:sz w:val="20"/>
              </w:rPr>
              <w:t>3</w:t>
            </w:r>
          </w:p>
        </w:tc>
        <w:tc>
          <w:tcPr>
            <w:tcW w:type="dxa" w:w="2880"/>
            <w:shd w:fill="EBF3FB" w:val="clear"/>
          </w:tcPr>
          <w:p>
            <w:r>
              <w:rPr>
                <w:sz w:val="20"/>
              </w:rPr>
              <w:t>Top Performing Region</w:t>
            </w:r>
          </w:p>
        </w:tc>
        <w:tc>
          <w:tcPr>
            <w:tcW w:type="dxa" w:w="5328"/>
            <w:shd w:fill="EBF3FB" w:val="clear"/>
          </w:tcPr>
          <w:p>
            <w:r>
              <w:rPr>
                <w:sz w:val="20"/>
              </w:rPr>
              <w:t>State with highest revenue and order count</w:t>
            </w:r>
          </w:p>
        </w:tc>
      </w:tr>
      <w:tr>
        <w:tc>
          <w:tcPr>
            <w:tcW w:type="dxa" w:w="432"/>
          </w:tcPr>
          <w:p>
            <w:r>
              <w:rPr>
                <w:sz w:val="20"/>
              </w:rPr>
              <w:t>4</w:t>
            </w:r>
          </w:p>
        </w:tc>
        <w:tc>
          <w:tcPr>
            <w:tcW w:type="dxa" w:w="2880"/>
          </w:tcPr>
          <w:p>
            <w:r>
              <w:rPr>
                <w:sz w:val="20"/>
              </w:rPr>
              <w:t>Overall Sales Trend</w:t>
            </w:r>
          </w:p>
        </w:tc>
        <w:tc>
          <w:tcPr>
            <w:tcW w:type="dxa" w:w="5328"/>
          </w:tcPr>
          <w:p>
            <w:r>
              <w:rPr>
                <w:sz w:val="20"/>
              </w:rPr>
              <w:t>First-half vs second-half revenue comparison</w:t>
            </w:r>
          </w:p>
        </w:tc>
      </w:tr>
      <w:tr>
        <w:tc>
          <w:tcPr>
            <w:tcW w:type="dxa" w:w="432"/>
            <w:shd w:fill="EBF3FB" w:val="clear"/>
          </w:tcPr>
          <w:p>
            <w:r>
              <w:rPr>
                <w:sz w:val="20"/>
              </w:rPr>
              <w:t>5</w:t>
            </w:r>
          </w:p>
        </w:tc>
        <w:tc>
          <w:tcPr>
            <w:tcW w:type="dxa" w:w="2880"/>
            <w:shd w:fill="EBF3FB" w:val="clear"/>
          </w:tcPr>
          <w:p>
            <w:r>
              <w:rPr>
                <w:sz w:val="20"/>
              </w:rPr>
              <w:t>Best-Selling SKU</w:t>
            </w:r>
          </w:p>
        </w:tc>
        <w:tc>
          <w:tcPr>
            <w:tcW w:type="dxa" w:w="5328"/>
            <w:shd w:fill="EBF3FB" w:val="clear"/>
          </w:tcPr>
          <w:p>
            <w:r>
              <w:rPr>
                <w:sz w:val="20"/>
              </w:rPr>
              <w:t>Top SKU by revenue with actual revenue figure</w:t>
            </w:r>
          </w:p>
        </w:tc>
      </w:tr>
      <w:tr>
        <w:tc>
          <w:tcPr>
            <w:tcW w:type="dxa" w:w="432"/>
          </w:tcPr>
          <w:p>
            <w:r>
              <w:rPr>
                <w:sz w:val="20"/>
              </w:rPr>
              <w:t>6</w:t>
            </w:r>
          </w:p>
        </w:tc>
        <w:tc>
          <w:tcPr>
            <w:tcW w:type="dxa" w:w="2880"/>
          </w:tcPr>
          <w:p>
            <w:r>
              <w:rPr>
                <w:sz w:val="20"/>
              </w:rPr>
              <w:t>Low-Performing SKU</w:t>
            </w:r>
          </w:p>
        </w:tc>
        <w:tc>
          <w:tcPr>
            <w:tcW w:type="dxa" w:w="5328"/>
          </w:tcPr>
          <w:p>
            <w:r>
              <w:rPr>
                <w:sz w:val="20"/>
              </w:rPr>
              <w:t>Lowest-revenue SKU as discontinuation candidate</w:t>
            </w:r>
          </w:p>
        </w:tc>
      </w:tr>
      <w:tr>
        <w:tc>
          <w:tcPr>
            <w:tcW w:type="dxa" w:w="432"/>
            <w:shd w:fill="EBF3FB" w:val="clear"/>
          </w:tcPr>
          <w:p>
            <w:r>
              <w:rPr>
                <w:sz w:val="20"/>
              </w:rPr>
              <w:t>7</w:t>
            </w:r>
          </w:p>
        </w:tc>
        <w:tc>
          <w:tcPr>
            <w:tcW w:type="dxa" w:w="2880"/>
            <w:shd w:fill="EBF3FB" w:val="clear"/>
          </w:tcPr>
          <w:p>
            <w:r>
              <w:rPr>
                <w:sz w:val="20"/>
              </w:rPr>
              <w:t>Best/Worst Day of Week</w:t>
            </w:r>
          </w:p>
        </w:tc>
        <w:tc>
          <w:tcPr>
            <w:tcW w:type="dxa" w:w="5328"/>
            <w:shd w:fill="EBF3FB" w:val="clear"/>
          </w:tcPr>
          <w:p>
            <w:r>
              <w:rPr>
                <w:sz w:val="20"/>
              </w:rPr>
              <w:t>Day with highest and lowest revenue</w:t>
            </w:r>
          </w:p>
        </w:tc>
      </w:tr>
      <w:tr>
        <w:tc>
          <w:tcPr>
            <w:tcW w:type="dxa" w:w="432"/>
          </w:tcPr>
          <w:p>
            <w:r>
              <w:rPr>
                <w:sz w:val="20"/>
              </w:rPr>
              <w:t>8</w:t>
            </w:r>
          </w:p>
        </w:tc>
        <w:tc>
          <w:tcPr>
            <w:tcW w:type="dxa" w:w="2880"/>
          </w:tcPr>
          <w:p>
            <w:r>
              <w:rPr>
                <w:sz w:val="20"/>
              </w:rPr>
              <w:t>Cancellation Rate Health</w:t>
            </w:r>
          </w:p>
        </w:tc>
        <w:tc>
          <w:tcPr>
            <w:tcW w:type="dxa" w:w="5328"/>
          </w:tcPr>
          <w:p>
            <w:r>
              <w:rPr>
                <w:sz w:val="20"/>
              </w:rPr>
              <w:t>Green/amber indicator based on 15% threshold</w:t>
            </w:r>
          </w:p>
        </w:tc>
      </w:tr>
      <w:tr>
        <w:tc>
          <w:tcPr>
            <w:tcW w:type="dxa" w:w="432"/>
            <w:shd w:fill="EBF3FB" w:val="clear"/>
          </w:tcPr>
          <w:p>
            <w:r>
              <w:rPr>
                <w:sz w:val="20"/>
              </w:rPr>
              <w:t>9</w:t>
            </w:r>
          </w:p>
        </w:tc>
        <w:tc>
          <w:tcPr>
            <w:tcW w:type="dxa" w:w="2880"/>
            <w:shd w:fill="EBF3FB" w:val="clear"/>
          </w:tcPr>
          <w:p>
            <w:r>
              <w:rPr>
                <w:sz w:val="20"/>
              </w:rPr>
              <w:t>Fulfilment Insight</w:t>
            </w:r>
          </w:p>
        </w:tc>
        <w:tc>
          <w:tcPr>
            <w:tcW w:type="dxa" w:w="5328"/>
            <w:shd w:fill="EBF3FB" w:val="clear"/>
          </w:tcPr>
          <w:p>
            <w:r>
              <w:rPr>
                <w:sz w:val="20"/>
              </w:rPr>
              <w:t>Amazon FBA percentage and recommendation</w:t>
            </w:r>
          </w:p>
        </w:tc>
      </w:tr>
      <w:tr>
        <w:tc>
          <w:tcPr>
            <w:tcW w:type="dxa" w:w="432"/>
          </w:tcPr>
          <w:p>
            <w:r>
              <w:rPr>
                <w:sz w:val="20"/>
              </w:rPr>
              <w:t>10</w:t>
            </w:r>
          </w:p>
        </w:tc>
        <w:tc>
          <w:tcPr>
            <w:tcW w:type="dxa" w:w="2880"/>
          </w:tcPr>
          <w:p>
            <w:r>
              <w:rPr>
                <w:sz w:val="20"/>
              </w:rPr>
              <w:t>B2B Revenue Contribution</w:t>
            </w:r>
          </w:p>
        </w:tc>
        <w:tc>
          <w:tcPr>
            <w:tcW w:type="dxa" w:w="5328"/>
          </w:tcPr>
          <w:p>
            <w:r>
              <w:rPr>
                <w:sz w:val="20"/>
              </w:rPr>
              <w:t>B2B revenue share with growth recommendation</w:t>
            </w:r>
          </w:p>
        </w:tc>
      </w:tr>
      <w:tr>
        <w:tc>
          <w:tcPr>
            <w:tcW w:type="dxa" w:w="432"/>
            <w:shd w:fill="EBF3FB" w:val="clear"/>
          </w:tcPr>
          <w:p>
            <w:r>
              <w:rPr>
                <w:sz w:val="20"/>
              </w:rPr>
              <w:t>11</w:t>
            </w:r>
          </w:p>
        </w:tc>
        <w:tc>
          <w:tcPr>
            <w:tcW w:type="dxa" w:w="2880"/>
            <w:shd w:fill="EBF3FB" w:val="clear"/>
          </w:tcPr>
          <w:p>
            <w:r>
              <w:rPr>
                <w:sz w:val="20"/>
              </w:rPr>
              <w:t>Promotion Usage</w:t>
            </w:r>
          </w:p>
        </w:tc>
        <w:tc>
          <w:tcPr>
            <w:tcW w:type="dxa" w:w="5328"/>
            <w:shd w:fill="EBF3FB" w:val="clear"/>
          </w:tcPr>
          <w:p>
            <w:r>
              <w:rPr>
                <w:sz w:val="20"/>
              </w:rPr>
              <w:t>Percentage of orders using promotions</w:t>
            </w:r>
          </w:p>
        </w:tc>
      </w:tr>
      <w:tr>
        <w:tc>
          <w:tcPr>
            <w:tcW w:type="dxa" w:w="432"/>
          </w:tcPr>
          <w:p>
            <w:r>
              <w:rPr>
                <w:sz w:val="20"/>
              </w:rPr>
              <w:t>12</w:t>
            </w:r>
          </w:p>
        </w:tc>
        <w:tc>
          <w:tcPr>
            <w:tcW w:type="dxa" w:w="2880"/>
          </w:tcPr>
          <w:p>
            <w:r>
              <w:rPr>
                <w:sz w:val="20"/>
              </w:rPr>
              <w:t>Geographic Concentration Risk</w:t>
            </w:r>
          </w:p>
        </w:tc>
        <w:tc>
          <w:tcPr>
            <w:tcW w:type="dxa" w:w="5328"/>
          </w:tcPr>
          <w:p>
            <w:r>
              <w:rPr>
                <w:sz w:val="20"/>
              </w:rPr>
              <w:t>Top-state concentration warning</w:t>
            </w:r>
          </w:p>
        </w:tc>
      </w:tr>
    </w:tbl>
    <w:p/>
    <w:p>
      <w:pPr>
        <w:pStyle w:val="Heading1"/>
      </w:pPr>
      <w:r>
        <w:rPr>
          <w:color w:val="1F4E79"/>
          <w:sz w:val="32"/>
        </w:rPr>
        <w:t>27. Key Findings</w:t>
      </w:r>
    </w:p>
    <w:p>
      <w:pPr>
        <w:pStyle w:val="ListBullet"/>
        <w:spacing w:after="80"/>
      </w:pPr>
      <w:r>
        <w:rPr>
          <w:sz w:val="22"/>
        </w:rPr>
        <w:t>Sets and Kurtas dominate: these two categories account for ~77% of total revenue (Rs. 58.1 M of Rs. 75.4 M).</w:t>
      </w:r>
    </w:p>
    <w:p>
      <w:pPr>
        <w:pStyle w:val="ListBullet"/>
        <w:spacing w:after="80"/>
      </w:pPr>
      <w:r>
        <w:rPr>
          <w:sz w:val="22"/>
        </w:rPr>
        <w:t>Maharashtra is the undisputed leader: Rs. 12.86 M revenue, with Bengaluru as the top city.</w:t>
      </w:r>
    </w:p>
    <w:p>
      <w:pPr>
        <w:pStyle w:val="ListBullet"/>
        <w:spacing w:after="80"/>
      </w:pPr>
      <w:r>
        <w:rPr>
          <w:sz w:val="22"/>
        </w:rPr>
        <w:t>Cancellation rate at 14.2%: below the 15% alert threshold but close to it.</w:t>
      </w:r>
    </w:p>
    <w:p>
      <w:pPr>
        <w:pStyle w:val="ListBullet"/>
        <w:spacing w:after="80"/>
      </w:pPr>
      <w:r>
        <w:rPr>
          <w:sz w:val="22"/>
        </w:rPr>
        <w:t>Amazon FBA processes 69.5% of orders, indicating heavy reliance on Amazon's logistics.</w:t>
      </w:r>
    </w:p>
    <w:p>
      <w:pPr>
        <w:pStyle w:val="ListBullet"/>
        <w:spacing w:after="80"/>
      </w:pPr>
      <w:r>
        <w:rPr>
          <w:sz w:val="22"/>
        </w:rPr>
        <w:t>M, L, and XL are the peak demand sizes across nearly all categories.</w:t>
      </w:r>
    </w:p>
    <w:p>
      <w:pPr>
        <w:pStyle w:val="ListBullet"/>
        <w:spacing w:after="80"/>
      </w:pPr>
      <w:r>
        <w:rPr>
          <w:sz w:val="22"/>
        </w:rPr>
        <w:t>Most orders are B2C (99.3%): B2B is a negligible 0.7%, representing a growth opportunity.</w:t>
      </w:r>
    </w:p>
    <w:p>
      <w:pPr>
        <w:pStyle w:val="ListBullet"/>
        <w:spacing w:after="80"/>
      </w:pPr>
      <w:r>
        <w:rPr>
          <w:sz w:val="22"/>
        </w:rPr>
        <w:t>Promotion-driven orders are significant, indicating price-sensitive demand.</w:t>
      </w:r>
    </w:p>
    <w:p>
      <w:pPr>
        <w:pStyle w:val="ListBullet"/>
        <w:spacing w:after="80"/>
      </w:pPr>
      <w:r>
        <w:rPr>
          <w:sz w:val="22"/>
        </w:rPr>
        <w:t>91-day window limits forecasting accuracy and prevents seasonal analysis.</w:t>
      </w:r>
    </w:p>
    <w:p>
      <w:pPr>
        <w:pStyle w:val="ListBullet"/>
        <w:spacing w:after="80"/>
      </w:pPr>
      <w:r>
        <w:rPr>
          <w:sz w:val="22"/>
        </w:rPr>
        <w:t>Daily order volume is stable: ranging from ~1,200 to ~1,889 units per day.</w:t>
      </w:r>
    </w:p>
    <w:p>
      <w:pPr>
        <w:pStyle w:val="ListBullet"/>
        <w:spacing w:after="80"/>
      </w:pPr>
      <w:r>
        <w:rPr>
          <w:sz w:val="22"/>
        </w:rPr>
        <w:t>Data quality is good overall: no fully duplicate rows; only 7 columns have meaningful missing values.</w:t>
      </w:r>
    </w:p>
    <w:p/>
    <w:p>
      <w:pPr>
        <w:pStyle w:val="Heading1"/>
      </w:pPr>
      <w:r>
        <w:rPr>
          <w:color w:val="1F4E79"/>
          <w:sz w:val="32"/>
        </w:rPr>
        <w:t>28. Limitations</w:t>
      </w:r>
    </w:p>
    <w:p>
      <w:pPr>
        <w:pStyle w:val="ListBullet"/>
        <w:spacing w:after="80"/>
      </w:pPr>
      <w:r>
        <w:rPr>
          <w:sz w:val="22"/>
        </w:rPr>
        <w:t>Short historical window (91 days): insufficient for seasonality, limits forecasting accuracy.</w:t>
      </w:r>
    </w:p>
    <w:p>
      <w:pPr>
        <w:pStyle w:val="ListBullet"/>
        <w:spacing w:after="80"/>
      </w:pPr>
      <w:r>
        <w:rPr>
          <w:sz w:val="22"/>
        </w:rPr>
        <w:t>No seasonal features: single quarter, Diwali and festive demand spikes not captured.</w:t>
      </w:r>
    </w:p>
    <w:p>
      <w:pPr>
        <w:pStyle w:val="ListBullet"/>
        <w:spacing w:after="80"/>
      </w:pPr>
      <w:r>
        <w:rPr>
          <w:sz w:val="22"/>
        </w:rPr>
        <w:t>No pricing data: no stable price list for demand elasticity analysis.</w:t>
      </w:r>
    </w:p>
    <w:p>
      <w:pPr>
        <w:pStyle w:val="ListBullet"/>
        <w:spacing w:after="80"/>
      </w:pPr>
      <w:r>
        <w:rPr>
          <w:sz w:val="22"/>
        </w:rPr>
        <w:t>No customer data: no Customer ID, prevents CLV, churn, or repeat-purchase analysis.</w:t>
      </w:r>
    </w:p>
    <w:p>
      <w:pPr>
        <w:pStyle w:val="ListBullet"/>
        <w:spacing w:after="80"/>
      </w:pPr>
      <w:r>
        <w:rPr>
          <w:sz w:val="22"/>
        </w:rPr>
        <w:t>No cost/margin data: profit analysis is impossible.</w:t>
      </w:r>
    </w:p>
    <w:p>
      <w:pPr>
        <w:pStyle w:val="ListBullet"/>
        <w:spacing w:after="80"/>
      </w:pPr>
      <w:r>
        <w:rPr>
          <w:sz w:val="22"/>
        </w:rPr>
        <w:t>No inventory data: stock-level management cannot be performed.</w:t>
      </w:r>
    </w:p>
    <w:p>
      <w:pPr>
        <w:pStyle w:val="ListBullet"/>
        <w:spacing w:after="80"/>
      </w:pPr>
      <w:r>
        <w:rPr>
          <w:sz w:val="22"/>
        </w:rPr>
        <w:t>State name normalisation may be incomplete: edge cases may remain.</w:t>
      </w:r>
    </w:p>
    <w:p>
      <w:pPr>
        <w:pStyle w:val="ListBullet"/>
        <w:spacing w:after="80"/>
      </w:pPr>
      <w:r>
        <w:rPr>
          <w:sz w:val="22"/>
        </w:rPr>
        <w:t>Iterative forecasting error accumulation: error compounds over 30-day horizons.</w:t>
      </w:r>
    </w:p>
    <w:p/>
    <w:p>
      <w:pPr>
        <w:pStyle w:val="Heading1"/>
      </w:pPr>
      <w:r>
        <w:rPr>
          <w:color w:val="1F4E79"/>
          <w:sz w:val="32"/>
        </w:rPr>
        <w:t>29. Future Scope</w:t>
      </w:r>
    </w:p>
    <w:p>
      <w:pPr>
        <w:pStyle w:val="ListBullet"/>
        <w:spacing w:after="80"/>
      </w:pPr>
      <w:r>
        <w:rPr>
          <w:sz w:val="22"/>
        </w:rPr>
        <w:t>Expand historical data: 2+ years would dramatically improve forecasting model accuracy.</w:t>
      </w:r>
    </w:p>
    <w:p>
      <w:pPr>
        <w:pStyle w:val="ListBullet"/>
        <w:spacing w:after="80"/>
      </w:pPr>
      <w:r>
        <w:rPr>
          <w:sz w:val="22"/>
        </w:rPr>
        <w:t>SARIMA / Prophet models: better at capturing weekly and seasonal cycles.</w:t>
      </w:r>
    </w:p>
    <w:p>
      <w:pPr>
        <w:pStyle w:val="ListBullet"/>
        <w:spacing w:after="80"/>
      </w:pPr>
      <w:r>
        <w:rPr>
          <w:sz w:val="22"/>
        </w:rPr>
        <w:t>External regressors: incorporate Indian public holidays and promotional calendar.</w:t>
      </w:r>
    </w:p>
    <w:p>
      <w:pPr>
        <w:pStyle w:val="ListBullet"/>
        <w:spacing w:after="80"/>
      </w:pPr>
      <w:r>
        <w:rPr>
          <w:sz w:val="22"/>
        </w:rPr>
        <w:t>Real-time data pipeline: connect to Amazon Seller Central API.</w:t>
      </w:r>
    </w:p>
    <w:p>
      <w:pPr>
        <w:pStyle w:val="ListBullet"/>
        <w:spacing w:after="80"/>
      </w:pPr>
      <w:r>
        <w:rPr>
          <w:sz w:val="22"/>
        </w:rPr>
        <w:t>Customer analytics: cohort analysis, CLV estimation, churn prediction.</w:t>
      </w:r>
    </w:p>
    <w:p>
      <w:pPr>
        <w:pStyle w:val="ListBullet"/>
        <w:spacing w:after="80"/>
      </w:pPr>
      <w:r>
        <w:rPr>
          <w:sz w:val="22"/>
        </w:rPr>
        <w:t>Anomaly detection: flag sudden sales spikes or drops.</w:t>
      </w:r>
    </w:p>
    <w:p>
      <w:pPr>
        <w:pStyle w:val="ListBullet"/>
        <w:spacing w:after="80"/>
      </w:pPr>
      <w:r>
        <w:rPr>
          <w:sz w:val="22"/>
        </w:rPr>
        <w:t>Multi-file / multi-period support: allow users to upload multiple CSVs.</w:t>
      </w:r>
    </w:p>
    <w:p>
      <w:pPr>
        <w:pStyle w:val="ListBullet"/>
        <w:spacing w:after="80"/>
      </w:pPr>
      <w:r>
        <w:rPr>
          <w:sz w:val="22"/>
        </w:rPr>
        <w:t>Product recommendation engine: based on co-purchased SKUs.</w:t>
      </w:r>
    </w:p>
    <w:p>
      <w:pPr>
        <w:pStyle w:val="ListBullet"/>
        <w:spacing w:after="80"/>
      </w:pPr>
      <w:r>
        <w:rPr>
          <w:sz w:val="22"/>
        </w:rPr>
        <w:t>Export and reporting: PDF report generation and scheduled email summaries.</w:t>
      </w:r>
    </w:p>
    <w:p>
      <w:pPr>
        <w:pStyle w:val="ListBullet"/>
        <w:spacing w:after="80"/>
      </w:pPr>
      <w:r>
        <w:rPr>
          <w:sz w:val="22"/>
        </w:rPr>
        <w:t>Cloud deployment: Streamlit Community Cloud or IBM Cloud.</w:t>
      </w:r>
    </w:p>
    <w:p/>
    <w:p>
      <w:r>
        <w:br w:type="page"/>
      </w:r>
    </w:p>
    <w:p>
      <w:pPr>
        <w:pStyle w:val="Heading1"/>
      </w:pPr>
      <w:r>
        <w:rPr>
          <w:color w:val="1F4E79"/>
          <w:sz w:val="32"/>
        </w:rPr>
        <w:t>30. Technologies Used</w:t>
      </w:r>
    </w:p>
    <w:tbl>
      <w:tblPr>
        <w:tblStyle w:val="TableGrid"/>
        <w:tblW w:type="auto" w:w="0"/>
        <w:tblLook w:firstColumn="1" w:firstRow="1" w:lastColumn="0" w:lastRow="0" w:noHBand="0" w:noVBand="1" w:val="04A0"/>
      </w:tblPr>
      <w:tblGrid>
        <w:gridCol w:w="3041"/>
        <w:gridCol w:w="3041"/>
        <w:gridCol w:w="3041"/>
      </w:tblGrid>
      <w:tr>
        <w:tc>
          <w:tcPr>
            <w:tcW w:type="dxa" w:w="2880"/>
            <w:shd w:fill="1F4E79" w:color="FFFFFF" w:val="clear"/>
          </w:tcPr>
          <w:p>
            <w:r>
              <w:rPr>
                <w:b/>
                <w:color w:val="FFFFFF"/>
                <w:sz w:val="20"/>
              </w:rPr>
              <w:t>Technology</w:t>
            </w:r>
          </w:p>
        </w:tc>
        <w:tc>
          <w:tcPr>
            <w:tcW w:type="dxa" w:w="1728"/>
            <w:shd w:fill="1F4E79" w:color="FFFFFF" w:val="clear"/>
          </w:tcPr>
          <w:p>
            <w:r>
              <w:rPr>
                <w:b/>
                <w:color w:val="FFFFFF"/>
                <w:sz w:val="20"/>
              </w:rPr>
              <w:t>Version</w:t>
            </w:r>
          </w:p>
        </w:tc>
        <w:tc>
          <w:tcPr>
            <w:tcW w:type="dxa" w:w="4032"/>
            <w:shd w:fill="1F4E79" w:color="FFFFFF" w:val="clear"/>
          </w:tcPr>
          <w:p>
            <w:r>
              <w:rPr>
                <w:b/>
                <w:color w:val="FFFFFF"/>
                <w:sz w:val="20"/>
              </w:rPr>
              <w:t>Role</w:t>
            </w:r>
          </w:p>
        </w:tc>
      </w:tr>
      <w:tr>
        <w:tc>
          <w:tcPr>
            <w:tcW w:type="dxa" w:w="2880"/>
            <w:shd w:fill="EBF3FB" w:val="clear"/>
          </w:tcPr>
          <w:p>
            <w:r>
              <w:rPr>
                <w:sz w:val="20"/>
              </w:rPr>
              <w:t>Python</w:t>
            </w:r>
          </w:p>
        </w:tc>
        <w:tc>
          <w:tcPr>
            <w:tcW w:type="dxa" w:w="1728"/>
            <w:shd w:fill="EBF3FB" w:val="clear"/>
          </w:tcPr>
          <w:p>
            <w:r>
              <w:rPr>
                <w:sz w:val="20"/>
              </w:rPr>
              <w:t>3.13.5</w:t>
            </w:r>
          </w:p>
        </w:tc>
        <w:tc>
          <w:tcPr>
            <w:tcW w:type="dxa" w:w="4032"/>
            <w:shd w:fill="EBF3FB" w:val="clear"/>
          </w:tcPr>
          <w:p>
            <w:r>
              <w:rPr>
                <w:sz w:val="20"/>
              </w:rPr>
              <w:t>Core programming language</w:t>
            </w:r>
          </w:p>
        </w:tc>
      </w:tr>
      <w:tr>
        <w:tc>
          <w:tcPr>
            <w:tcW w:type="dxa" w:w="2880"/>
          </w:tcPr>
          <w:p>
            <w:r>
              <w:rPr>
                <w:sz w:val="20"/>
              </w:rPr>
              <w:t>Streamlit</w:t>
            </w:r>
          </w:p>
        </w:tc>
        <w:tc>
          <w:tcPr>
            <w:tcW w:type="dxa" w:w="1728"/>
          </w:tcPr>
          <w:p>
            <w:r>
              <w:rPr>
                <w:sz w:val="20"/>
              </w:rPr>
              <w:t>1.62.0</w:t>
            </w:r>
          </w:p>
        </w:tc>
        <w:tc>
          <w:tcPr>
            <w:tcW w:type="dxa" w:w="4032"/>
          </w:tcPr>
          <w:p>
            <w:r>
              <w:rPr>
                <w:sz w:val="20"/>
              </w:rPr>
              <w:t>Web application framework / UI</w:t>
            </w:r>
          </w:p>
        </w:tc>
      </w:tr>
      <w:tr>
        <w:tc>
          <w:tcPr>
            <w:tcW w:type="dxa" w:w="2880"/>
            <w:shd w:fill="EBF3FB" w:val="clear"/>
          </w:tcPr>
          <w:p>
            <w:r>
              <w:rPr>
                <w:sz w:val="20"/>
              </w:rPr>
              <w:t>Pandas</w:t>
            </w:r>
          </w:p>
        </w:tc>
        <w:tc>
          <w:tcPr>
            <w:tcW w:type="dxa" w:w="1728"/>
            <w:shd w:fill="EBF3FB" w:val="clear"/>
          </w:tcPr>
          <w:p>
            <w:r>
              <w:rPr>
                <w:sz w:val="20"/>
              </w:rPr>
              <w:t>3.0.3</w:t>
            </w:r>
          </w:p>
        </w:tc>
        <w:tc>
          <w:tcPr>
            <w:tcW w:type="dxa" w:w="4032"/>
            <w:shd w:fill="EBF3FB" w:val="clear"/>
          </w:tcPr>
          <w:p>
            <w:r>
              <w:rPr>
                <w:sz w:val="20"/>
              </w:rPr>
              <w:t>Data loading, cleaning, aggregation</w:t>
            </w:r>
          </w:p>
        </w:tc>
      </w:tr>
      <w:tr>
        <w:tc>
          <w:tcPr>
            <w:tcW w:type="dxa" w:w="2880"/>
          </w:tcPr>
          <w:p>
            <w:r>
              <w:rPr>
                <w:sz w:val="20"/>
              </w:rPr>
              <w:t>NumPy</w:t>
            </w:r>
          </w:p>
        </w:tc>
        <w:tc>
          <w:tcPr>
            <w:tcW w:type="dxa" w:w="1728"/>
          </w:tcPr>
          <w:p>
            <w:r>
              <w:rPr>
                <w:sz w:val="20"/>
              </w:rPr>
              <w:t>2.4.4</w:t>
            </w:r>
          </w:p>
        </w:tc>
        <w:tc>
          <w:tcPr>
            <w:tcW w:type="dxa" w:w="4032"/>
          </w:tcPr>
          <w:p>
            <w:r>
              <w:rPr>
                <w:sz w:val="20"/>
              </w:rPr>
              <w:t>Numerical operations</w:t>
            </w:r>
          </w:p>
        </w:tc>
      </w:tr>
      <w:tr>
        <w:tc>
          <w:tcPr>
            <w:tcW w:type="dxa" w:w="2880"/>
            <w:shd w:fill="EBF3FB" w:val="clear"/>
          </w:tcPr>
          <w:p>
            <w:r>
              <w:rPr>
                <w:sz w:val="20"/>
              </w:rPr>
              <w:t>Plotly</w:t>
            </w:r>
          </w:p>
        </w:tc>
        <w:tc>
          <w:tcPr>
            <w:tcW w:type="dxa" w:w="1728"/>
            <w:shd w:fill="EBF3FB" w:val="clear"/>
          </w:tcPr>
          <w:p>
            <w:r>
              <w:rPr>
                <w:sz w:val="20"/>
              </w:rPr>
              <w:t>7.0.0</w:t>
            </w:r>
          </w:p>
        </w:tc>
        <w:tc>
          <w:tcPr>
            <w:tcW w:type="dxa" w:w="4032"/>
            <w:shd w:fill="EBF3FB" w:val="clear"/>
          </w:tcPr>
          <w:p>
            <w:r>
              <w:rPr>
                <w:sz w:val="20"/>
              </w:rPr>
              <w:t>Interactive chart rendering</w:t>
            </w:r>
          </w:p>
        </w:tc>
      </w:tr>
      <w:tr>
        <w:tc>
          <w:tcPr>
            <w:tcW w:type="dxa" w:w="2880"/>
          </w:tcPr>
          <w:p>
            <w:r>
              <w:rPr>
                <w:sz w:val="20"/>
              </w:rPr>
              <w:t>Scikit-learn</w:t>
            </w:r>
          </w:p>
        </w:tc>
        <w:tc>
          <w:tcPr>
            <w:tcW w:type="dxa" w:w="1728"/>
          </w:tcPr>
          <w:p>
            <w:r>
              <w:rPr>
                <w:sz w:val="20"/>
              </w:rPr>
              <w:t>1.9.0</w:t>
            </w:r>
          </w:p>
        </w:tc>
        <w:tc>
          <w:tcPr>
            <w:tcW w:type="dxa" w:w="4032"/>
          </w:tcPr>
          <w:p>
            <w:r>
              <w:rPr>
                <w:sz w:val="20"/>
              </w:rPr>
              <w:t>ML models, metrics, preprocessing</w:t>
            </w:r>
          </w:p>
        </w:tc>
      </w:tr>
    </w:tbl>
    <w:p/>
    <w:p>
      <w:pPr>
        <w:spacing w:after="160"/>
      </w:pPr>
      <w:r>
        <w:rPr>
          <w:b w:val="0"/>
          <w:i/>
          <w:sz w:val="22"/>
        </w:rPr>
        <w:t>Deliberately excluded: React, Node.js, JavaScript, Flask, Django, any database system.</w:t>
      </w:r>
    </w:p>
    <w:p>
      <w:pPr>
        <w:pStyle w:val="Heading1"/>
      </w:pPr>
      <w:r>
        <w:rPr>
          <w:color w:val="1F4E79"/>
          <w:sz w:val="32"/>
        </w:rPr>
        <w:t>31. Project File Structure</w:t>
      </w:r>
    </w:p>
    <w:tbl>
      <w:tblPr>
        <w:tblStyle w:val="TableGrid"/>
        <w:tblW w:type="auto" w:w="0"/>
        <w:tblLook w:firstColumn="1" w:firstRow="1" w:lastColumn="0" w:lastRow="0" w:noHBand="0" w:noVBand="1" w:val="04A0"/>
      </w:tblPr>
      <w:tblGrid>
        <w:gridCol w:w="4561"/>
        <w:gridCol w:w="4561"/>
      </w:tblGrid>
      <w:tr>
        <w:tc>
          <w:tcPr>
            <w:tcW w:type="dxa" w:w="3168"/>
            <w:shd w:fill="1F4E79" w:color="FFFFFF" w:val="clear"/>
          </w:tcPr>
          <w:p>
            <w:r>
              <w:rPr>
                <w:b/>
                <w:color w:val="FFFFFF"/>
                <w:sz w:val="20"/>
              </w:rPr>
              <w:t>File</w:t>
            </w:r>
          </w:p>
        </w:tc>
        <w:tc>
          <w:tcPr>
            <w:tcW w:type="dxa" w:w="5472"/>
            <w:shd w:fill="1F4E79" w:color="FFFFFF" w:val="clear"/>
          </w:tcPr>
          <w:p>
            <w:r>
              <w:rPr>
                <w:b/>
                <w:color w:val="FFFFFF"/>
                <w:sz w:val="20"/>
              </w:rPr>
              <w:t>Description</w:t>
            </w:r>
          </w:p>
        </w:tc>
      </w:tr>
      <w:tr>
        <w:tc>
          <w:tcPr>
            <w:tcW w:type="dxa" w:w="3168"/>
            <w:shd w:fill="EBF3FB" w:val="clear"/>
          </w:tcPr>
          <w:p>
            <w:r>
              <w:rPr>
                <w:sz w:val="20"/>
              </w:rPr>
              <w:t>app.py</w:t>
            </w:r>
          </w:p>
        </w:tc>
        <w:tc>
          <w:tcPr>
            <w:tcW w:type="dxa" w:w="5472"/>
            <w:shd w:fill="EBF3FB" w:val="clear"/>
          </w:tcPr>
          <w:p>
            <w:r>
              <w:rPr>
                <w:sz w:val="20"/>
              </w:rPr>
              <w:t>Main Streamlit application (~1,200 lines)</w:t>
            </w:r>
          </w:p>
        </w:tc>
      </w:tr>
      <w:tr>
        <w:tc>
          <w:tcPr>
            <w:tcW w:type="dxa" w:w="3168"/>
          </w:tcPr>
          <w:p>
            <w:r>
              <w:rPr>
                <w:sz w:val="20"/>
              </w:rPr>
              <w:t>requirements.txt</w:t>
            </w:r>
          </w:p>
        </w:tc>
        <w:tc>
          <w:tcPr>
            <w:tcW w:type="dxa" w:w="5472"/>
          </w:tcPr>
          <w:p>
            <w:r>
              <w:rPr>
                <w:sz w:val="20"/>
              </w:rPr>
              <w:t>Python dependencies (5 packages)</w:t>
            </w:r>
          </w:p>
        </w:tc>
      </w:tr>
      <w:tr>
        <w:tc>
          <w:tcPr>
            <w:tcW w:type="dxa" w:w="3168"/>
            <w:shd w:fill="EBF3FB" w:val="clear"/>
          </w:tcPr>
          <w:p>
            <w:r>
              <w:rPr>
                <w:sz w:val="20"/>
              </w:rPr>
              <w:t>README.md</w:t>
            </w:r>
          </w:p>
        </w:tc>
        <w:tc>
          <w:tcPr>
            <w:tcW w:type="dxa" w:w="5472"/>
            <w:shd w:fill="EBF3FB" w:val="clear"/>
          </w:tcPr>
          <w:p>
            <w:r>
              <w:rPr>
                <w:sz w:val="20"/>
              </w:rPr>
              <w:t>Setup and usage guide</w:t>
            </w:r>
          </w:p>
        </w:tc>
      </w:tr>
      <w:tr>
        <w:tc>
          <w:tcPr>
            <w:tcW w:type="dxa" w:w="3168"/>
          </w:tcPr>
          <w:p>
            <w:r>
              <w:rPr>
                <w:sz w:val="20"/>
              </w:rPr>
              <w:t>REQUIREMENTS.md</w:t>
            </w:r>
          </w:p>
        </w:tc>
        <w:tc>
          <w:tcPr>
            <w:tcW w:type="dxa" w:w="5472"/>
          </w:tcPr>
          <w:p>
            <w:r>
              <w:rPr>
                <w:sz w:val="20"/>
              </w:rPr>
              <w:t>Functional requirements specification</w:t>
            </w:r>
          </w:p>
        </w:tc>
      </w:tr>
      <w:tr>
        <w:tc>
          <w:tcPr>
            <w:tcW w:type="dxa" w:w="3168"/>
            <w:shd w:fill="EBF3FB" w:val="clear"/>
          </w:tcPr>
          <w:p>
            <w:r>
              <w:rPr>
                <w:sz w:val="20"/>
              </w:rPr>
              <w:t>REPORT.md</w:t>
            </w:r>
          </w:p>
        </w:tc>
        <w:tc>
          <w:tcPr>
            <w:tcW w:type="dxa" w:w="5472"/>
            <w:shd w:fill="EBF3FB" w:val="clear"/>
          </w:tcPr>
          <w:p>
            <w:r>
              <w:rPr>
                <w:sz w:val="20"/>
              </w:rPr>
              <w:t>Full project report (Markdown)</w:t>
            </w:r>
          </w:p>
        </w:tc>
      </w:tr>
      <w:tr>
        <w:tc>
          <w:tcPr>
            <w:tcW w:type="dxa" w:w="3168"/>
          </w:tcPr>
          <w:p>
            <w:r>
              <w:rPr>
                <w:sz w:val="20"/>
              </w:rPr>
              <w:t>DATA_DICTIONARY.md</w:t>
            </w:r>
          </w:p>
        </w:tc>
        <w:tc>
          <w:tcPr>
            <w:tcW w:type="dxa" w:w="5472"/>
          </w:tcPr>
          <w:p>
            <w:r>
              <w:rPr>
                <w:sz w:val="20"/>
              </w:rPr>
              <w:t>Column-level data dictionary</w:t>
            </w:r>
          </w:p>
        </w:tc>
      </w:tr>
      <w:tr>
        <w:tc>
          <w:tcPr>
            <w:tcW w:type="dxa" w:w="3168"/>
            <w:shd w:fill="EBF3FB" w:val="clear"/>
          </w:tcPr>
          <w:p>
            <w:r>
              <w:rPr>
                <w:sz w:val="20"/>
              </w:rPr>
              <w:t>project_report.docx</w:t>
            </w:r>
          </w:p>
        </w:tc>
        <w:tc>
          <w:tcPr>
            <w:tcW w:type="dxa" w:w="5472"/>
            <w:shd w:fill="EBF3FB" w:val="clear"/>
          </w:tcPr>
          <w:p>
            <w:r>
              <w:rPr>
                <w:sz w:val="20"/>
              </w:rPr>
              <w:t>This project report (Word)</w:t>
            </w:r>
          </w:p>
        </w:tc>
      </w:tr>
      <w:tr>
        <w:tc>
          <w:tcPr>
            <w:tcW w:type="dxa" w:w="3168"/>
          </w:tcPr>
          <w:p>
            <w:r>
              <w:rPr>
                <w:sz w:val="20"/>
              </w:rPr>
              <w:t>.gitignore</w:t>
            </w:r>
          </w:p>
        </w:tc>
        <w:tc>
          <w:tcPr>
            <w:tcW w:type="dxa" w:w="5472"/>
          </w:tcPr>
          <w:p>
            <w:r>
              <w:rPr>
                <w:sz w:val="20"/>
              </w:rPr>
              <w:t>Version control exclusion rules</w:t>
            </w:r>
          </w:p>
        </w:tc>
      </w:tr>
      <w:tr>
        <w:tc>
          <w:tcPr>
            <w:tcW w:type="dxa" w:w="3168"/>
            <w:shd w:fill="EBF3FB" w:val="clear"/>
          </w:tcPr>
          <w:p>
            <w:r>
              <w:rPr>
                <w:sz w:val="20"/>
              </w:rPr>
              <w:t>Amazon Sale Report.csv</w:t>
            </w:r>
          </w:p>
        </w:tc>
        <w:tc>
          <w:tcPr>
            <w:tcW w:type="dxa" w:w="5472"/>
            <w:shd w:fill="EBF3FB" w:val="clear"/>
          </w:tcPr>
          <w:p>
            <w:r>
              <w:rPr>
                <w:sz w:val="20"/>
              </w:rPr>
              <w:t>Source dataset (read-only)</w:t>
            </w:r>
          </w:p>
        </w:tc>
      </w:tr>
    </w:tbl>
    <w:p/>
    <w:p>
      <w:pPr>
        <w:pStyle w:val="Heading1"/>
      </w:pPr>
      <w:r>
        <w:rPr>
          <w:color w:val="1F4E79"/>
          <w:sz w:val="32"/>
        </w:rPr>
        <w:t>32. Installation &amp; Execution</w:t>
      </w:r>
    </w:p>
    <w:p>
      <w:pPr>
        <w:pStyle w:val="Heading2"/>
      </w:pPr>
      <w:r>
        <w:rPr>
          <w:color w:val="2E74B5"/>
          <w:sz w:val="26"/>
        </w:rPr>
        <w:t>32.1 Prerequisites</w:t>
      </w:r>
    </w:p>
    <w:p>
      <w:pPr>
        <w:pStyle w:val="ListBullet"/>
        <w:spacing w:after="80"/>
      </w:pPr>
      <w:r>
        <w:rPr>
          <w:sz w:val="22"/>
        </w:rPr>
        <w:t>Python 3.10 or later</w:t>
      </w:r>
    </w:p>
    <w:p>
      <w:pPr>
        <w:pStyle w:val="ListBullet"/>
        <w:spacing w:after="80"/>
      </w:pPr>
      <w:r>
        <w:rPr>
          <w:sz w:val="22"/>
        </w:rPr>
        <w:t>Amazon Sale Report.csv in the project directory</w:t>
      </w:r>
    </w:p>
    <w:p>
      <w:pPr>
        <w:pStyle w:val="Heading2"/>
      </w:pPr>
      <w:r>
        <w:rPr>
          <w:color w:val="2E74B5"/>
          <w:sz w:val="26"/>
        </w:rPr>
        <w:t>32.2 Install Dependencies</w:t>
      </w:r>
    </w:p>
    <w:p>
      <w:pPr>
        <w:spacing w:after="160"/>
      </w:pPr>
      <w:r>
        <w:rPr>
          <w:b/>
          <w:i w:val="0"/>
          <w:sz w:val="22"/>
        </w:rPr>
        <w:t>pip install -r requirements.txt</w:t>
      </w:r>
    </w:p>
    <w:p>
      <w:pPr>
        <w:pStyle w:val="Heading2"/>
      </w:pPr>
      <w:r>
        <w:rPr>
          <w:color w:val="2E74B5"/>
          <w:sz w:val="26"/>
        </w:rPr>
        <w:t>32.3 Run the Application</w:t>
      </w:r>
    </w:p>
    <w:p>
      <w:pPr>
        <w:spacing w:after="160"/>
      </w:pPr>
      <w:r>
        <w:rPr>
          <w:b/>
          <w:i w:val="0"/>
          <w:sz w:val="22"/>
        </w:rPr>
        <w:t>streamlit run app.py</w:t>
      </w:r>
    </w:p>
    <w:p>
      <w:pPr>
        <w:spacing w:after="320"/>
      </w:pPr>
      <w:r>
        <w:rPr>
          <w:b w:val="0"/>
          <w:i w:val="0"/>
          <w:sz w:val="22"/>
        </w:rPr>
        <w:t>The application opens automatically at http://localhost:8501. First load caches the dataset; subsequent navigation is instantaneous.</w:t>
      </w:r>
    </w:p>
    <w:p>
      <w:pPr>
        <w:pStyle w:val="Heading1"/>
      </w:pPr>
      <w:r>
        <w:rPr>
          <w:color w:val="1F4E79"/>
          <w:sz w:val="32"/>
        </w:rPr>
        <w:t>33. Conclusion</w:t>
      </w:r>
    </w:p>
    <w:p>
      <w:pPr>
        <w:spacing w:after="160"/>
      </w:pPr>
      <w:r>
        <w:rPr>
          <w:b w:val="0"/>
          <w:i w:val="0"/>
          <w:sz w:val="22"/>
        </w:rPr>
        <w:t>This project successfully demonstrates a complete end-to-end data analytics and AI system built on a real-world Amazon India e-commerce dataset. Starting from raw CSV data with known quality issues (missing values, state name inconsistencies, junk columns), the system applies a systematic cleaning pipeline, engineers meaningful features, and presents insights through eight interactive dashboard modules.</w:t>
      </w:r>
    </w:p>
    <w:p>
      <w:pPr>
        <w:spacing w:after="160"/>
      </w:pPr>
      <w:r>
        <w:rPr>
          <w:b w:val="0"/>
          <w:i w:val="0"/>
          <w:sz w:val="22"/>
        </w:rPr>
        <w:t>The machine learning forecasting module, while constrained by the 91-day data window, provides a functional and transparent demand forecasting interface with real metric reporting. The AI Business Insights module delivers 12 data-driven recommendations computed entirely from live data, with no hardcoded values.</w:t>
      </w:r>
    </w:p>
    <w:p>
      <w:pPr>
        <w:spacing w:after="320"/>
      </w:pPr>
      <w:r>
        <w:rPr>
          <w:b w:val="0"/>
          <w:i w:val="0"/>
          <w:sz w:val="22"/>
        </w:rPr>
        <w:t>The project meets all stated objectives and demonstrates the practical application of data science, software engineering, and business intelligence principles in a single cohesive system. It serves as a solid foundation for extension with richer historical data, additional ML models, and real-time data integration.</w:t>
      </w:r>
    </w:p>
    <w:p>
      <w:pPr>
        <w:pStyle w:val="Heading1"/>
      </w:pPr>
      <w:r>
        <w:rPr>
          <w:color w:val="1F4E79"/>
          <w:sz w:val="32"/>
        </w:rPr>
        <w:t>34. References</w:t>
      </w:r>
    </w:p>
    <w:p>
      <w:pPr>
        <w:pStyle w:val="ListNumber"/>
        <w:spacing w:after="80"/>
      </w:pPr>
      <w:r>
        <w:rPr>
          <w:sz w:val="20"/>
        </w:rPr>
        <w:t>Pandas Development Team. (2024). pandas: powerful Python data analysis toolkit. https://pandas.pydata.org/docs/</w:t>
      </w:r>
    </w:p>
    <w:p>
      <w:pPr>
        <w:pStyle w:val="ListNumber"/>
        <w:spacing w:after="80"/>
      </w:pPr>
      <w:r>
        <w:rPr>
          <w:sz w:val="20"/>
        </w:rPr>
        <w:t>Plotly Technologies Inc. (2024). Plotly Python Graphing Library. https://plotly.com/python/</w:t>
      </w:r>
    </w:p>
    <w:p>
      <w:pPr>
        <w:pStyle w:val="ListNumber"/>
        <w:spacing w:after="80"/>
      </w:pPr>
      <w:r>
        <w:rPr>
          <w:sz w:val="20"/>
        </w:rPr>
        <w:t>Streamlit Inc. (2024). Streamlit Documentation. https://docs.streamlit.io/</w:t>
      </w:r>
    </w:p>
    <w:p>
      <w:pPr>
        <w:pStyle w:val="ListNumber"/>
        <w:spacing w:after="80"/>
      </w:pPr>
      <w:r>
        <w:rPr>
          <w:sz w:val="20"/>
        </w:rPr>
        <w:t>Pedregosa, F. et al. (2011). Scikit-learn: Machine Learning in Python. JMLR, 12, 2825-2830.</w:t>
      </w:r>
    </w:p>
    <w:p>
      <w:pPr>
        <w:pStyle w:val="ListNumber"/>
        <w:spacing w:after="80"/>
      </w:pPr>
      <w:r>
        <w:rPr>
          <w:sz w:val="20"/>
        </w:rPr>
        <w:t>Harris, C.R. et al. (2020). Array programming with NumPy. Nature, 585, 357-362.</w:t>
      </w:r>
    </w:p>
    <w:p>
      <w:pPr>
        <w:pStyle w:val="ListNumber"/>
        <w:spacing w:after="80"/>
      </w:pPr>
      <w:r>
        <w:rPr>
          <w:sz w:val="20"/>
        </w:rPr>
        <w:t>Breiman, L. (2001). Random Forests. Machine Learning, 45(1), 5-32.</w:t>
      </w:r>
    </w:p>
    <w:p>
      <w:pPr>
        <w:pStyle w:val="ListNumber"/>
        <w:spacing w:after="80"/>
      </w:pPr>
      <w:r>
        <w:rPr>
          <w:sz w:val="20"/>
        </w:rPr>
        <w:t>Friedman, J.H. (2001). Greedy function approximation: A gradient boosting machine. Annals of Statistics, 29(5), 1189-1232.</w:t>
      </w:r>
    </w:p>
    <w:p>
      <w:pPr>
        <w:pStyle w:val="ListNumber"/>
        <w:spacing w:after="80"/>
      </w:pPr>
      <w:r>
        <w:rPr>
          <w:sz w:val="20"/>
        </w:rPr>
        <w:t>Hyndman, R.J. &amp; Athanasopoulos, G. (2021). Forecasting: Principles and Practice (3rd ed.). OTexts.</w:t>
      </w:r>
    </w:p>
    <w:p>
      <w:pPr>
        <w:pStyle w:val="ListNumber"/>
        <w:spacing w:after="80"/>
      </w:pPr>
      <w:r>
        <w:rPr>
          <w:sz w:val="20"/>
        </w:rPr>
        <w:t>Amazon Seller Central. (2024). Sales Reports Documentation. https://sellercentral.amazon.in/</w:t>
      </w:r>
    </w:p>
    <w:p>
      <w:pPr>
        <w:pStyle w:val="ListNumber"/>
        <w:spacing w:after="80"/>
      </w:pPr>
      <w:r>
        <w:rPr>
          <w:sz w:val="20"/>
        </w:rPr>
        <w:t>Kaggle Dataset. Unlock Profits with E-Commerce Sales Data. https://www.kaggle.com/datasets/thedevastator/unlock-profits-with-e-commerce-sales-data</w:t>
      </w:r>
    </w:p>
    <w:p/>
    <w:p>
      <w:pPr>
        <w:spacing w:before="480"/>
        <w:jc w:val="center"/>
      </w:pPr>
      <w:r>
        <w:rPr>
          <w:i/>
          <w:color w:val="777777"/>
          <w:sz w:val="18"/>
        </w:rPr>
        <w:t>Report prepared by: IBM Internship Project  |  Application version: 1.0  |  Dataset: Amazon Sale Report.csv (128,975 rows, 91 days, Mar-Jun 2022)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