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40" w:before="0"/>
        <w:jc w:val="center"/>
      </w:pPr>
      <w:r>
        <w:rPr>
          <w:rFonts w:ascii="Arial" w:cs="Arial" w:eastAsia="Arial" w:hAnsi="Arial"/>
          <w:b/>
          <w:bCs/>
          <w:color w:val="0A1F3D"/>
          <w:sz w:val="64"/>
          <w:szCs w:val="64"/>
        </w:rPr>
        <w:t xml:space="preserve">CYBERFYX</w:t>
      </w:r>
    </w:p>
    <w:p>
      <w:pPr>
        <w:pBdr>
          <w:bottom w:val="single" w:color="E78731" w:sz="10" w:space="4"/>
        </w:pBdr>
        <w:spacing w:after="280" w:before="0"/>
        <w:jc w:val="center"/>
      </w:pPr>
      <w:r>
        <w:rPr>
          <w:rFonts w:ascii="Arial" w:cs="Arial" w:eastAsia="Arial" w:hAnsi="Arial"/>
          <w:b/>
          <w:bCs/>
          <w:color w:val="E78731"/>
          <w:sz w:val="36"/>
          <w:szCs w:val="36"/>
        </w:rPr>
        <w:t xml:space="preserve">Compliance Evaluation Chatbot</w:t>
      </w:r>
    </w:p>
    <w:p>
      <w:pPr>
        <w:spacing w:after="60" w:before="60"/>
      </w:pPr>
    </w:p>
    <w:p>
      <w:pPr>
        <w:spacing w:after="60" w:before="100"/>
        <w:jc w:val="center"/>
      </w:pPr>
      <w:r>
        <w:rPr>
          <w:rFonts w:ascii="Arial" w:cs="Arial" w:eastAsia="Arial" w:hAnsi="Arial"/>
          <w:b/>
          <w:bCs/>
          <w:color w:val="0A1F3D"/>
          <w:sz w:val="28"/>
          <w:szCs w:val="28"/>
        </w:rPr>
        <w:t xml:space="preserve">Technical Architecture &amp; Project Blueprint</w:t>
      </w:r>
    </w:p>
    <w:p>
      <w:pPr>
        <w:spacing w:after="40" w:before="0"/>
        <w:jc w:val="center"/>
      </w:pPr>
      <w:r>
        <w:rPr>
          <w:rFonts w:ascii="Arial" w:cs="Arial" w:eastAsia="Arial" w:hAnsi="Arial"/>
          <w:color w:val="6B6B6B"/>
          <w:sz w:val="22"/>
          <w:szCs w:val="22"/>
        </w:rPr>
        <w:t xml:space="preserve">ISO 27001 Readiness Assessment — Full Design Specification</w:t>
      </w:r>
    </w:p>
    <w:p>
      <w:pPr>
        <w:spacing w:after="60" w:before="60"/>
      </w:pPr>
    </w:p>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Prepared for</w:t>
            </w:r>
          </w:p>
        </w:tc>
        <w:tc>
          <w:tcPr>
            <w:tcW w:type="dxa" w:w="6240"/>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Cyberfyx — Technology &amp; Cybersecurity Division</w:t>
            </w:r>
          </w:p>
        </w:tc>
      </w:tr>
      <w:tr>
        <w:tc>
          <w:tcPr>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Document Type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Architecture Blueprint &amp; Project Proposal</w:t>
            </w:r>
          </w:p>
        </w:tc>
      </w:tr>
      <w:tr>
        <w:tc>
          <w:tcPr>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Version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v1.0 — Initial Release</w:t>
            </w:r>
          </w:p>
        </w:tc>
      </w:tr>
      <w:tr>
        <w:tc>
          <w:tcPr>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Classification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Confidential — Internal Use Only</w:t>
            </w:r>
          </w:p>
        </w:tc>
      </w:tr>
      <w:tr>
        <w:tc>
          <w:tcPr>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Date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18 April 2026</w:t>
            </w:r>
          </w:p>
        </w:tc>
      </w:tr>
    </w:tbl>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1. Executive Summary</w:t>
      </w:r>
    </w:p>
    <w:p>
      <w:pPr>
        <w:spacing w:after="120" w:before="80"/>
      </w:pPr>
      <w:r>
        <w:rPr>
          <w:rFonts w:ascii="Arial" w:cs="Arial" w:eastAsia="Arial" w:hAnsi="Arial"/>
          <w:color w:val="1A1A1A"/>
          <w:sz w:val="20"/>
          <w:szCs w:val="20"/>
        </w:rPr>
        <w:t xml:space="preserve">Cyberfyx requires a compliance evaluation chatbot to be embedded into its existing website. The chatbot will enable prospective clients to self-assess their ISO 27001 maturity level in under 5 minutes, receive a personalised compliance score with a prioritised gap report, and be guided toward engaging Cyberfyx services.</w:t>
      </w:r>
    </w:p>
    <w:p>
      <w:pPr>
        <w:spacing w:after="120" w:before="80"/>
      </w:pPr>
      <w:r>
        <w:rPr>
          <w:rFonts w:ascii="Arial" w:cs="Arial" w:eastAsia="Arial" w:hAnsi="Arial"/>
          <w:color w:val="1A1A1A"/>
          <w:sz w:val="20"/>
          <w:szCs w:val="20"/>
        </w:rPr>
        <w:t xml:space="preserve">This document serves as the complete technical blueprint — covering what will be built, how it works, the algorithm powering it, the technology stack, integration approach, and everything required to build and deploy it successfully.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Dimension</w:t>
            </w:r>
          </w:p>
        </w:tc>
        <w:tc>
          <w:tcPr>
            <w:tcW w:type="dxa" w:w="62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Decision</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Chatbot Type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Deterministic FSM — no AI/LLM required</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Scoring Algorithm</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Weighted Scoring Engine (WSE) — ISO 27001 domain weights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Architecture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100% client-side TypeScript — zero new backend services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Lead Capture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Google Forms (existing integration pattern)</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New Dependencies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Zero — no new npm packages or infrastructure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Integration Effort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 lines added to existing BaseLayout.astro</w:t>
            </w:r>
          </w:p>
        </w:tc>
      </w:tr>
    </w:tbl>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2. Problem Statement</w:t>
      </w:r>
    </w:p>
    <w:p>
      <w:pPr>
        <w:pStyle w:val="Heading2"/>
        <w:spacing w:after="120" w:before="280"/>
      </w:pPr>
      <w:r>
        <w:rPr>
          <w:rFonts w:ascii="Arial" w:cs="Arial" w:eastAsia="Arial" w:hAnsi="Arial"/>
          <w:b/>
          <w:bCs/>
          <w:color w:val="0A1F3D"/>
          <w:sz w:val="26"/>
          <w:szCs w:val="26"/>
        </w:rPr>
        <w:t xml:space="preserve">2.1  Business Need</w:t>
      </w:r>
    </w:p>
    <w:p>
      <w:pPr>
        <w:spacing w:after="120" w:before="80"/>
      </w:pPr>
      <w:r>
        <w:rPr>
          <w:rFonts w:ascii="Arial" w:cs="Arial" w:eastAsia="Arial" w:hAnsi="Arial"/>
          <w:color w:val="1A1A1A"/>
          <w:sz w:val="20"/>
          <w:szCs w:val="20"/>
        </w:rPr>
        <w:t xml:space="preserve">Cyberfyx's target clients — mid-size and enterprise organisations in India — need to understand their ISO 27001 compliance posture before committing to a full engagement. Currently there is no automated way on the website for a prospect to self-evaluate. This creates friction in the sales process and delays lead qualification.</w:t>
      </w:r>
    </w:p>
    <w:p>
      <w:pPr>
        <w:pStyle w:val="Heading2"/>
        <w:spacing w:after="120" w:before="280"/>
      </w:pPr>
      <w:r>
        <w:rPr>
          <w:rFonts w:ascii="Arial" w:cs="Arial" w:eastAsia="Arial" w:hAnsi="Arial"/>
          <w:b/>
          <w:bCs/>
          <w:color w:val="0A1F3D"/>
          <w:sz w:val="26"/>
          <w:szCs w:val="26"/>
        </w:rPr>
        <w:t xml:space="preserve">2.2  Objectives</w:t>
      </w:r>
    </w:p>
    <w:p>
      <w:pPr>
        <w:pStyle w:val="ListParagraph"/>
        <w:numPr>
          <w:ilvl w:val="0"/>
          <w:numId w:val="2"/>
        </w:numPr>
        <w:spacing w:after="60" w:before="60"/>
      </w:pPr>
      <w:r>
        <w:rPr>
          <w:rFonts w:ascii="Arial" w:cs="Arial" w:eastAsia="Arial" w:hAnsi="Arial"/>
          <w:color w:val="1A1A1A"/>
          <w:sz w:val="20"/>
          <w:szCs w:val="20"/>
        </w:rPr>
        <w:t xml:space="preserve">Provide a free, instant ISO 27001 maturity self-assessment on the Cyberfyx website</w:t>
      </w:r>
    </w:p>
    <w:p>
      <w:pPr>
        <w:pStyle w:val="ListParagraph"/>
        <w:numPr>
          <w:ilvl w:val="0"/>
          <w:numId w:val="2"/>
        </w:numPr>
        <w:spacing w:after="60" w:before="60"/>
      </w:pPr>
      <w:r>
        <w:rPr>
          <w:rFonts w:ascii="Arial" w:cs="Arial" w:eastAsia="Arial" w:hAnsi="Arial"/>
          <w:color w:val="1A1A1A"/>
          <w:sz w:val="20"/>
          <w:szCs w:val="20"/>
        </w:rPr>
        <w:t xml:space="preserve">Score prospects across 16 ISO 27001 control domains with weighted importance</w:t>
      </w:r>
    </w:p>
    <w:p>
      <w:pPr>
        <w:pStyle w:val="ListParagraph"/>
        <w:numPr>
          <w:ilvl w:val="0"/>
          <w:numId w:val="2"/>
        </w:numPr>
        <w:spacing w:after="60" w:before="60"/>
      </w:pPr>
      <w:r>
        <w:rPr>
          <w:rFonts w:ascii="Arial" w:cs="Arial" w:eastAsia="Arial" w:hAnsi="Arial"/>
          <w:color w:val="1A1A1A"/>
          <w:sz w:val="20"/>
          <w:szCs w:val="20"/>
        </w:rPr>
        <w:t xml:space="preserve">Generate a personalised maturity report (High / Medium / Low) with specific gaps</w:t>
      </w:r>
    </w:p>
    <w:p>
      <w:pPr>
        <w:pStyle w:val="ListParagraph"/>
        <w:numPr>
          <w:ilvl w:val="0"/>
          <w:numId w:val="2"/>
        </w:numPr>
        <w:spacing w:after="60" w:before="60"/>
      </w:pPr>
      <w:r>
        <w:rPr>
          <w:rFonts w:ascii="Arial" w:cs="Arial" w:eastAsia="Arial" w:hAnsi="Arial"/>
          <w:color w:val="1A1A1A"/>
          <w:sz w:val="20"/>
          <w:szCs w:val="20"/>
        </w:rPr>
        <w:t xml:space="preserve">Capture lead data (name, email, company) automatically for the sales team</w:t>
      </w:r>
    </w:p>
    <w:p>
      <w:pPr>
        <w:pStyle w:val="ListParagraph"/>
        <w:numPr>
          <w:ilvl w:val="0"/>
          <w:numId w:val="2"/>
        </w:numPr>
        <w:spacing w:after="60" w:before="60"/>
      </w:pPr>
      <w:r>
        <w:rPr>
          <w:rFonts w:ascii="Arial" w:cs="Arial" w:eastAsia="Arial" w:hAnsi="Arial"/>
          <w:color w:val="1A1A1A"/>
          <w:sz w:val="20"/>
          <w:szCs w:val="20"/>
        </w:rPr>
        <w:t xml:space="preserve">Recommend Cyberfyx services contextually based on the assessment result</w:t>
      </w:r>
    </w:p>
    <w:p>
      <w:pPr>
        <w:pStyle w:val="ListParagraph"/>
        <w:numPr>
          <w:ilvl w:val="0"/>
          <w:numId w:val="2"/>
        </w:numPr>
        <w:spacing w:after="60" w:before="60"/>
      </w:pPr>
      <w:r>
        <w:rPr>
          <w:rFonts w:ascii="Arial" w:cs="Arial" w:eastAsia="Arial" w:hAnsi="Arial"/>
          <w:color w:val="1A1A1A"/>
          <w:sz w:val="20"/>
          <w:szCs w:val="20"/>
        </w:rPr>
        <w:t xml:space="preserve">Integrate cleanly into the existing Astro website with zero infrastructure changes</w:t>
      </w:r>
    </w:p>
    <w:p>
      <w:pPr>
        <w:pStyle w:val="Heading2"/>
        <w:spacing w:after="120" w:before="280"/>
      </w:pPr>
      <w:r>
        <w:rPr>
          <w:rFonts w:ascii="Arial" w:cs="Arial" w:eastAsia="Arial" w:hAnsi="Arial"/>
          <w:b/>
          <w:bCs/>
          <w:color w:val="0A1F3D"/>
          <w:sz w:val="26"/>
          <w:szCs w:val="26"/>
        </w:rPr>
        <w:t xml:space="preserve">2.3  Why Not an AI/LLM Approach</w:t>
      </w:r>
    </w:p>
    <w:p>
      <w:pPr>
        <w:spacing w:after="120" w:before="80"/>
      </w:pPr>
      <w:r>
        <w:rPr>
          <w:rFonts w:ascii="Arial" w:cs="Arial" w:eastAsia="Arial" w:hAnsi="Arial"/>
          <w:color w:val="1A1A1A"/>
          <w:sz w:val="20"/>
          <w:szCs w:val="20"/>
        </w:rPr>
        <w:t xml:space="preserve">The assessment is a structured, deterministic process with 16 fixed questions, 3 fixed answer options, and a mathematically defined scoring formula. An LLM would add:</w:t>
      </w:r>
    </w:p>
    <w:p>
      <w:pPr>
        <w:pStyle w:val="ListParagraph"/>
        <w:numPr>
          <w:ilvl w:val="0"/>
          <w:numId w:val="2"/>
        </w:numPr>
        <w:spacing w:after="60" w:before="60"/>
      </w:pPr>
      <w:r>
        <w:rPr>
          <w:rFonts w:ascii="Arial" w:cs="Arial" w:eastAsia="Arial" w:hAnsi="Arial"/>
          <w:color w:val="1A1A1A"/>
          <w:sz w:val="20"/>
          <w:szCs w:val="20"/>
        </w:rPr>
        <w:t xml:space="preserve">API cost per conversation (unnecessary for a fixed Q&amp;A flow)</w:t>
      </w:r>
    </w:p>
    <w:p>
      <w:pPr>
        <w:pStyle w:val="ListParagraph"/>
        <w:numPr>
          <w:ilvl w:val="0"/>
          <w:numId w:val="2"/>
        </w:numPr>
        <w:spacing w:after="60" w:before="60"/>
      </w:pPr>
      <w:r>
        <w:rPr>
          <w:rFonts w:ascii="Arial" w:cs="Arial" w:eastAsia="Arial" w:hAnsi="Arial"/>
          <w:color w:val="1A1A1A"/>
          <w:sz w:val="20"/>
          <w:szCs w:val="20"/>
        </w:rPr>
        <w:t xml:space="preserve">Latency (network round-trip on every message vs. instant local execution)</w:t>
      </w:r>
    </w:p>
    <w:p>
      <w:pPr>
        <w:pStyle w:val="ListParagraph"/>
        <w:numPr>
          <w:ilvl w:val="0"/>
          <w:numId w:val="2"/>
        </w:numPr>
        <w:spacing w:after="60" w:before="60"/>
      </w:pPr>
      <w:r>
        <w:rPr>
          <w:rFonts w:ascii="Arial" w:cs="Arial" w:eastAsia="Arial" w:hAnsi="Arial"/>
          <w:color w:val="1A1A1A"/>
          <w:sz w:val="20"/>
          <w:szCs w:val="20"/>
        </w:rPr>
        <w:t xml:space="preserve">Non-determinism (same answers could yield different scores — unacceptable for compliance)</w:t>
      </w:r>
    </w:p>
    <w:p>
      <w:pPr>
        <w:pStyle w:val="ListParagraph"/>
        <w:numPr>
          <w:ilvl w:val="0"/>
          <w:numId w:val="2"/>
        </w:numPr>
        <w:spacing w:after="60" w:before="60"/>
      </w:pPr>
      <w:r>
        <w:rPr>
          <w:rFonts w:ascii="Arial" w:cs="Arial" w:eastAsia="Arial" w:hAnsi="Arial"/>
          <w:color w:val="1A1A1A"/>
          <w:sz w:val="20"/>
          <w:szCs w:val="20"/>
        </w:rPr>
        <w:t xml:space="preserve">Complexity (prompt engineering, hallucination risk, token management)</w:t>
      </w:r>
    </w:p>
    <w:p>
      <w:pPr>
        <w:pBdr>
          <w:left w:val="single" w:color="E78731" w:sz="14"/>
        </w:pBdr>
        <w:shd w:fill="FEF3E2" w:val="clear"/>
        <w:spacing w:after="0" w:before="120"/>
        <w:ind w:left="160" w:right="160"/>
      </w:pPr>
      <w:r>
        <w:rPr>
          <w:rFonts w:ascii="Arial" w:cs="Arial" w:eastAsia="Arial" w:hAnsi="Arial"/>
          <w:b/>
          <w:bCs/>
          <w:color w:val="E78731"/>
          <w:sz w:val="20"/>
          <w:szCs w:val="20"/>
        </w:rPr>
        <w:t xml:space="preserve">Decision:  </w:t>
      </w:r>
      <w:r>
        <w:rPr>
          <w:rFonts w:ascii="Arial" w:cs="Arial" w:eastAsia="Arial" w:hAnsi="Arial"/>
          <w:color w:val="1A1A1A"/>
          <w:sz w:val="20"/>
          <w:szCs w:val="20"/>
        </w:rPr>
        <w:t xml:space="preserve">A pure TypeScript Finite State Machine with a Weighted Scoring Engine is the correct — and superior — architecture for this use case.</w:t>
      </w:r>
    </w:p>
    <w:p>
      <w:pPr>
        <w:spacing w:after="120" w:before="0"/>
      </w:pPr>
    </w:p>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3. System Architecture</w:t>
      </w:r>
    </w:p>
    <w:p>
      <w:pPr>
        <w:pStyle w:val="Heading2"/>
        <w:spacing w:after="120" w:before="280"/>
      </w:pPr>
      <w:r>
        <w:rPr>
          <w:rFonts w:ascii="Arial" w:cs="Arial" w:eastAsia="Arial" w:hAnsi="Arial"/>
          <w:b/>
          <w:bCs/>
          <w:color w:val="0A1F3D"/>
          <w:sz w:val="26"/>
          <w:szCs w:val="26"/>
        </w:rPr>
        <w:t xml:space="preserve">3.1  High-Level Architecture</w:t>
      </w:r>
    </w:p>
    <w:p>
      <w:pPr>
        <w:spacing w:after="120" w:before="80"/>
      </w:pPr>
      <w:r>
        <w:rPr>
          <w:rFonts w:ascii="Arial" w:cs="Arial" w:eastAsia="Arial" w:hAnsi="Arial"/>
          <w:color w:val="1A1A1A"/>
          <w:sz w:val="20"/>
          <w:szCs w:val="20"/>
        </w:rPr>
        <w:t xml:space="preserve">The chatbot is a self-contained client-side module that runs entirely in the visitor's browser. It consists of four layers: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Layer</w:t>
            </w:r>
          </w:p>
        </w:tc>
        <w:tc>
          <w:tcPr>
            <w:tcW w:type="dxa" w:w="31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Component</w:t>
            </w:r>
          </w:p>
        </w:tc>
        <w:tc>
          <w:tcPr>
            <w:tcW w:type="dxa" w:w="390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Responsibility</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Presentation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ChatbotWidget.astro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Floating button + slide-up chat panel (HTML skeleton)</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Controller</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chatbot.ts (FSM)</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Manages conversation state, renders messages, collects answers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Algorithm</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scoring-engine.ts (WSE)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Computes weighted compliance score from 16 domain answers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Data</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chatbot-questions.ts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16 domain configs: questions, weights, gaps, recommendations</w:t>
            </w:r>
          </w:p>
        </w:tc>
      </w:tr>
    </w:tbl>
    <w:p>
      <w:pPr>
        <w:spacing w:after="60" w:before="60"/>
      </w:pPr>
    </w:p>
    <w:p>
      <w:pPr>
        <w:pStyle w:val="Heading2"/>
        <w:spacing w:after="120" w:before="280"/>
      </w:pPr>
      <w:r>
        <w:rPr>
          <w:rFonts w:ascii="Arial" w:cs="Arial" w:eastAsia="Arial" w:hAnsi="Arial"/>
          <w:b/>
          <w:bCs/>
          <w:color w:val="0A1F3D"/>
          <w:sz w:val="26"/>
          <w:szCs w:val="26"/>
        </w:rPr>
        <w:t xml:space="preserve">3.2  Component Diagram</w:t>
      </w:r>
    </w:p>
    <w:p>
      <w:pPr>
        <w:spacing w:after="120" w:before="80"/>
      </w:pPr>
      <w:r>
        <w:rPr>
          <w:rFonts w:ascii="Arial" w:cs="Arial" w:eastAsia="Arial" w:hAnsi="Arial"/>
          <w:color w:val="1A1A1A"/>
          <w:sz w:val="20"/>
          <w:szCs w:val="20"/>
        </w:rPr>
        <w:t xml:space="preserve">The following shows how the components interact at runtime: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4D0C8" w:sz="1"/>
              <w:left w:val="single" w:color="D4D0C8" w:sz="1"/>
              <w:bottom w:val="single" w:color="D4D0C8" w:sz="1"/>
              <w:right w:val="single" w:color="D4D0C8" w:sz="1"/>
            </w:tcBorders>
            <w:shd w:fill="F0EDE8" w:val="clear"/>
            <w:tcMar>
              <w:top w:type="dxa" w:w="160"/>
              <w:left w:type="dxa" w:w="220"/>
              <w:bottom w:type="dxa" w:w="160"/>
              <w:right w:type="dxa" w:w="220"/>
            </w:tcMar>
          </w:tcPr>
          <w:p>
            <w:pPr>
              <w:spacing w:after="40" w:before="60"/>
            </w:pPr>
            <w:r>
              <w:rPr>
                <w:rFonts w:ascii="Courier New" w:cs="Courier New" w:eastAsia="Courier New" w:hAnsi="Courier New"/>
                <w:b/>
                <w:bCs/>
                <w:color w:val="0A1F3D"/>
                <w:sz w:val="18"/>
                <w:szCs w:val="18"/>
              </w:rPr>
              <w:t xml:space="preserve">Browser (Client-Side Only)</w:t>
            </w:r>
          </w:p>
          <w:p>
            <w:pPr>
              <w:spacing w:after="20" w:before="4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ChatbotWidget.astro  (HTML + CSS skeleton)  │</w:t>
            </w:r>
          </w:p>
          <w:p>
            <w:pPr>
              <w:spacing w:after="0" w:before="0"/>
            </w:pPr>
            <w:r>
              <w:rPr>
                <w:rFonts w:ascii="Courier New" w:cs="Courier New" w:eastAsia="Courier New" w:hAnsi="Courier New"/>
                <w:color w:val="1A1A1A"/>
                <w:sz w:val="16"/>
                <w:szCs w:val="16"/>
              </w:rPr>
              <w:t xml:space="preserve">  │         ↕ DOM events                         │</w:t>
            </w:r>
          </w:p>
          <w:p>
            <w:pPr>
              <w:spacing w:after="0" w:before="0"/>
            </w:pPr>
            <w:r>
              <w:rPr>
                <w:rFonts w:ascii="Courier New" w:cs="Courier New" w:eastAsia="Courier New" w:hAnsi="Courier New"/>
                <w:color w:val="1A1A1A"/>
                <w:sz w:val="16"/>
                <w:szCs w:val="16"/>
              </w:rPr>
              <w:t xml:space="preserve">  │  chatbot.ts  ──── FSM Controller             │</w:t>
            </w:r>
          </w:p>
          <w:p>
            <w:pPr>
              <w:spacing w:after="0" w:before="0"/>
            </w:pPr>
            <w:r>
              <w:rPr>
                <w:rFonts w:ascii="Courier New" w:cs="Courier New" w:eastAsia="Courier New" w:hAnsi="Courier New"/>
                <w:color w:val="1A1A1A"/>
                <w:sz w:val="16"/>
                <w:szCs w:val="16"/>
              </w:rPr>
              <w:t xml:space="preserve">  │       │  calls compute(answers)              │</w:t>
            </w:r>
          </w:p>
          <w:p>
            <w:pPr>
              <w:spacing w:after="0" w:before="0"/>
            </w:pPr>
            <w:r>
              <w:rPr>
                <w:rFonts w:ascii="Courier New" w:cs="Courier New" w:eastAsia="Courier New" w:hAnsi="Courier New"/>
                <w:color w:val="1A1A1A"/>
                <w:sz w:val="16"/>
                <w:szCs w:val="16"/>
              </w:rPr>
              <w:t xml:space="preserve">  │  scoring-engine.ts  ──── WSE Algorithm       │</w:t>
            </w:r>
          </w:p>
          <w:p>
            <w:pPr>
              <w:spacing w:after="0" w:before="0"/>
            </w:pPr>
            <w:r>
              <w:rPr>
                <w:rFonts w:ascii="Courier New" w:cs="Courier New" w:eastAsia="Courier New" w:hAnsi="Courier New"/>
                <w:color w:val="1A1A1A"/>
                <w:sz w:val="16"/>
                <w:szCs w:val="16"/>
              </w:rPr>
              <w:t xml:space="preserve">  │       │  reads domain config                 │</w:t>
            </w:r>
          </w:p>
          <w:p>
            <w:pPr>
              <w:spacing w:after="0" w:before="0"/>
            </w:pPr>
            <w:r>
              <w:rPr>
                <w:rFonts w:ascii="Courier New" w:cs="Courier New" w:eastAsia="Courier New" w:hAnsi="Courier New"/>
                <w:color w:val="1A1A1A"/>
                <w:sz w:val="16"/>
                <w:szCs w:val="16"/>
              </w:rPr>
              <w:t xml:space="preserve">  │  chatbot-questions.ts  ──── Data Layer       │</w:t>
            </w:r>
          </w:p>
          <w:p>
            <w:pPr>
              <w:spacing w:after="20" w:before="0"/>
            </w:pPr>
            <w:r>
              <w:rPr>
                <w:rFonts w:ascii="Courier New" w:cs="Courier New" w:eastAsia="Courier New" w:hAnsi="Courier New"/>
                <w:color w:val="1A1A1A"/>
                <w:sz w:val="16"/>
                <w:szCs w:val="16"/>
              </w:rPr>
              <w:t xml:space="preserve">  └──────────────────────────────────────────────┘</w:t>
            </w:r>
          </w:p>
          <w:p>
            <w:pPr>
              <w:spacing w:after="60" w:before="40"/>
            </w:pPr>
            <w:r>
              <w:rPr>
                <w:rFonts w:ascii="Courier New" w:cs="Courier New" w:eastAsia="Courier New" w:hAnsi="Courier New"/>
                <w:color w:val="1A1A1A"/>
                <w:sz w:val="16"/>
                <w:szCs w:val="16"/>
              </w:rPr>
              <w:t xml:space="preserve">         ↓  fire-and-forget POST (no-cors)      </w:t>
            </w:r>
          </w:p>
          <w:p>
            <w:pPr>
              <w:spacing w:after="60" w:before="0"/>
            </w:pPr>
            <w:r>
              <w:rPr>
                <w:rFonts w:ascii="Courier New" w:cs="Courier New" w:eastAsia="Courier New" w:hAnsi="Courier New"/>
                <w:color w:val="1A1A1A"/>
                <w:sz w:val="16"/>
                <w:szCs w:val="16"/>
              </w:rPr>
              <w:t xml:space="preserve">  Google Forms  ──── Lead Capture (existing)    </w:t>
            </w:r>
          </w:p>
        </w:tc>
      </w:tr>
    </w:tbl>
    <w:p>
      <w:pPr>
        <w:spacing w:after="60" w:before="60"/>
      </w:pPr>
    </w:p>
    <w:p>
      <w:pPr>
        <w:pStyle w:val="Heading2"/>
        <w:spacing w:after="120" w:before="280"/>
      </w:pPr>
      <w:r>
        <w:rPr>
          <w:rFonts w:ascii="Arial" w:cs="Arial" w:eastAsia="Arial" w:hAnsi="Arial"/>
          <w:b/>
          <w:bCs/>
          <w:color w:val="0A1F3D"/>
          <w:sz w:val="26"/>
          <w:szCs w:val="26"/>
        </w:rPr>
        <w:t xml:space="preserve">3.3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Technology</w:t>
            </w:r>
          </w:p>
        </w:tc>
        <w:tc>
          <w:tcPr>
            <w:tcW w:type="dxa" w:w="15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Version</w:t>
            </w:r>
          </w:p>
        </w:tc>
        <w:tc>
          <w:tcPr>
            <w:tcW w:type="dxa" w:w="500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Role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Astro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4.x</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Frontend framework — ChatbotWidget.astro component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TypeScript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5.x</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FSM engine, scoring algorithm, question data</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Vanilla CSS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CSS3</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Widget styles, light/dark mode, responsive layout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Google Forms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Existing</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Lead data submission (name, email, company, score)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Cloudflare Workers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Existing</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Deployment (no changes needed)</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Font Awesome 6</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Existing</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Icons in chatbot UI (already loaded globally)</w:t>
            </w:r>
          </w:p>
        </w:tc>
      </w:tr>
    </w:tbl>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4. The Scoring Algorithm — Weighted Scoring Engine (WSE)</w:t>
      </w:r>
    </w:p>
    <w:p>
      <w:pPr>
        <w:pStyle w:val="Heading2"/>
        <w:spacing w:after="120" w:before="280"/>
      </w:pPr>
      <w:r>
        <w:rPr>
          <w:rFonts w:ascii="Arial" w:cs="Arial" w:eastAsia="Arial" w:hAnsi="Arial"/>
          <w:b/>
          <w:bCs/>
          <w:color w:val="0A1F3D"/>
          <w:sz w:val="26"/>
          <w:szCs w:val="26"/>
        </w:rPr>
        <w:t xml:space="preserve">4.1  Why Weighted Scoring</w:t>
      </w:r>
    </w:p>
    <w:p>
      <w:pPr>
        <w:spacing w:after="120" w:before="80"/>
      </w:pPr>
      <w:r>
        <w:rPr>
          <w:rFonts w:ascii="Arial" w:cs="Arial" w:eastAsia="Arial" w:hAnsi="Arial"/>
          <w:color w:val="1A1A1A"/>
          <w:sz w:val="20"/>
          <w:szCs w:val="20"/>
        </w:rPr>
        <w:t xml:space="preserve">Not all ISO 27001 controls carry equal business risk. A missing Governance structure (which forms the backbone of any ISMS) is far more critical than a gap in Supplier Security documentation. The WSE assigns a weight multiplier to each domain reflecting its relative importance, so the final score accurately represents true compliance risk.</w:t>
      </w:r>
    </w:p>
    <w:p>
      <w:pPr>
        <w:pStyle w:val="Heading2"/>
        <w:spacing w:after="120" w:before="280"/>
      </w:pPr>
      <w:r>
        <w:rPr>
          <w:rFonts w:ascii="Arial" w:cs="Arial" w:eastAsia="Arial" w:hAnsi="Arial"/>
          <w:b/>
          <w:bCs/>
          <w:color w:val="0A1F3D"/>
          <w:sz w:val="26"/>
          <w:szCs w:val="26"/>
        </w:rPr>
        <w:t xml:space="preserve">4.2  The Formula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4D0C8" w:sz="1"/>
              <w:left w:val="single" w:color="E78731" w:sz="14"/>
              <w:bottom w:val="single" w:color="D4D0C8" w:sz="1"/>
              <w:right w:val="single" w:color="D4D0C8" w:sz="1"/>
            </w:tcBorders>
            <w:shd w:fill="F5F3EE" w:val="clear"/>
            <w:tcMar>
              <w:top w:type="dxa" w:w="160"/>
              <w:left w:type="dxa" w:w="220"/>
              <w:bottom w:type="dxa" w:w="160"/>
              <w:right w:type="dxa" w:w="220"/>
            </w:tcMar>
          </w:tcPr>
          <w:p>
            <w:pPr>
              <w:spacing w:after="40" w:before="40"/>
            </w:pPr>
            <w:r>
              <w:rPr>
                <w:rFonts w:ascii="Courier New" w:cs="Courier New" w:eastAsia="Courier New" w:hAnsi="Courier New"/>
                <w:b/>
                <w:bCs/>
                <w:color w:val="0A1F3D"/>
                <w:sz w:val="22"/>
                <w:szCs w:val="22"/>
              </w:rPr>
              <w:t xml:space="preserve">score_i  =  answer_value_i  ×  weight_i</w:t>
            </w:r>
          </w:p>
          <w:p>
            <w:pPr>
              <w:spacing w:after="40" w:before="40"/>
            </w:pPr>
            <w:r>
              <w:rPr>
                <w:rFonts w:ascii="Courier New" w:cs="Courier New" w:eastAsia="Courier New" w:hAnsi="Courier New"/>
                <w:b/>
                <w:bCs/>
                <w:color w:val="0A1F3D"/>
                <w:sz w:val="22"/>
                <w:szCs w:val="22"/>
              </w:rPr>
              <w:t xml:space="preserve">percentage  =  ( Σ score_i  /  30 )  ×  100</w:t>
            </w:r>
          </w:p>
          <w:p>
            <w:pPr>
              <w:spacing w:after="20" w:before="60"/>
            </w:pPr>
            <w:r>
              <w:rPr>
                <w:rFonts w:ascii="Courier New" w:cs="Courier New" w:eastAsia="Courier New" w:hAnsi="Courier New"/>
                <w:color w:val="6B6B6B"/>
                <w:sz w:val="18"/>
                <w:szCs w:val="18"/>
              </w:rPr>
              <w:t xml:space="preserve">where:  YES = 1.0   |   PARTIAL = 0.5   |   NO = 0.0</w:t>
            </w:r>
          </w:p>
        </w:tc>
      </w:tr>
    </w:tbl>
    <w:p>
      <w:pPr>
        <w:spacing w:after="60" w:before="60"/>
      </w:pPr>
    </w:p>
    <w:p>
      <w:pPr>
        <w:pStyle w:val="Heading2"/>
        <w:spacing w:after="120" w:before="280"/>
      </w:pPr>
      <w:r>
        <w:rPr>
          <w:rFonts w:ascii="Arial" w:cs="Arial" w:eastAsia="Arial" w:hAnsi="Arial"/>
          <w:b/>
          <w:bCs/>
          <w:color w:val="0A1F3D"/>
          <w:sz w:val="26"/>
          <w:szCs w:val="26"/>
        </w:rPr>
        <w:t xml:space="preserve">4.3  Domain Tiers &amp; Weight Assignment</w:t>
      </w:r>
    </w:p>
    <w:p>
      <w:pPr>
        <w:spacing w:after="120" w:before="80"/>
      </w:pPr>
      <w:r>
        <w:rPr>
          <w:rFonts w:ascii="Arial" w:cs="Arial" w:eastAsia="Arial" w:hAnsi="Arial"/>
          <w:color w:val="1A1A1A"/>
          <w:sz w:val="20"/>
          <w:szCs w:val="20"/>
        </w:rPr>
        <w:t xml:space="preserve">The 16 ISO 27001 domains are grouped into 3 tiers based on their criticality to overall security posture: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780"/>
        <w:gridCol w:w="4680"/>
        <w:gridCol w:w="1040"/>
        <w:gridCol w:w="1820"/>
      </w:tblGrid>
      <w:tr>
        <w:tc>
          <w:tcPr>
            <w:tcW w:type="dxa" w:w="10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Tier</w:t>
            </w:r>
          </w:p>
        </w:tc>
        <w:tc>
          <w:tcPr>
            <w:tcW w:type="dxa" w:w="78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Weight</w:t>
            </w:r>
          </w:p>
        </w:tc>
        <w:tc>
          <w:tcPr>
            <w:tcW w:type="dxa" w:w="468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Domains</w:t>
            </w:r>
          </w:p>
        </w:tc>
        <w:tc>
          <w:tcPr>
            <w:tcW w:type="dxa" w:w="10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Max Points</w:t>
            </w:r>
          </w:p>
        </w:tc>
        <w:tc>
          <w:tcPr>
            <w:tcW w:type="dxa" w:w="18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Rationale</w:t>
            </w:r>
          </w:p>
        </w:tc>
      </w:tr>
      <w:tr>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1 — Critical</w:t>
            </w:r>
          </w:p>
        </w:tc>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×3</w:t>
            </w:r>
          </w:p>
        </w:tc>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Governance, Risk Management, Internal Audit, Compliance Validation</w:t>
            </w:r>
          </w:p>
        </w:tc>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12 pts</w:t>
            </w:r>
          </w:p>
        </w:tc>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Foundation of ISMS; failure cascades to all other controls</w:t>
            </w:r>
          </w:p>
        </w:tc>
      </w:tr>
      <w:tr>
        <w:tc>
          <w:tcPr>
            <w:tcBorders>
              <w:top w:val="single" w:color="D4D0C8" w:sz="1"/>
              <w:left w:val="single" w:color="D4D0C8" w:sz="1"/>
              <w:bottom w:val="single" w:color="D4D0C8" w:sz="1"/>
              <w:right w:val="single" w:color="D4D0C8" w:sz="1"/>
            </w:tcBorders>
            <w:shd w:fill="FEF3E2"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2 — High Impact</w:t>
            </w:r>
          </w:p>
        </w:tc>
        <w:tc>
          <w:tcPr>
            <w:tcBorders>
              <w:top w:val="single" w:color="D4D0C8" w:sz="1"/>
              <w:left w:val="single" w:color="D4D0C8" w:sz="1"/>
              <w:bottom w:val="single" w:color="D4D0C8" w:sz="1"/>
              <w:right w:val="single" w:color="D4D0C8" w:sz="1"/>
            </w:tcBorders>
            <w:shd w:fill="FEF3E2"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×2</w:t>
            </w:r>
          </w:p>
        </w:tc>
        <w:tc>
          <w:tcPr>
            <w:tcBorders>
              <w:top w:val="single" w:color="D4D0C8" w:sz="1"/>
              <w:left w:val="single" w:color="D4D0C8" w:sz="1"/>
              <w:bottom w:val="single" w:color="D4D0C8" w:sz="1"/>
              <w:right w:val="single" w:color="D4D0C8" w:sz="1"/>
            </w:tcBorders>
            <w:shd w:fill="FEF3E2"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Access Control, Incident Management, Resilience, Vulnerability Mgmt, Data Protection, CERT-In Compliance</w:t>
            </w:r>
          </w:p>
        </w:tc>
        <w:tc>
          <w:tcPr>
            <w:tcBorders>
              <w:top w:val="single" w:color="D4D0C8" w:sz="1"/>
              <w:left w:val="single" w:color="D4D0C8" w:sz="1"/>
              <w:bottom w:val="single" w:color="D4D0C8" w:sz="1"/>
              <w:right w:val="single" w:color="D4D0C8" w:sz="1"/>
            </w:tcBorders>
            <w:shd w:fill="FEF3E2"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12 pts</w:t>
            </w:r>
          </w:p>
        </w:tc>
        <w:tc>
          <w:tcPr>
            <w:tcBorders>
              <w:top w:val="single" w:color="D4D0C8" w:sz="1"/>
              <w:left w:val="single" w:color="D4D0C8" w:sz="1"/>
              <w:bottom w:val="single" w:color="D4D0C8" w:sz="1"/>
              <w:right w:val="single" w:color="D4D0C8" w:sz="1"/>
            </w:tcBorders>
            <w:shd w:fill="FEF3E2"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Direct exposure to breaches, regulatory action, or data loss</w:t>
            </w:r>
          </w:p>
        </w:tc>
      </w:tr>
      <w:tr>
        <w:tc>
          <w:tcPr>
            <w:tcBorders>
              <w:top w:val="single" w:color="D4D0C8" w:sz="1"/>
              <w:left w:val="single" w:color="D4D0C8" w:sz="1"/>
              <w:bottom w:val="single" w:color="D4D0C8" w:sz="1"/>
              <w:right w:val="single" w:color="D4D0C8" w:sz="1"/>
            </w:tcBorders>
            <w:shd w:fill="F0F4F8"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3 — Operational</w:t>
            </w:r>
          </w:p>
        </w:tc>
        <w:tc>
          <w:tcPr>
            <w:tcBorders>
              <w:top w:val="single" w:color="D4D0C8" w:sz="1"/>
              <w:left w:val="single" w:color="D4D0C8" w:sz="1"/>
              <w:bottom w:val="single" w:color="D4D0C8" w:sz="1"/>
              <w:right w:val="single" w:color="D4D0C8" w:sz="1"/>
            </w:tcBorders>
            <w:shd w:fill="F0F4F8"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×1</w:t>
            </w:r>
          </w:p>
        </w:tc>
        <w:tc>
          <w:tcPr>
            <w:tcBorders>
              <w:top w:val="single" w:color="D4D0C8" w:sz="1"/>
              <w:left w:val="single" w:color="D4D0C8" w:sz="1"/>
              <w:bottom w:val="single" w:color="D4D0C8" w:sz="1"/>
              <w:right w:val="single" w:color="D4D0C8" w:sz="1"/>
            </w:tcBorders>
            <w:shd w:fill="F0F4F8"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Documentation, Monitoring, Awareness Training, Asset Management, Supplier Security, Change Management</w:t>
            </w:r>
          </w:p>
        </w:tc>
        <w:tc>
          <w:tcPr>
            <w:tcBorders>
              <w:top w:val="single" w:color="D4D0C8" w:sz="1"/>
              <w:left w:val="single" w:color="D4D0C8" w:sz="1"/>
              <w:bottom w:val="single" w:color="D4D0C8" w:sz="1"/>
              <w:right w:val="single" w:color="D4D0C8" w:sz="1"/>
            </w:tcBorders>
            <w:shd w:fill="F0F4F8"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6 pts</w:t>
            </w:r>
          </w:p>
        </w:tc>
        <w:tc>
          <w:tcPr>
            <w:tcBorders>
              <w:top w:val="single" w:color="D4D0C8" w:sz="1"/>
              <w:left w:val="single" w:color="D4D0C8" w:sz="1"/>
              <w:bottom w:val="single" w:color="D4D0C8" w:sz="1"/>
              <w:right w:val="single" w:color="D4D0C8" w:sz="1"/>
            </w:tcBorders>
            <w:shd w:fill="F0F4F8"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Operational hygiene; important but not existentially critical</w:t>
            </w:r>
          </w:p>
        </w:tc>
      </w:tr>
      <w:tr>
        <w:tc>
          <w:tcPr>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TOTAL</w:t>
            </w:r>
          </w:p>
        </w:tc>
        <w:tc>
          <w:tcPr>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w:t>
            </w:r>
          </w:p>
        </w:tc>
        <w:tc>
          <w:tcPr>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16 domains across 3 tiers</w:t>
            </w:r>
          </w:p>
        </w:tc>
        <w:tc>
          <w:tcPr>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30 pts</w:t>
            </w:r>
          </w:p>
        </w:tc>
        <w:tc>
          <w:tcPr>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Maximum achievable weighted score</w:t>
            </w:r>
          </w:p>
        </w:tc>
      </w:tr>
    </w:tbl>
    <w:p>
      <w:pPr>
        <w:spacing w:after="60" w:before="60"/>
      </w:pPr>
    </w:p>
    <w:p>
      <w:pPr>
        <w:pStyle w:val="Heading2"/>
        <w:spacing w:after="120" w:before="280"/>
      </w:pPr>
      <w:r>
        <w:rPr>
          <w:rFonts w:ascii="Arial" w:cs="Arial" w:eastAsia="Arial" w:hAnsi="Arial"/>
          <w:b/>
          <w:bCs/>
          <w:color w:val="0A1F3D"/>
          <w:sz w:val="26"/>
          <w:szCs w:val="26"/>
        </w:rPr>
        <w:t xml:space="preserve">4.4  Maturity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600"/>
        <w:gridCol w:w="2860"/>
      </w:tblGrid>
      <w:tr>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Level</w:t>
            </w:r>
          </w:p>
        </w:tc>
        <w:tc>
          <w:tcPr>
            <w:tcW w:type="dxa" w:w="15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Score Range</w:t>
            </w:r>
          </w:p>
        </w:tc>
        <w:tc>
          <w:tcPr>
            <w:tcW w:type="dxa" w:w="260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Assessment</w:t>
            </w:r>
          </w:p>
        </w:tc>
        <w:tc>
          <w:tcPr>
            <w:tcW w:type="dxa" w:w="28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Cyberfyx CTA</w:t>
            </w:r>
          </w:p>
        </w:tc>
      </w:tr>
      <w:tr>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High Maturity</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85%</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Controls largely in place. Minor improvements before audit.</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Pre-audit gap assessment &amp; certification readiness</w:t>
            </w:r>
          </w:p>
        </w:tc>
      </w:tr>
      <w:tr>
        <w:tc>
          <w:tcPr>
            <w:tcBorders>
              <w:top w:val="single" w:color="D4D0C8" w:sz="1"/>
              <w:left w:val="single" w:color="D4D0C8" w:sz="1"/>
              <w:bottom w:val="single" w:color="D4D0C8" w:sz="1"/>
              <w:right w:val="single" w:color="D4D0C8" w:sz="1"/>
            </w:tcBorders>
            <w:shd w:fill="FEF3E2"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 Medium Maturity</w:t>
            </w:r>
          </w:p>
        </w:tc>
        <w:tc>
          <w:tcPr>
            <w:tcBorders>
              <w:top w:val="single" w:color="D4D0C8" w:sz="1"/>
              <w:left w:val="single" w:color="D4D0C8" w:sz="1"/>
              <w:bottom w:val="single" w:color="D4D0C8" w:sz="1"/>
              <w:right w:val="single" w:color="D4D0C8" w:sz="1"/>
            </w:tcBorders>
            <w:shd w:fill="FEF3E2"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50–84%</w:t>
            </w:r>
          </w:p>
        </w:tc>
        <w:tc>
          <w:tcPr>
            <w:tcBorders>
              <w:top w:val="single" w:color="D4D0C8" w:sz="1"/>
              <w:left w:val="single" w:color="D4D0C8" w:sz="1"/>
              <w:bottom w:val="single" w:color="D4D0C8" w:sz="1"/>
              <w:right w:val="single" w:color="D4D0C8" w:sz="1"/>
            </w:tcBorders>
            <w:shd w:fill="FEF3E2"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Partial controls. Consistency and documentation gaps.</w:t>
            </w:r>
          </w:p>
        </w:tc>
        <w:tc>
          <w:tcPr>
            <w:tcBorders>
              <w:top w:val="single" w:color="D4D0C8" w:sz="1"/>
              <w:left w:val="single" w:color="D4D0C8" w:sz="1"/>
              <w:bottom w:val="single" w:color="D4D0C8" w:sz="1"/>
              <w:right w:val="single" w:color="D4D0C8" w:sz="1"/>
            </w:tcBorders>
            <w:shd w:fill="FEF3E2"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Structured gap assessment + remediation roadmap</w:t>
            </w:r>
          </w:p>
        </w:tc>
      </w:tr>
      <w:tr>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bCs/>
                <w:color w:val="DC2626"/>
                <w:sz w:val="18"/>
                <w:szCs w:val="18"/>
              </w:rPr>
              <w:t xml:space="preserve">🚨 Low Maturity</w:t>
            </w:r>
          </w:p>
        </w:tc>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bCs/>
                <w:color w:val="DC2626"/>
                <w:sz w:val="18"/>
                <w:szCs w:val="18"/>
              </w:rPr>
              <w:t xml:space="preserve">&lt; 50%</w:t>
            </w:r>
          </w:p>
        </w:tc>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Significant gaps. No structured ISMS in place.</w:t>
            </w:r>
          </w:p>
        </w:tc>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Full ISO 27001 implementation programme</w:t>
            </w:r>
          </w:p>
        </w:tc>
      </w:tr>
    </w:tbl>
    <w:p>
      <w:pPr>
        <w:spacing w:after="60" w:before="60"/>
      </w:pPr>
    </w:p>
    <w:p>
      <w:pPr>
        <w:pStyle w:val="Heading2"/>
        <w:spacing w:after="120" w:before="280"/>
      </w:pPr>
      <w:r>
        <w:rPr>
          <w:rFonts w:ascii="Arial" w:cs="Arial" w:eastAsia="Arial" w:hAnsi="Arial"/>
          <w:b/>
          <w:bCs/>
          <w:color w:val="0A1F3D"/>
          <w:sz w:val="26"/>
          <w:szCs w:val="26"/>
        </w:rPr>
        <w:t xml:space="preserve">4.5  Gap Detection &amp; Prioritisation</w:t>
      </w:r>
    </w:p>
    <w:p>
      <w:pPr>
        <w:spacing w:after="120" w:before="80"/>
      </w:pPr>
      <w:r>
        <w:rPr>
          <w:rFonts w:ascii="Arial" w:cs="Arial" w:eastAsia="Arial" w:hAnsi="Arial"/>
          <w:color w:val="1A1A1A"/>
          <w:sz w:val="20"/>
          <w:szCs w:val="20"/>
        </w:rPr>
        <w:t xml:space="preserve">For every domain answered "No" or "Partially", the WSE flags a gap. Gaps are then sorted by severity for the final report:</w:t>
      </w:r>
    </w:p>
    <w:p>
      <w:pPr>
        <w:pStyle w:val="ListParagraph"/>
        <w:numPr>
          <w:ilvl w:val="0"/>
          <w:numId w:val="2"/>
        </w:numPr>
        <w:spacing w:after="60" w:before="60"/>
      </w:pPr>
      <w:r>
        <w:rPr>
          <w:rFonts w:ascii="Arial" w:cs="Arial" w:eastAsia="Arial" w:hAnsi="Arial"/>
          <w:color w:val="1A1A1A"/>
          <w:sz w:val="20"/>
          <w:szCs w:val="20"/>
        </w:rPr>
        <w:t xml:space="preserve">Critical (weight ×3 + answer = No) — shown first, highlighted in red</w:t>
      </w:r>
    </w:p>
    <w:p>
      <w:pPr>
        <w:pStyle w:val="ListParagraph"/>
        <w:numPr>
          <w:ilvl w:val="0"/>
          <w:numId w:val="2"/>
        </w:numPr>
        <w:spacing w:after="60" w:before="60"/>
      </w:pPr>
      <w:r>
        <w:rPr>
          <w:rFonts w:ascii="Arial" w:cs="Arial" w:eastAsia="Arial" w:hAnsi="Arial"/>
          <w:color w:val="1A1A1A"/>
          <w:sz w:val="20"/>
          <w:szCs w:val="20"/>
        </w:rPr>
        <w:t xml:space="preserve">High (weight ×2 + answer = No) — shown second, highlighted in amber</w:t>
      </w:r>
    </w:p>
    <w:p>
      <w:pPr>
        <w:pStyle w:val="ListParagraph"/>
        <w:numPr>
          <w:ilvl w:val="0"/>
          <w:numId w:val="2"/>
        </w:numPr>
        <w:spacing w:after="60" w:before="60"/>
      </w:pPr>
      <w:r>
        <w:rPr>
          <w:rFonts w:ascii="Arial" w:cs="Arial" w:eastAsia="Arial" w:hAnsi="Arial"/>
          <w:color w:val="1A1A1A"/>
          <w:sz w:val="20"/>
          <w:szCs w:val="20"/>
        </w:rPr>
        <w:t xml:space="preserve">Medium (all Partial answers or weight ×1 gaps) — shown third, in gray</w:t>
      </w:r>
    </w:p>
    <w:p>
      <w:pPr>
        <w:spacing w:after="120" w:before="80"/>
      </w:pPr>
      <w:r>
        <w:rPr>
          <w:rFonts w:ascii="Arial" w:cs="Arial" w:eastAsia="Arial" w:hAnsi="Arial"/>
          <w:color w:val="1A1A1A"/>
          <w:sz w:val="20"/>
          <w:szCs w:val="20"/>
        </w:rPr>
        <w:t xml:space="preserve">Each gap entry includes the specific deficiency description and a concrete, actionable recommendation tied to the ISO 27001 clause.</w:t>
      </w:r>
    </w:p>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5. Conversation Flow &amp; State Machine</w:t>
      </w:r>
    </w:p>
    <w:p>
      <w:pPr>
        <w:pStyle w:val="Heading2"/>
        <w:spacing w:after="120" w:before="280"/>
      </w:pPr>
      <w:r>
        <w:rPr>
          <w:rFonts w:ascii="Arial" w:cs="Arial" w:eastAsia="Arial" w:hAnsi="Arial"/>
          <w:b/>
          <w:bCs/>
          <w:color w:val="0A1F3D"/>
          <w:sz w:val="26"/>
          <w:szCs w:val="26"/>
        </w:rPr>
        <w:t xml:space="preserve">5.1  FSM Overview</w:t>
      </w:r>
    </w:p>
    <w:p>
      <w:pPr>
        <w:spacing w:after="120" w:before="80"/>
      </w:pPr>
      <w:r>
        <w:rPr>
          <w:rFonts w:ascii="Arial" w:cs="Arial" w:eastAsia="Arial" w:hAnsi="Arial"/>
          <w:color w:val="1A1A1A"/>
          <w:sz w:val="20"/>
          <w:szCs w:val="20"/>
        </w:rPr>
        <w:t xml:space="preserve">The chatbot is governed by a Finite State Machine (FSM) with 6 well-defined states. The FSM ensures every user follows the same deterministic path — no branching confusion, no dead ends, no unpredictable behaviour.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2340"/>
        <w:gridCol w:w="2860"/>
        <w:gridCol w:w="2340"/>
      </w:tblGrid>
      <w:tr>
        <w:tc>
          <w:tcPr>
            <w:tcW w:type="dxa" w:w="18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State</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Trigger</w:t>
            </w:r>
          </w:p>
        </w:tc>
        <w:tc>
          <w:tcPr>
            <w:tcW w:type="dxa" w:w="28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Bot Action</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User Input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 IDLE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Page load</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Show FAB (floating shield button)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Click FAB</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2. GREETING</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FAB clicked</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Introduction message + asks for name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Type full name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3. COLLECT LEAD</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Name received</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Ask email, then company name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Type email → company</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4. QUESTIONING</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Lead captured</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Ask Q1–Q16 one by one with domain + hint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YES / PARTIAL / NO buttons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5. SCORING</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Q16 answered</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WSE computes score; lead submitted to Google Forms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(automatic transition)</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6. REPORT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Score ready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Maturity level, score bar, gap list, CTA buttons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Talk to Expert / Start Over</w:t>
            </w:r>
          </w:p>
        </w:tc>
      </w:tr>
    </w:tbl>
    <w:p>
      <w:pPr>
        <w:spacing w:after="60" w:before="60"/>
      </w:pPr>
    </w:p>
    <w:p>
      <w:pPr>
        <w:pStyle w:val="Heading2"/>
        <w:spacing w:after="120" w:before="280"/>
      </w:pPr>
      <w:r>
        <w:rPr>
          <w:rFonts w:ascii="Arial" w:cs="Arial" w:eastAsia="Arial" w:hAnsi="Arial"/>
          <w:b/>
          <w:bCs/>
          <w:color w:val="0A1F3D"/>
          <w:sz w:val="26"/>
          <w:szCs w:val="26"/>
        </w:rPr>
        <w:t xml:space="preserve">5.2  State Transition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0C8" w:sz="1"/>
              <w:left w:val="single" w:color="D4D0C8" w:sz="1"/>
              <w:bottom w:val="single" w:color="D4D0C8" w:sz="1"/>
              <w:right w:val="single" w:color="D4D0C8" w:sz="1"/>
            </w:tcBorders>
            <w:shd w:fill="F0EDE8" w:val="clear"/>
            <w:tcMar>
              <w:top w:type="dxa" w:w="160"/>
              <w:left w:type="dxa" w:w="220"/>
              <w:bottom w:type="dxa" w:w="160"/>
              <w:right w:type="dxa" w:w="220"/>
            </w:tcMar>
          </w:tcPr>
          <w:p>
            <w:pPr>
              <w:spacing w:after="20" w:before="40"/>
            </w:pPr>
            <w:r>
              <w:rPr>
                <w:rFonts w:ascii="Courier New" w:cs="Courier New" w:eastAsia="Courier New" w:hAnsi="Courier New"/>
                <w:b/>
                <w:bCs/>
                <w:color w:val="0A1F3D"/>
                <w:sz w:val="17"/>
                <w:szCs w:val="17"/>
              </w:rPr>
              <w:t xml:space="preserve">IDLE  ──[FAB click]──▶  GREETING  ──[name entered]──▶  COLLECT_LEAD</w:t>
            </w:r>
          </w:p>
          <w:p>
            <w:pPr>
              <w:spacing w:after="20" w:before="20"/>
            </w:pPr>
            <w:r>
              <w:rPr>
                <w:rFonts w:ascii="Courier New" w:cs="Courier New" w:eastAsia="Courier New" w:hAnsi="Courier New"/>
                <w:color w:val="6B6B6B"/>
                <w:sz w:val="17"/>
                <w:szCs w:val="17"/>
              </w:rPr>
              <w:t xml:space="preserve">                                                              │</w:t>
            </w:r>
          </w:p>
          <w:p>
            <w:pPr>
              <w:spacing w:after="20" w:before="20"/>
            </w:pPr>
            <w:r>
              <w:rPr>
                <w:rFonts w:ascii="Courier New" w:cs="Courier New" w:eastAsia="Courier New" w:hAnsi="Courier New"/>
                <w:color w:val="6B6B6B"/>
                <w:sz w:val="17"/>
                <w:szCs w:val="17"/>
              </w:rPr>
              <w:t xml:space="preserve">                                              [email + company]</w:t>
            </w:r>
          </w:p>
          <w:p>
            <w:pPr>
              <w:spacing w:after="20" w:before="20"/>
            </w:pPr>
            <w:r>
              <w:rPr>
                <w:rFonts w:ascii="Courier New" w:cs="Courier New" w:eastAsia="Courier New" w:hAnsi="Courier New"/>
                <w:color w:val="6B6B6B"/>
                <w:sz w:val="17"/>
                <w:szCs w:val="17"/>
              </w:rPr>
              <w:t xml:space="preserve">                                                              ▼</w:t>
            </w:r>
          </w:p>
          <w:p>
            <w:pPr>
              <w:spacing w:after="20" w:before="20"/>
            </w:pPr>
            <w:r>
              <w:rPr>
                <w:rFonts w:ascii="Courier New" w:cs="Courier New" w:eastAsia="Courier New" w:hAnsi="Courier New"/>
                <w:b/>
                <w:bCs/>
                <w:color w:val="0A1F3D"/>
                <w:sz w:val="17"/>
                <w:szCs w:val="17"/>
              </w:rPr>
              <w:t xml:space="preserve">REPORT  ◀──[WSE compute]──  SCORING  ◀──[Q16 answered]──  QUESTIONING</w:t>
            </w:r>
          </w:p>
          <w:p>
            <w:pPr>
              <w:spacing w:after="20" w:before="20"/>
            </w:pPr>
            <w:r>
              <w:rPr>
                <w:rFonts w:ascii="Courier New" w:cs="Courier New" w:eastAsia="Courier New" w:hAnsi="Courier New"/>
                <w:color w:val="6B6B6B"/>
                <w:sz w:val="17"/>
                <w:szCs w:val="17"/>
              </w:rPr>
              <w:t xml:space="preserve">  │                                                      [Q1–Q16]</w:t>
            </w:r>
          </w:p>
          <w:p>
            <w:pPr>
              <w:spacing w:after="40" w:before="20"/>
            </w:pPr>
            <w:r>
              <w:rPr>
                <w:rFonts w:ascii="Courier New" w:cs="Courier New" w:eastAsia="Courier New" w:hAnsi="Courier New"/>
                <w:color w:val="6B6B6B"/>
                <w:sz w:val="17"/>
                <w:szCs w:val="17"/>
              </w:rPr>
              <w:t xml:space="preserve">  └──[Start Over]──▶  GREETING  (loop reset)</w:t>
            </w:r>
          </w:p>
        </w:tc>
      </w:tr>
    </w:tbl>
    <w:p>
      <w:pPr>
        <w:spacing w:after="60" w:before="60"/>
      </w:pPr>
    </w:p>
    <w:p>
      <w:pPr>
        <w:pStyle w:val="Heading2"/>
        <w:spacing w:after="120" w:before="280"/>
      </w:pPr>
      <w:r>
        <w:rPr>
          <w:rFonts w:ascii="Arial" w:cs="Arial" w:eastAsia="Arial" w:hAnsi="Arial"/>
          <w:b/>
          <w:bCs/>
          <w:color w:val="0A1F3D"/>
          <w:sz w:val="26"/>
          <w:szCs w:val="26"/>
        </w:rPr>
        <w:t xml:space="preserve">5.3  The 16 Assessment Questions</w:t>
      </w:r>
    </w:p>
    <w:p>
      <w:pPr>
        <w:spacing w:after="120" w:before="80"/>
      </w:pPr>
      <w:r>
        <w:rPr>
          <w:rFonts w:ascii="Arial" w:cs="Arial" w:eastAsia="Arial" w:hAnsi="Arial"/>
          <w:color w:val="1A1A1A"/>
          <w:sz w:val="20"/>
          <w:szCs w:val="20"/>
        </w:rPr>
        <w:t xml:space="preserve">Each question maps to one ISO 27001 control domain. The bot presents one question at a time — never all 16 at once — maintaining a conversational flow. Each question includes a contextual hint to help the respondent answer accurately.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20"/>
        <w:gridCol w:w="780"/>
        <w:gridCol w:w="520"/>
        <w:gridCol w:w="5720"/>
      </w:tblGrid>
      <w:tr>
        <w:tc>
          <w:tcPr>
            <w:tcW w:type="dxa" w:w="5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t>
            </w:r>
          </w:p>
        </w:tc>
        <w:tc>
          <w:tcPr>
            <w:tcW w:type="dxa" w:w="18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Domain</w:t>
            </w:r>
          </w:p>
        </w:tc>
        <w:tc>
          <w:tcPr>
            <w:tcW w:type="dxa" w:w="78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Tier</w:t>
            </w:r>
          </w:p>
        </w:tc>
        <w:tc>
          <w:tcPr>
            <w:tcW w:type="dxa" w:w="5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Wt</w:t>
            </w:r>
          </w:p>
        </w:tc>
        <w:tc>
          <w:tcPr>
            <w:tcW w:type="dxa" w:w="57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Focus</w:t>
            </w:r>
          </w:p>
        </w:tc>
      </w:tr>
      <w:tr>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Governance</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Tier 1</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×3</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Formally defined ISMS — scope, policies, roles, reviews</w:t>
            </w:r>
          </w:p>
        </w:tc>
      </w:tr>
      <w:tr>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2</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Risk Management</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Tier 1</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×3</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End-to-end risk lifecycle: identify, assess, treat, review</w:t>
            </w:r>
          </w:p>
        </w:tc>
      </w:tr>
      <w:tr>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3</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Access Control</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Tier 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Provisioning, least privilege, MFA, access lifecycle</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4</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Documentation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Tier 3</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×1</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Policies documented, approved, communicated, reviewed</w:t>
            </w:r>
          </w:p>
        </w:tc>
      </w:tr>
      <w:tr>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5</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Incident Management</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Tier 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Detection, response, reporting, escalation, lessons learned</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6</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Monitoring</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Tier 3</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×1</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System logging, alert escalation, regular log review</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7</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Awareness Training</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Tier 3</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×1</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Regular training, phishing simulations, completion tracking</w:t>
            </w:r>
          </w:p>
        </w:tc>
      </w:tr>
      <w:tr>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8</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Resilience</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Tier 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Tested backups, DRP/BCP with defined RTO/RPO</w:t>
            </w:r>
          </w:p>
        </w:tc>
      </w:tr>
      <w:tr>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9</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Internal Audit</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Tier 1</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×3</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ISMS audits, management reviews, corrective action tracking</w:t>
            </w:r>
          </w:p>
        </w:tc>
      </w:tr>
      <w:tr>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10</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Compliance Validation</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Tier 1</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bCs/>
                <w:color w:val="C0392B"/>
                <w:sz w:val="18"/>
                <w:szCs w:val="18"/>
              </w:rPr>
              <w:t xml:space="preserve">×3</w:t>
            </w:r>
          </w:p>
        </w:tc>
        <w:tc>
          <w:tcPr>
            <w:tcBorders>
              <w:top w:val="single" w:color="D4D0C8" w:sz="1"/>
              <w:left w:val="single" w:color="D4D0C8" w:sz="1"/>
              <w:bottom w:val="single" w:color="D4D0C8" w:sz="1"/>
              <w:right w:val="single" w:color="D4D0C8" w:sz="1"/>
            </w:tcBorders>
            <w:shd w:fill="FEF0F0"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Control testing, evidence collection, regulatory mapping</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11</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Asset Management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Tier 3</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×1</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Asset inventory, data classification, owner assignment</w:t>
            </w:r>
          </w:p>
        </w:tc>
      </w:tr>
      <w:tr>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Vulnerability Management</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Tier 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Scanning, CVSS prioritisation, SLA-based remediation</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13</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Supplier Security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Tier 3</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×1</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Vendor questionnaires, contractual security clauses</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14</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Change Management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Tier 3</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bCs/>
                <w:color w:val="4A4A4A"/>
                <w:sz w:val="18"/>
                <w:szCs w:val="18"/>
              </w:rPr>
              <w:t xml:space="preserve">×1</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Change advisory board, security review gates, rollback plans</w:t>
            </w:r>
          </w:p>
        </w:tc>
      </w:tr>
      <w:tr>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15</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Data Protection</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Tier 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Encryption at rest/in transit, DLP, secure disposal</w:t>
            </w:r>
          </w:p>
        </w:tc>
      </w:tr>
      <w:tr>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16</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CERT-In Compliance</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Tier 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bCs/>
                <w:color w:val="B45309"/>
                <w:sz w:val="18"/>
                <w:szCs w:val="18"/>
              </w:rPr>
              <w:t xml:space="preserve">×2</w:t>
            </w:r>
          </w:p>
        </w:tc>
        <w:tc>
          <w:tcPr>
            <w:tcBorders>
              <w:top w:val="single" w:color="D4D0C8" w:sz="1"/>
              <w:left w:val="single" w:color="D4D0C8" w:sz="1"/>
              <w:bottom w:val="single" w:color="D4D0C8" w:sz="1"/>
              <w:right w:val="single" w:color="D4D0C8" w:sz="1"/>
            </w:tcBorders>
            <w:shd w:fill="FEF9F0"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Incident reporting per CERT-In 6-hour mandatory window</w:t>
            </w:r>
          </w:p>
        </w:tc>
      </w:tr>
    </w:tbl>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6. Assessment Report — Output Design</w:t>
      </w:r>
    </w:p>
    <w:p>
      <w:pPr>
        <w:pStyle w:val="Heading2"/>
        <w:spacing w:after="120" w:before="280"/>
      </w:pPr>
      <w:r>
        <w:rPr>
          <w:rFonts w:ascii="Arial" w:cs="Arial" w:eastAsia="Arial" w:hAnsi="Arial"/>
          <w:b/>
          <w:bCs/>
          <w:color w:val="0A1F3D"/>
          <w:sz w:val="26"/>
          <w:szCs w:val="26"/>
        </w:rPr>
        <w:t xml:space="preserve">6.1  What the Report Contains</w:t>
      </w:r>
    </w:p>
    <w:p>
      <w:pPr>
        <w:spacing w:after="120" w:before="80"/>
      </w:pPr>
      <w:r>
        <w:rPr>
          <w:rFonts w:ascii="Arial" w:cs="Arial" w:eastAsia="Arial" w:hAnsi="Arial"/>
          <w:color w:val="1A1A1A"/>
          <w:sz w:val="20"/>
          <w:szCs w:val="20"/>
        </w:rPr>
        <w:t xml:space="preserve">At the end of the 16-question flow, the chatbot renders a structured report directly inside the chat panel. It contains:</w:t>
      </w:r>
    </w:p>
    <w:p>
      <w:pPr>
        <w:pStyle w:val="ListParagraph"/>
        <w:numPr>
          <w:ilvl w:val="0"/>
          <w:numId w:val="2"/>
        </w:numPr>
        <w:spacing w:after="60" w:before="60"/>
      </w:pPr>
      <w:r>
        <w:rPr>
          <w:rFonts w:ascii="Arial" w:cs="Arial" w:eastAsia="Arial" w:hAnsi="Arial"/>
          <w:color w:val="1A1A1A"/>
          <w:sz w:val="20"/>
          <w:szCs w:val="20"/>
        </w:rPr>
        <w:t xml:space="preserve">Maturity Badge — High / Medium / Low with colour coding (green / amber / red)</w:t>
      </w:r>
    </w:p>
    <w:p>
      <w:pPr>
        <w:pStyle w:val="ListParagraph"/>
        <w:numPr>
          <w:ilvl w:val="0"/>
          <w:numId w:val="2"/>
        </w:numPr>
        <w:spacing w:after="60" w:before="60"/>
      </w:pPr>
      <w:r>
        <w:rPr>
          <w:rFonts w:ascii="Arial" w:cs="Arial" w:eastAsia="Arial" w:hAnsi="Arial"/>
          <w:color w:val="1A1A1A"/>
          <w:sz w:val="20"/>
          <w:szCs w:val="20"/>
        </w:rPr>
        <w:t xml:space="preserve">Percentage Score — "Your score: 73.3% — Medium Maturity" with an animated progress bar</w:t>
      </w:r>
    </w:p>
    <w:p>
      <w:pPr>
        <w:pStyle w:val="ListParagraph"/>
        <w:numPr>
          <w:ilvl w:val="0"/>
          <w:numId w:val="2"/>
        </w:numPr>
        <w:spacing w:after="60" w:before="60"/>
      </w:pPr>
      <w:r>
        <w:rPr>
          <w:rFonts w:ascii="Arial" w:cs="Arial" w:eastAsia="Arial" w:hAnsi="Arial"/>
          <w:color w:val="1A1A1A"/>
          <w:sz w:val="20"/>
          <w:szCs w:val="20"/>
        </w:rPr>
        <w:t xml:space="preserve">Answer Summary — count of Yes / Partial / No across all 16 domains</w:t>
      </w:r>
    </w:p>
    <w:p>
      <w:pPr>
        <w:pStyle w:val="ListParagraph"/>
        <w:numPr>
          <w:ilvl w:val="0"/>
          <w:numId w:val="2"/>
        </w:numPr>
        <w:spacing w:after="60" w:before="60"/>
      </w:pPr>
      <w:r>
        <w:rPr>
          <w:rFonts w:ascii="Arial" w:cs="Arial" w:eastAsia="Arial" w:hAnsi="Arial"/>
          <w:color w:val="1A1A1A"/>
          <w:sz w:val="20"/>
          <w:szCs w:val="20"/>
        </w:rPr>
        <w:t xml:space="preserve">Priority Gap List — top 6 gaps sorted by severity (Critical → High → Medium)</w:t>
      </w:r>
    </w:p>
    <w:p>
      <w:pPr>
        <w:pStyle w:val="ListParagraph"/>
        <w:numPr>
          <w:ilvl w:val="0"/>
          <w:numId w:val="2"/>
        </w:numPr>
        <w:spacing w:after="60" w:before="60"/>
      </w:pPr>
      <w:r>
        <w:rPr>
          <w:rFonts w:ascii="Arial" w:cs="Arial" w:eastAsia="Arial" w:hAnsi="Arial"/>
          <w:color w:val="1A1A1A"/>
          <w:sz w:val="20"/>
          <w:szCs w:val="20"/>
        </w:rPr>
        <w:t xml:space="preserve">Per-Gap Details — domain name, tier, the specific gap description, and a concrete recommendation</w:t>
      </w:r>
    </w:p>
    <w:p>
      <w:pPr>
        <w:pStyle w:val="ListParagraph"/>
        <w:numPr>
          <w:ilvl w:val="0"/>
          <w:numId w:val="2"/>
        </w:numPr>
        <w:spacing w:after="60" w:before="60"/>
      </w:pPr>
      <w:r>
        <w:rPr>
          <w:rFonts w:ascii="Arial" w:cs="Arial" w:eastAsia="Arial" w:hAnsi="Arial"/>
          <w:color w:val="1A1A1A"/>
          <w:sz w:val="20"/>
          <w:szCs w:val="20"/>
        </w:rPr>
        <w:t xml:space="preserve">Contextual CTA — a personalised call-to-action recommending the right Cyberfyx service</w:t>
      </w:r>
    </w:p>
    <w:p>
      <w:pPr>
        <w:pStyle w:val="Heading2"/>
        <w:spacing w:after="120" w:before="280"/>
      </w:pPr>
      <w:r>
        <w:rPr>
          <w:rFonts w:ascii="Arial" w:cs="Arial" w:eastAsia="Arial" w:hAnsi="Arial"/>
          <w:b/>
          <w:bCs/>
          <w:color w:val="0A1F3D"/>
          <w:sz w:val="26"/>
          <w:szCs w:val="26"/>
        </w:rPr>
        <w:t xml:space="preserve">6.2  Sample Report Output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4D0C8" w:sz="1"/>
              <w:left w:val="single" w:color="E78731" w:sz="14"/>
              <w:bottom w:val="single" w:color="D4D0C8" w:sz="1"/>
              <w:right w:val="single" w:color="D4D0C8" w:sz="1"/>
            </w:tcBorders>
            <w:shd w:fill="F5F3EE" w:val="clear"/>
            <w:tcMar>
              <w:top w:type="dxa" w:w="160"/>
              <w:left w:type="dxa" w:w="220"/>
              <w:bottom w:type="dxa" w:w="160"/>
              <w:right w:type="dxa" w:w="220"/>
            </w:tcMar>
          </w:tcPr>
          <w:p>
            <w:pPr>
              <w:spacing w:after="40" w:before="40"/>
            </w:pPr>
            <w:r>
              <w:rPr>
                <w:rFonts w:ascii="Arial" w:cs="Arial" w:eastAsia="Arial" w:hAnsi="Arial"/>
                <w:b/>
                <w:bCs/>
                <w:color w:val="B45309"/>
                <w:sz w:val="22"/>
                <w:szCs w:val="22"/>
              </w:rPr>
              <w:t xml:space="preserve">⚠  MEDIUM MATURITY — 73.3% Compliance Score</w:t>
            </w:r>
          </w:p>
          <w:p>
            <w:pPr>
              <w:spacing w:after="20" w:before="40"/>
            </w:pPr>
            <w:r>
              <w:rPr>
                <w:rFonts w:ascii="Arial" w:cs="Arial" w:eastAsia="Arial" w:hAnsi="Arial"/>
                <w:color w:val="1A1A1A"/>
                <w:sz w:val="20"/>
                <w:szCs w:val="20"/>
              </w:rPr>
              <w:t xml:space="preserve">Progress bar: ██████████████░░░░░░  73.3%</w:t>
            </w:r>
          </w:p>
          <w:p>
            <w:pPr>
              <w:spacing w:after="20" w:before="40"/>
            </w:pPr>
            <w:r>
              <w:rPr>
                <w:rFonts w:ascii="Arial" w:cs="Arial" w:eastAsia="Arial" w:hAnsi="Arial"/>
                <w:color w:val="1A1A1A"/>
                <w:sz w:val="20"/>
                <w:szCs w:val="20"/>
              </w:rPr>
              <w:t xml:space="preserve">Implemented: 8   |   Partial: 4   |   Gap: 4</w:t>
            </w:r>
          </w:p>
          <w:p>
            <w:pPr>
              <w:spacing w:after="20" w:before="60"/>
            </w:pPr>
            <w:r>
              <w:rPr>
                <w:rFonts w:ascii="Arial" w:cs="Arial" w:eastAsia="Arial" w:hAnsi="Arial"/>
                <w:b/>
                <w:bCs/>
                <w:color w:val="0A1F3D"/>
                <w:sz w:val="20"/>
                <w:szCs w:val="20"/>
              </w:rPr>
              <w:t xml:space="preserve">Priority Gaps Identified:</w:t>
            </w:r>
          </w:p>
          <w:p>
            <w:pPr>
              <w:spacing w:after="8" w:before="20"/>
            </w:pPr>
            <w:r>
              <w:rPr>
                <w:rFonts w:ascii="Arial" w:cs="Arial" w:eastAsia="Arial" w:hAnsi="Arial"/>
                <w:b/>
                <w:bCs/>
                <w:color w:val="DC2626"/>
                <w:sz w:val="18"/>
                <w:szCs w:val="18"/>
              </w:rPr>
              <w:t xml:space="preserve">  🔴  [CRITICAL] Governance — Tier 1</w:t>
            </w:r>
          </w:p>
          <w:p>
            <w:pPr>
              <w:spacing w:after="20" w:before="4"/>
            </w:pPr>
            <w:r>
              <w:rPr>
                <w:rFonts w:ascii="Arial" w:cs="Arial" w:eastAsia="Arial" w:hAnsi="Arial"/>
                <w:color w:val="1A1A1A"/>
                <w:sz w:val="20"/>
                <w:szCs w:val="20"/>
              </w:rPr>
              <w:t xml:space="preserve">        Gap: Missing governance structure, unclear scope, lack of periodic review.</w:t>
            </w:r>
          </w:p>
          <w:p>
            <w:pPr>
              <w:spacing w:after="20" w:before="4"/>
            </w:pPr>
            <w:r>
              <w:rPr>
                <w:rFonts w:ascii="Arial" w:cs="Arial" w:eastAsia="Arial" w:hAnsi="Arial"/>
                <w:i/>
                <w:iCs/>
                <w:color w:val="555555"/>
                <w:sz w:val="17"/>
                <w:szCs w:val="17"/>
              </w:rPr>
              <w:t xml:space="preserve">        Rec: Establish a formal ISMS with defined scope, assigned roles, and a review calendar.</w:t>
            </w:r>
          </w:p>
          <w:p>
            <w:pPr>
              <w:spacing w:after="8" w:before="20"/>
            </w:pPr>
            <w:r>
              <w:rPr>
                <w:rFonts w:ascii="Arial" w:cs="Arial" w:eastAsia="Arial" w:hAnsi="Arial"/>
                <w:b/>
                <w:bCs/>
                <w:color w:val="B45309"/>
                <w:sz w:val="18"/>
                <w:szCs w:val="18"/>
              </w:rPr>
              <w:t xml:space="preserve">  🟡  [HIGH] Data Protection — Tier 2</w:t>
            </w:r>
          </w:p>
          <w:p>
            <w:pPr>
              <w:spacing w:after="40" w:before="4"/>
            </w:pPr>
            <w:r>
              <w:rPr>
                <w:rFonts w:ascii="Arial" w:cs="Arial" w:eastAsia="Arial" w:hAnsi="Arial"/>
                <w:color w:val="1A1A1A"/>
                <w:sz w:val="20"/>
                <w:szCs w:val="20"/>
              </w:rPr>
              <w:t xml:space="preserve">        Gap: Risk of data breach and unauthorised data exposure.</w:t>
            </w:r>
          </w:p>
          <w:p>
            <w:pPr>
              <w:spacing w:after="20" w:before="40"/>
            </w:pPr>
            <w:r>
              <w:rPr>
                <w:rFonts w:ascii="Arial" w:cs="Arial" w:eastAsia="Arial" w:hAnsi="Arial"/>
                <w:b/>
                <w:bCs/>
                <w:color w:val="0A1F3D"/>
                <w:sz w:val="19"/>
                <w:szCs w:val="19"/>
              </w:rPr>
              <w:t xml:space="preserve">Partial controls exist but lack consistency. A detailed gap assessment and targeted control strengthening is required. Cyberfyx can deliver a structured gap assessment and a prioritised remediation roadmap.</w:t>
            </w:r>
          </w:p>
        </w:tc>
      </w:tr>
    </w:tbl>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7. Project File Structure</w:t>
      </w:r>
    </w:p>
    <w:p>
      <w:pPr>
        <w:pStyle w:val="Heading2"/>
        <w:spacing w:after="120" w:before="280"/>
      </w:pPr>
      <w:r>
        <w:rPr>
          <w:rFonts w:ascii="Arial" w:cs="Arial" w:eastAsia="Arial" w:hAnsi="Arial"/>
          <w:b/>
          <w:bCs/>
          <w:color w:val="0A1F3D"/>
          <w:sz w:val="26"/>
          <w:szCs w:val="26"/>
        </w:rPr>
        <w:t xml:space="preserve">7.1  Files to Be Created (New)</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c>
          <w:tcPr>
            <w:tcW w:type="dxa" w:w="41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File</w:t>
            </w:r>
          </w:p>
        </w:tc>
        <w:tc>
          <w:tcPr>
            <w:tcW w:type="dxa" w:w="520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Purpose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src/data/chatbot-questions.ts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All 16 domain configs: question text, weight, tier, gap, hint, recommendation</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src/lib/scoring-engine.ts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WeightedScoringEngine class: compute(), gap detection, severity sorting</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src/scripts/chatbot.ts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FSM controller: all 6 states, DOM rendering, Google Forms lead submission</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src/styles/chatbot.css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All widget styles: FAB, panel, messages, inputs, report cards, light/dark mode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src/components/ChatbotWidget.astro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HTML skeleton for the FAB and chat panel; loads chatbot.ts script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public/chatbot.css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Static copy of chatbot.css for the &lt;link&gt; tag (Astro public folder)</w:t>
            </w:r>
          </w:p>
        </w:tc>
      </w:tr>
    </w:tbl>
    <w:p>
      <w:pPr>
        <w:spacing w:after="60" w:before="60"/>
      </w:pPr>
    </w:p>
    <w:p>
      <w:pPr>
        <w:pStyle w:val="Heading2"/>
        <w:spacing w:after="120" w:before="280"/>
      </w:pPr>
      <w:r>
        <w:rPr>
          <w:rFonts w:ascii="Arial" w:cs="Arial" w:eastAsia="Arial" w:hAnsi="Arial"/>
          <w:b/>
          <w:bCs/>
          <w:color w:val="0A1F3D"/>
          <w:sz w:val="26"/>
          <w:szCs w:val="26"/>
        </w:rPr>
        <w:t xml:space="preserve">7.2  Files to Be Modified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c>
          <w:tcPr>
            <w:tcW w:type="dxa" w:w="41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File</w:t>
            </w:r>
          </w:p>
        </w:tc>
        <w:tc>
          <w:tcPr>
            <w:tcW w:type="dxa" w:w="520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Change Required</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src/layouts/BaseLayout.astro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Add import + &lt;ChatbotWidget /&gt; before &lt;/body&gt; — 2 lines only</w:t>
            </w:r>
          </w:p>
        </w:tc>
      </w:tr>
    </w:tbl>
    <w:p>
      <w:pPr>
        <w:pBdr>
          <w:left w:val="single" w:color="E78731" w:sz="14"/>
        </w:pBdr>
        <w:shd w:fill="FEF3E2" w:val="clear"/>
        <w:spacing w:after="0" w:before="120"/>
        <w:ind w:left="160" w:right="160"/>
      </w:pPr>
      <w:r>
        <w:rPr>
          <w:rFonts w:ascii="Arial" w:cs="Arial" w:eastAsia="Arial" w:hAnsi="Arial"/>
          <w:b/>
          <w:bCs/>
          <w:color w:val="E78731"/>
          <w:sz w:val="20"/>
          <w:szCs w:val="20"/>
        </w:rPr>
        <w:t xml:space="preserve">Note:  </w:t>
      </w:r>
      <w:r>
        <w:rPr>
          <w:rFonts w:ascii="Arial" w:cs="Arial" w:eastAsia="Arial" w:hAnsi="Arial"/>
          <w:color w:val="1A1A1A"/>
          <w:sz w:val="20"/>
          <w:szCs w:val="20"/>
        </w:rPr>
        <w:t xml:space="preserve">All other existing files (pages, components, scripts, styles, package.json, docker-compose.yml, nginx.conf) are completely untouched. Zero risk of regression.</w:t>
      </w:r>
    </w:p>
    <w:p>
      <w:pPr>
        <w:spacing w:after="120" w:before="0"/>
      </w:pPr>
    </w:p>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8. UI Design &amp; Brand Compliance</w:t>
      </w:r>
    </w:p>
    <w:p>
      <w:pPr>
        <w:pStyle w:val="Heading2"/>
        <w:spacing w:after="120" w:before="280"/>
      </w:pPr>
      <w:r>
        <w:rPr>
          <w:rFonts w:ascii="Arial" w:cs="Arial" w:eastAsia="Arial" w:hAnsi="Arial"/>
          <w:b/>
          <w:bCs/>
          <w:color w:val="0A1F3D"/>
          <w:sz w:val="26"/>
          <w:szCs w:val="26"/>
        </w:rPr>
        <w:t xml:space="preserve">8.1  Visual Design Specification</w:t>
      </w:r>
    </w:p>
    <w:p>
      <w:pPr>
        <w:spacing w:after="120" w:before="80"/>
      </w:pPr>
      <w:r>
        <w:rPr>
          <w:rFonts w:ascii="Arial" w:cs="Arial" w:eastAsia="Arial" w:hAnsi="Arial"/>
          <w:color w:val="1A1A1A"/>
          <w:sz w:val="20"/>
          <w:szCs w:val="20"/>
        </w:rPr>
        <w:t xml:space="preserve">The chatbot widget is designed as a native extension of the Cyberfyx website — not a third-party plugin overlay. Every colour, font, and animation is derived from the existing CSS design system.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40"/>
        <w:gridCol w:w="4420"/>
      </w:tblGrid>
      <w:tr>
        <w:tc>
          <w:tcPr>
            <w:tcW w:type="dxa" w:w="260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Element</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Value</w:t>
            </w:r>
          </w:p>
        </w:tc>
        <w:tc>
          <w:tcPr>
            <w:tcW w:type="dxa" w:w="44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CSS Variable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Primary Brand</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#0A1F3D (Navy)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--accent-primary</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Secondary Brand</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#E78731 (Orange)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--accent-secondary</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Gradient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Navy → Orange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--accent-gradient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Font Family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Inter</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--font-main</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Panel Background</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Theme-adaptive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--bg-secondary / --bg-glass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Borders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Theme-adaptive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--border-glass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Text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Theme-adaptive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--text-primary / --text-secondary / --text-muted</w:t>
            </w:r>
          </w:p>
        </w:tc>
      </w:tr>
    </w:tbl>
    <w:p>
      <w:pPr>
        <w:spacing w:after="60" w:before="60"/>
      </w:pPr>
    </w:p>
    <w:p>
      <w:pPr>
        <w:pStyle w:val="Heading2"/>
        <w:spacing w:after="120" w:before="280"/>
      </w:pPr>
      <w:r>
        <w:rPr>
          <w:rFonts w:ascii="Arial" w:cs="Arial" w:eastAsia="Arial" w:hAnsi="Arial"/>
          <w:b/>
          <w:bCs/>
          <w:color w:val="0A1F3D"/>
          <w:sz w:val="26"/>
          <w:szCs w:val="26"/>
        </w:rPr>
        <w:t xml:space="preserve">8.2  Widget Components</w:t>
      </w:r>
    </w:p>
    <w:p>
      <w:pPr>
        <w:pStyle w:val="ListParagraph"/>
        <w:numPr>
          <w:ilvl w:val="0"/>
          <w:numId w:val="2"/>
        </w:numPr>
        <w:spacing w:after="60" w:before="60"/>
      </w:pPr>
      <w:r>
        <w:rPr>
          <w:rFonts w:ascii="Arial" w:cs="Arial" w:eastAsia="Arial" w:hAnsi="Arial"/>
          <w:color w:val="1A1A1A"/>
          <w:sz w:val="20"/>
          <w:szCs w:val="20"/>
        </w:rPr>
        <w:t xml:space="preserve">FAB (Floating Action Button) — Shield icon, gradient background, pulsing notification badge, bottom-right fixed position</w:t>
      </w:r>
    </w:p>
    <w:p>
      <w:pPr>
        <w:pStyle w:val="ListParagraph"/>
        <w:numPr>
          <w:ilvl w:val="0"/>
          <w:numId w:val="2"/>
        </w:numPr>
        <w:spacing w:after="60" w:before="60"/>
      </w:pPr>
      <w:r>
        <w:rPr>
          <w:rFonts w:ascii="Arial" w:cs="Arial" w:eastAsia="Arial" w:hAnsi="Arial"/>
          <w:color w:val="1A1A1A"/>
          <w:sz w:val="20"/>
          <w:szCs w:val="20"/>
        </w:rPr>
        <w:t xml:space="preserve">Chat Panel — Slide-up panel (380px wide, 620px tall), branded header with Cyberfyx logo, close/minimise controls</w:t>
      </w:r>
    </w:p>
    <w:p>
      <w:pPr>
        <w:pStyle w:val="ListParagraph"/>
        <w:numPr>
          <w:ilvl w:val="0"/>
          <w:numId w:val="2"/>
        </w:numPr>
        <w:spacing w:after="60" w:before="60"/>
      </w:pPr>
      <w:r>
        <w:rPr>
          <w:rFonts w:ascii="Arial" w:cs="Arial" w:eastAsia="Arial" w:hAnsi="Arial"/>
          <w:color w:val="1A1A1A"/>
          <w:sz w:val="20"/>
          <w:szCs w:val="20"/>
        </w:rPr>
        <w:t xml:space="preserve">Progress Bar — Animated fill bar at top of panel, "Q7 of 16" label</w:t>
      </w:r>
    </w:p>
    <w:p>
      <w:pPr>
        <w:pStyle w:val="ListParagraph"/>
        <w:numPr>
          <w:ilvl w:val="0"/>
          <w:numId w:val="2"/>
        </w:numPr>
        <w:spacing w:after="60" w:before="60"/>
      </w:pPr>
      <w:r>
        <w:rPr>
          <w:rFonts w:ascii="Arial" w:cs="Arial" w:eastAsia="Arial" w:hAnsi="Arial"/>
          <w:color w:val="1A1A1A"/>
          <w:sz w:val="20"/>
          <w:szCs w:val="20"/>
        </w:rPr>
        <w:t xml:space="preserve">Bot Messages — Avatar + bubble layout, typing indicator (three bouncing dots), staggered entry animation</w:t>
      </w:r>
    </w:p>
    <w:p>
      <w:pPr>
        <w:pStyle w:val="ListParagraph"/>
        <w:numPr>
          <w:ilvl w:val="0"/>
          <w:numId w:val="2"/>
        </w:numPr>
        <w:spacing w:after="60" w:before="60"/>
      </w:pPr>
      <w:r>
        <w:rPr>
          <w:rFonts w:ascii="Arial" w:cs="Arial" w:eastAsia="Arial" w:hAnsi="Arial"/>
          <w:color w:val="1A1A1A"/>
          <w:sz w:val="20"/>
          <w:szCs w:val="20"/>
        </w:rPr>
        <w:t xml:space="preserve">Answer Buttons — YES (green) / PARTIAL (amber) / NO (red) buttons, disabled after selection</w:t>
      </w:r>
    </w:p>
    <w:p>
      <w:pPr>
        <w:pStyle w:val="ListParagraph"/>
        <w:numPr>
          <w:ilvl w:val="0"/>
          <w:numId w:val="2"/>
        </w:numPr>
        <w:spacing w:after="60" w:before="60"/>
      </w:pPr>
      <w:r>
        <w:rPr>
          <w:rFonts w:ascii="Arial" w:cs="Arial" w:eastAsia="Arial" w:hAnsi="Arial"/>
          <w:color w:val="1A1A1A"/>
          <w:sz w:val="20"/>
          <w:szCs w:val="20"/>
        </w:rPr>
        <w:t xml:space="preserve">Text Input — Branded text field + send button for name/email/company collection</w:t>
      </w:r>
    </w:p>
    <w:p>
      <w:pPr>
        <w:pStyle w:val="ListParagraph"/>
        <w:numPr>
          <w:ilvl w:val="0"/>
          <w:numId w:val="2"/>
        </w:numPr>
        <w:spacing w:after="60" w:before="60"/>
      </w:pPr>
      <w:r>
        <w:rPr>
          <w:rFonts w:ascii="Arial" w:cs="Arial" w:eastAsia="Arial" w:hAnsi="Arial"/>
          <w:color w:val="1A1A1A"/>
          <w:sz w:val="20"/>
          <w:szCs w:val="20"/>
        </w:rPr>
        <w:t xml:space="preserve">Report Card — Maturity badge, animated score bar, statistics row, gap list with severity colours, CTA box</w:t>
      </w:r>
    </w:p>
    <w:p>
      <w:pPr>
        <w:pStyle w:val="Heading2"/>
        <w:spacing w:after="120" w:before="280"/>
      </w:pPr>
      <w:r>
        <w:rPr>
          <w:rFonts w:ascii="Arial" w:cs="Arial" w:eastAsia="Arial" w:hAnsi="Arial"/>
          <w:b/>
          <w:bCs/>
          <w:color w:val="0A1F3D"/>
          <w:sz w:val="26"/>
          <w:szCs w:val="26"/>
        </w:rPr>
        <w:t xml:space="preserve">8.3  Responsive Behaviour</w:t>
      </w:r>
    </w:p>
    <w:p>
      <w:pPr>
        <w:pStyle w:val="ListParagraph"/>
        <w:numPr>
          <w:ilvl w:val="0"/>
          <w:numId w:val="2"/>
        </w:numPr>
        <w:spacing w:after="60" w:before="60"/>
      </w:pPr>
      <w:r>
        <w:rPr>
          <w:rFonts w:ascii="Arial" w:cs="Arial" w:eastAsia="Arial" w:hAnsi="Arial"/>
          <w:color w:val="1A1A1A"/>
          <w:sz w:val="20"/>
          <w:szCs w:val="20"/>
        </w:rPr>
        <w:t xml:space="preserve">Desktop (&gt; 480px): 380×620px panel, bottom-right floating</w:t>
      </w:r>
    </w:p>
    <w:p>
      <w:pPr>
        <w:pStyle w:val="ListParagraph"/>
        <w:numPr>
          <w:ilvl w:val="0"/>
          <w:numId w:val="2"/>
        </w:numPr>
        <w:spacing w:after="60" w:before="60"/>
      </w:pPr>
      <w:r>
        <w:rPr>
          <w:rFonts w:ascii="Arial" w:cs="Arial" w:eastAsia="Arial" w:hAnsi="Arial"/>
          <w:color w:val="1A1A1A"/>
          <w:sz w:val="20"/>
          <w:szCs w:val="20"/>
        </w:rPr>
        <w:t xml:space="preserve">Mobile (≤ 480px): Full-width bottom sheet, 92vh height, rounded top corners</w:t>
      </w:r>
    </w:p>
    <w:p>
      <w:pPr>
        <w:pStyle w:val="ListParagraph"/>
        <w:numPr>
          <w:ilvl w:val="0"/>
          <w:numId w:val="2"/>
        </w:numPr>
        <w:spacing w:after="60" w:before="60"/>
      </w:pPr>
      <w:r>
        <w:rPr>
          <w:rFonts w:ascii="Arial" w:cs="Arial" w:eastAsia="Arial" w:hAnsi="Arial"/>
          <w:color w:val="1A1A1A"/>
          <w:sz w:val="20"/>
          <w:szCs w:val="20"/>
        </w:rPr>
        <w:t xml:space="preserve">Dark mode: Full support via CSS variables — automatic with site's existing theme toggle</w:t>
      </w:r>
    </w:p>
    <w:p>
      <w:pPr>
        <w:pStyle w:val="ListParagraph"/>
        <w:numPr>
          <w:ilvl w:val="0"/>
          <w:numId w:val="2"/>
        </w:numPr>
        <w:spacing w:after="60" w:before="60"/>
      </w:pPr>
      <w:r>
        <w:rPr>
          <w:rFonts w:ascii="Arial" w:cs="Arial" w:eastAsia="Arial" w:hAnsi="Arial"/>
          <w:color w:val="1A1A1A"/>
          <w:sz w:val="20"/>
          <w:szCs w:val="20"/>
        </w:rPr>
        <w:t xml:space="preserve">Reduced motion: All animations disabled when prefers-reduced-motion is set</w:t>
      </w:r>
    </w:p>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9. Integration Plan</w:t>
      </w:r>
    </w:p>
    <w:p>
      <w:pPr>
        <w:pStyle w:val="Heading2"/>
        <w:spacing w:after="120" w:before="280"/>
      </w:pPr>
      <w:r>
        <w:rPr>
          <w:rFonts w:ascii="Arial" w:cs="Arial" w:eastAsia="Arial" w:hAnsi="Arial"/>
          <w:b/>
          <w:bCs/>
          <w:color w:val="0A1F3D"/>
          <w:sz w:val="26"/>
          <w:szCs w:val="26"/>
        </w:rPr>
        <w:t xml:space="preserve">9.1  Integration Steps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380"/>
        <w:gridCol w:w="5460"/>
      </w:tblGrid>
      <w:tr>
        <w:tc>
          <w:tcPr>
            <w:tcW w:type="dxa" w:w="5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Step</w:t>
            </w:r>
          </w:p>
        </w:tc>
        <w:tc>
          <w:tcPr>
            <w:tcW w:type="dxa" w:w="338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Action</w:t>
            </w:r>
          </w:p>
        </w:tc>
        <w:tc>
          <w:tcPr>
            <w:tcW w:type="dxa" w:w="54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Command / Detail</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Drop new files into project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Copy 6 new files to their exact paths (see Section 7.1)</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2</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Apply BaseLayout change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Add import + &lt;ChatbotWidget /&gt; — 2 lines in BaseLayout.astro</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3</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Test locally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cd frontend-astro &amp;&amp; npm run dev</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4</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Verify chatbot flow</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Open any page → click shield FAB → complete all 16 questions → verify report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5</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Verify lead submission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Check Google Forms responses sheet for test submission</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6</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Deploy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npm run build &amp;&amp; wrangler deploy</w:t>
            </w:r>
          </w:p>
        </w:tc>
      </w:tr>
    </w:tbl>
    <w:p>
      <w:pPr>
        <w:spacing w:after="60" w:before="60"/>
      </w:pPr>
    </w:p>
    <w:p>
      <w:pPr>
        <w:pStyle w:val="Heading2"/>
        <w:spacing w:after="120" w:before="280"/>
      </w:pPr>
      <w:r>
        <w:rPr>
          <w:rFonts w:ascii="Arial" w:cs="Arial" w:eastAsia="Arial" w:hAnsi="Arial"/>
          <w:b/>
          <w:bCs/>
          <w:color w:val="0A1F3D"/>
          <w:sz w:val="26"/>
          <w:szCs w:val="26"/>
        </w:rPr>
        <w:t xml:space="preserve">9.2  No Infrastructure Changes Required</w:t>
      </w:r>
    </w:p>
    <w:p>
      <w:pPr>
        <w:pBdr>
          <w:left w:val="single" w:color="E78731" w:sz="14"/>
        </w:pBdr>
        <w:shd w:fill="FEF3E2" w:val="clear"/>
        <w:spacing w:after="0" w:before="120"/>
        <w:ind w:left="160" w:right="160"/>
      </w:pPr>
      <w:r>
        <w:rPr>
          <w:rFonts w:ascii="Arial" w:cs="Arial" w:eastAsia="Arial" w:hAnsi="Arial"/>
          <w:b/>
          <w:bCs/>
          <w:color w:val="E78731"/>
          <w:sz w:val="20"/>
          <w:szCs w:val="20"/>
        </w:rPr>
        <w:t xml:space="preserve">Important:  </w:t>
      </w:r>
      <w:r>
        <w:rPr>
          <w:rFonts w:ascii="Arial" w:cs="Arial" w:eastAsia="Arial" w:hAnsi="Arial"/>
          <w:color w:val="1A1A1A"/>
          <w:sz w:val="20"/>
          <w:szCs w:val="20"/>
        </w:rPr>
        <w:t xml:space="preserve">This integration requires zero changes to Docker, nginx, environment variables, DNS, or any backend service. The chatbot is entirely self-contained in the frontend build.</w:t>
      </w:r>
    </w:p>
    <w:p>
      <w:pPr>
        <w:spacing w:after="120" w:before="0"/>
      </w:pPr>
    </w:p>
    <w:p>
      <w:pPr>
        <w:pStyle w:val="Heading2"/>
        <w:spacing w:after="120" w:before="280"/>
      </w:pPr>
      <w:r>
        <w:rPr>
          <w:rFonts w:ascii="Arial" w:cs="Arial" w:eastAsia="Arial" w:hAnsi="Arial"/>
          <w:b/>
          <w:bCs/>
          <w:color w:val="0A1F3D"/>
          <w:sz w:val="26"/>
          <w:szCs w:val="26"/>
        </w:rPr>
        <w:t xml:space="preserve">9.3  Google Forms Lead Mapping</w:t>
      </w:r>
    </w:p>
    <w:p>
      <w:pPr>
        <w:spacing w:after="120" w:before="80"/>
      </w:pPr>
      <w:r>
        <w:rPr>
          <w:rFonts w:ascii="Arial" w:cs="Arial" w:eastAsia="Arial" w:hAnsi="Arial"/>
          <w:color w:val="1A1A1A"/>
          <w:sz w:val="20"/>
          <w:szCs w:val="20"/>
        </w:rPr>
        <w:t xml:space="preserve">The chatbot submits lead data to the existing Google Forms endpoint using the same no-cors POST pattern already used by the contact form. The field mapping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Form Field</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Entry ID</w:t>
            </w:r>
          </w:p>
        </w:tc>
        <w:tc>
          <w:tcPr>
            <w:tcW w:type="dxa" w:w="468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Value Submitted</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Name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entry.285505795</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Respondent's full name</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Email</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entry.283005138</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Respondent's work email</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Subject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entry.154599738</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"Compliance Assessment" (static)</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Message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entry.1712408064</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"Company: X | Maturity: Medium | Score: 73.3%"</w:t>
            </w:r>
          </w:p>
        </w:tc>
      </w:tr>
    </w:tbl>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10. What Is Needed to Build This</w:t>
      </w:r>
    </w:p>
    <w:p>
      <w:pPr>
        <w:pStyle w:val="Heading2"/>
        <w:spacing w:after="120" w:before="280"/>
      </w:pPr>
      <w:r>
        <w:rPr>
          <w:rFonts w:ascii="Arial" w:cs="Arial" w:eastAsia="Arial" w:hAnsi="Arial"/>
          <w:b/>
          <w:bCs/>
          <w:color w:val="0A1F3D"/>
          <w:sz w:val="26"/>
          <w:szCs w:val="26"/>
        </w:rPr>
        <w:t xml:space="preserve">10.1  Prerequisites (Already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1560"/>
        <w:gridCol w:w="4160"/>
      </w:tblGrid>
      <w:tr>
        <w:tc>
          <w:tcPr>
            <w:tcW w:type="dxa" w:w="36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Requirement</w:t>
            </w:r>
          </w:p>
        </w:tc>
        <w:tc>
          <w:tcPr>
            <w:tcW w:type="dxa" w:w="15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Status</w:t>
            </w:r>
          </w:p>
        </w:tc>
        <w:tc>
          <w:tcPr>
            <w:tcW w:type="dxa" w:w="41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Notes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Astro 4.x project</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Ready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cyberfyx-site-main/frontend-astro</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TypeScript configured</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Ready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tsconfig.json present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Font Awesome 6 CDN</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Ready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Loaded in BaseLayout.astro head</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Google Forms endpoint</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Ready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contact-form.ts has the URL and entry IDs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CSS design system</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Ready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All CSS variables in style.css — chatbot inherits automatically</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Cloudflare deployment</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Ready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wrangler.jsonc configured, deploy pipeline exists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Node.js + npm</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Ready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Already required for existing build</w:t>
            </w:r>
          </w:p>
        </w:tc>
      </w:tr>
    </w:tbl>
    <w:p>
      <w:pPr>
        <w:spacing w:after="60" w:before="60"/>
      </w:pPr>
    </w:p>
    <w:p>
      <w:pPr>
        <w:pStyle w:val="Heading2"/>
        <w:spacing w:after="120" w:before="280"/>
      </w:pPr>
      <w:r>
        <w:rPr>
          <w:rFonts w:ascii="Arial" w:cs="Arial" w:eastAsia="Arial" w:hAnsi="Arial"/>
          <w:b/>
          <w:bCs/>
          <w:color w:val="0A1F3D"/>
          <w:sz w:val="26"/>
          <w:szCs w:val="26"/>
        </w:rPr>
        <w:t xml:space="preserve">10.2  New Code Infrastructure Requirements</w:t>
      </w:r>
    </w:p>
    <w:p>
      <w:pPr>
        <w:pBdr>
          <w:left w:val="single" w:color="E78731" w:sz="14"/>
        </w:pBdr>
        <w:shd w:fill="FEF3E2" w:val="clear"/>
        <w:spacing w:after="0" w:before="120"/>
        <w:ind w:left="160" w:right="160"/>
      </w:pPr>
      <w:r>
        <w:rPr>
          <w:rFonts w:ascii="Arial" w:cs="Arial" w:eastAsia="Arial" w:hAnsi="Arial"/>
          <w:b/>
          <w:bCs/>
          <w:color w:val="E78731"/>
          <w:sz w:val="20"/>
          <w:szCs w:val="20"/>
        </w:rPr>
        <w:t xml:space="preserve">Zero new backend requirements.  </w:t>
      </w:r>
      <w:r>
        <w:rPr>
          <w:rFonts w:ascii="Arial" w:cs="Arial" w:eastAsia="Arial" w:hAnsi="Arial"/>
          <w:color w:val="1A1A1A"/>
          <w:sz w:val="20"/>
          <w:szCs w:val="20"/>
        </w:rPr>
        <w:t xml:space="preserve">No new npm packages. No new backend services. No new API keys for the chatbot itself. No environment variables. No cloud infrastructure changes. The chatbot widget runs entirely on top of what already exists.</w:t>
      </w:r>
    </w:p>
    <w:p>
      <w:pPr>
        <w:spacing w:after="120" w:before="0"/>
      </w:pPr>
    </w:p>
    <w:p>
      <w:pPr>
        <w:pStyle w:val="Heading2"/>
        <w:spacing w:after="120" w:before="280"/>
      </w:pPr>
      <w:r>
        <w:rPr>
          <w:rFonts w:ascii="Arial" w:cs="Arial" w:eastAsia="Arial" w:hAnsi="Arial"/>
          <w:b/>
          <w:bCs/>
          <w:color w:val="0A1F3D"/>
          <w:sz w:val="26"/>
          <w:szCs w:val="26"/>
        </w:rPr>
        <w:t xml:space="preserve">10.3  Build Resources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tblGrid>
      <w:tr>
        <w:tc>
          <w:tcPr>
            <w:tcW w:type="dxa" w:w="28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Resource</w:t>
            </w:r>
          </w:p>
        </w:tc>
        <w:tc>
          <w:tcPr>
            <w:tcW w:type="dxa" w:w="650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Requirement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Developer Skill</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TypeScript / Astro — mid-level front-end developer</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Estimated Build Time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3–5 hours (all files already written and delivered in the package)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Estimated Test Time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1–2 hours (full conversation flow, report accuracy, mobile, dark mode)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Infrastructure Cost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₹0 — no new services; Cloudflare Workers free tier covers the build</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Ongoing Maintenance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Minimal — update chatbot-questions.ts only if ISO 27001 domains change</w:t>
            </w:r>
          </w:p>
        </w:tc>
      </w:tr>
    </w:tbl>
    <w:p>
      <w:pPr>
        <w:spacing w:after="60" w:before="60"/>
      </w:pPr>
    </w:p>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10A. AI Agentic Coding Tool Pricing</w:t>
      </w:r>
    </w:p>
    <w:p>
      <w:pPr>
        <w:spacing w:after="120" w:before="80"/>
      </w:pPr>
      <w:r>
        <w:rPr>
          <w:rFonts w:ascii="Arial" w:cs="Arial" w:eastAsia="Arial" w:hAnsi="Arial"/>
          <w:color w:val="1A1A1A"/>
          <w:sz w:val="20"/>
          <w:szCs w:val="20"/>
        </w:rPr>
        <w:t xml:space="preserve">This project was built using agentic AI coding tools — specifically Claude AI and its Claude Code environment. The pricing below covers all subscription tiers available for these tools, plus the competing OpenAI Codex option, so the team can make an informed decision on which plan to adopt for ongoing development and maintenance.</w:t>
      </w:r>
    </w:p>
    <w:p>
      <w:pPr>
        <w:pBdr>
          <w:left w:val="single" w:color="E78731" w:sz="14"/>
        </w:pBdr>
        <w:shd w:fill="FEF3E2" w:val="clear"/>
        <w:spacing w:after="0" w:before="120"/>
        <w:ind w:left="160" w:right="160"/>
      </w:pPr>
      <w:r>
        <w:rPr>
          <w:rFonts w:ascii="Arial" w:cs="Arial" w:eastAsia="Arial" w:hAnsi="Arial"/>
          <w:b/>
          <w:bCs/>
          <w:color w:val="E78731"/>
          <w:sz w:val="20"/>
          <w:szCs w:val="20"/>
        </w:rPr>
        <w:t xml:space="preserve">Note on pricing:  </w:t>
      </w:r>
      <w:r>
        <w:rPr>
          <w:rFonts w:ascii="Arial" w:cs="Arial" w:eastAsia="Arial" w:hAnsi="Arial"/>
          <w:color w:val="1A1A1A"/>
          <w:sz w:val="20"/>
          <w:szCs w:val="20"/>
        </w:rPr>
        <w:t xml:space="preserve">All prices are in USD. India-region billing may vary. Prices are current as of April 2026 and are subject to change by Anthropic and OpenAI. Always verify at claude.com/pricing and openai.com/pricing before purchasing.</w:t>
      </w:r>
    </w:p>
    <w:p>
      <w:pPr>
        <w:spacing w:after="120" w:before="0"/>
      </w:pPr>
    </w:p>
    <w:p>
      <w:pPr>
        <w:spacing w:after="60" w:before="60"/>
      </w:pPr>
    </w:p>
    <w:p>
      <w:pPr>
        <w:pStyle w:val="Heading2"/>
        <w:spacing w:after="120" w:before="280"/>
      </w:pPr>
      <w:r>
        <w:rPr>
          <w:rFonts w:ascii="Arial" w:cs="Arial" w:eastAsia="Arial" w:hAnsi="Arial"/>
          <w:b/>
          <w:bCs/>
          <w:color w:val="0A1F3D"/>
          <w:sz w:val="26"/>
          <w:szCs w:val="26"/>
        </w:rPr>
        <w:t xml:space="preserve">A.  Claude AI by Anthropic — Subscription Plans</w:t>
      </w:r>
    </w:p>
    <w:p>
      <w:pPr>
        <w:spacing w:after="120" w:before="80"/>
      </w:pPr>
      <w:r>
        <w:rPr>
          <w:rFonts w:ascii="Arial" w:cs="Arial" w:eastAsia="Arial" w:hAnsi="Arial"/>
          <w:color w:val="1A1A1A"/>
          <w:sz w:val="20"/>
          <w:szCs w:val="20"/>
        </w:rPr>
        <w:t xml:space="preserve">Claude AI is the tool used to build this chatbot. It is available at claude.ai. The plans below cover individual developers and teams.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820"/>
        <w:gridCol w:w="2340"/>
        <w:gridCol w:w="2080"/>
      </w:tblGrid>
      <w:tr>
        <w:tc>
          <w:tcPr>
            <w:tcW w:type="dxa" w:w="15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Plan</w:t>
            </w:r>
          </w:p>
        </w:tc>
        <w:tc>
          <w:tcPr>
            <w:tcW w:type="dxa" w:w="15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Monthly Price</w:t>
            </w:r>
          </w:p>
        </w:tc>
        <w:tc>
          <w:tcPr>
            <w:tcW w:type="dxa" w:w="18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Annual Price</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Best For</w:t>
            </w:r>
          </w:p>
        </w:tc>
        <w:tc>
          <w:tcPr>
            <w:tcW w:type="dxa" w:w="208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Key Features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Free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$0</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$0</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Occasional use, evaluation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Basic Claude Sonnet access, limited daily usage, no Claude Code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Pro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$17 / month
($200 billed upfront)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Solo developer — daily coding work</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5× free-tier usage, Claude Code access, all models incl. Opus, Projects, priority access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Max 5×</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$100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$100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Heavy daily coding, agentic workflows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5× Pro usage per session, Opus model, priority during peak demand, Claude Code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Max 20×</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Intensive full-time AI-first dev</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 Pro usage, maximum throughput, Opus, all features — best for teams where one developer runs Claude Code all day</w:t>
            </w:r>
          </w:p>
        </w:tc>
      </w:tr>
    </w:tbl>
    <w:p>
      <w:pPr>
        <w:spacing w:after="60" w:before="60"/>
      </w:pPr>
    </w:p>
    <w:p>
      <w:pPr>
        <w:pStyle w:val="Heading2"/>
        <w:spacing w:after="120" w:before="280"/>
      </w:pPr>
      <w:r>
        <w:rPr>
          <w:rFonts w:ascii="Arial" w:cs="Arial" w:eastAsia="Arial" w:hAnsi="Arial"/>
          <w:b/>
          <w:bCs/>
          <w:color w:val="0A1F3D"/>
          <w:sz w:val="26"/>
          <w:szCs w:val="26"/>
        </w:rPr>
        <w:t xml:space="preserve">B.  Claude AI — Team Plans (Multi-Seat)</w:t>
      </w:r>
    </w:p>
    <w:p>
      <w:pPr>
        <w:spacing w:after="120" w:before="80"/>
      </w:pPr>
      <w:r>
        <w:rPr>
          <w:rFonts w:ascii="Arial" w:cs="Arial" w:eastAsia="Arial" w:hAnsi="Arial"/>
          <w:color w:val="1A1A1A"/>
          <w:sz w:val="20"/>
          <w:szCs w:val="20"/>
        </w:rPr>
        <w:t xml:space="preserve">For Cyberfyx's development team, the Team plan allows centralised billing and seat management. Minimum 5 seats required. Two seat types exist — Standard and Premium — and can be mixed within the same team.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1560"/>
        <w:gridCol w:w="1820"/>
        <w:gridCol w:w="1560"/>
        <w:gridCol w:w="2600"/>
      </w:tblGrid>
      <w:tr>
        <w:tc>
          <w:tcPr>
            <w:tcW w:type="dxa" w:w="18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Seat Type</w:t>
            </w:r>
          </w:p>
        </w:tc>
        <w:tc>
          <w:tcPr>
            <w:tcW w:type="dxa" w:w="15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Monthly / Seat</w:t>
            </w:r>
          </w:p>
        </w:tc>
        <w:tc>
          <w:tcPr>
            <w:tcW w:type="dxa" w:w="18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Annual / Seat</w:t>
            </w:r>
          </w:p>
        </w:tc>
        <w:tc>
          <w:tcPr>
            <w:tcW w:type="dxa" w:w="15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Claude Code Access</w:t>
            </w:r>
          </w:p>
        </w:tc>
        <w:tc>
          <w:tcPr>
            <w:tcW w:type="dxa" w:w="260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Usage Level</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Standard Seat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$30 / seat / mo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$25 / seat / mo</w:t>
            </w:r>
          </w:p>
        </w:tc>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bCs/>
                <w:color w:val="DC2626"/>
                <w:sz w:val="18"/>
                <w:szCs w:val="18"/>
              </w:rPr>
              <w:t xml:space="preserve">❌ No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1.25× Pro usage — for non-coding team members (design, management, QA)</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Premium Seat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$125 / seat / mo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$100 / seat / mo</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Yes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6.25× Pro usage — for developers who need Claude Code, full model access, and agentic workflows</w:t>
            </w:r>
          </w:p>
        </w:tc>
      </w:tr>
    </w:tbl>
    <w:p>
      <w:pPr>
        <w:spacing w:after="60" w:before="60"/>
      </w:pPr>
    </w:p>
    <w:p>
      <w:pPr>
        <w:spacing w:after="120" w:before="80"/>
      </w:pPr>
      <w:r>
        <w:rPr>
          <w:rFonts w:ascii="Arial" w:cs="Arial" w:eastAsia="Arial" w:hAnsi="Arial"/>
          <w:color w:val="1A1A1A"/>
          <w:sz w:val="20"/>
          <w:szCs w:val="20"/>
        </w:rPr>
        <w:t xml:space="preserve">Example cost for a 3-developer team (all Premium, billed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Calculation</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Monthly Cost</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Annual Cost</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3 × Premium Seats @ $100/seat/mo (annual)</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$300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$3,600 / year</w:t>
            </w:r>
          </w:p>
        </w:tc>
      </w:tr>
      <w:tr>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5 × Standard Seats @ $25/seat/mo (annual) — for team leads, QA, etc.</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$125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$1,500 / year</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Total (3 Premium + 5 Standard)</w:t>
            </w:r>
          </w:p>
        </w:tc>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$425 / month</w:t>
            </w:r>
          </w:p>
        </w:tc>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$5,100 / year</w:t>
            </w:r>
          </w:p>
        </w:tc>
      </w:tr>
    </w:tbl>
    <w:p>
      <w:pPr>
        <w:spacing w:after="60" w:before="60"/>
      </w:pPr>
    </w:p>
    <w:p>
      <w:pPr>
        <w:pStyle w:val="Heading2"/>
        <w:spacing w:after="120" w:before="280"/>
      </w:pPr>
      <w:r>
        <w:rPr>
          <w:rFonts w:ascii="Arial" w:cs="Arial" w:eastAsia="Arial" w:hAnsi="Arial"/>
          <w:b/>
          <w:bCs/>
          <w:color w:val="0A1F3D"/>
          <w:sz w:val="26"/>
          <w:szCs w:val="26"/>
        </w:rPr>
        <w:t xml:space="preserve">C.  Claude Code — Standalone CLI</w:t>
      </w:r>
    </w:p>
    <w:p>
      <w:pPr>
        <w:spacing w:after="120" w:before="80"/>
      </w:pPr>
      <w:r>
        <w:rPr>
          <w:rFonts w:ascii="Arial" w:cs="Arial" w:eastAsia="Arial" w:hAnsi="Arial"/>
          <w:color w:val="1A1A1A"/>
          <w:sz w:val="20"/>
          <w:szCs w:val="20"/>
        </w:rPr>
        <w:t xml:space="preserve">Claude Code is the agentic terminal-based coding assistant from Anthropic. It is NOT a separate subscription — it is included within Claude subscription plans as follows: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340"/>
        <w:gridCol w:w="1820"/>
        <w:gridCol w:w="2340"/>
      </w:tblGrid>
      <w:tr>
        <w:tc>
          <w:tcPr>
            <w:tcW w:type="dxa" w:w="28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Access Path</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Plan Required</w:t>
            </w:r>
          </w:p>
        </w:tc>
        <w:tc>
          <w:tcPr>
            <w:tcW w:type="dxa" w:w="18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Monthly Cost</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Usage Level</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Individual — Light development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Claude Pro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~44K tokens / 5-hr window; fine for small projects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Individual — Professional daily use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Claude Max 5×</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$100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5× Pro capacity — suitable for medium codebases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Individual — Full-time AI dev</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Claude Max 20×</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 Pro capacity — for intensive daily agentic coding</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Team — per developer seat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Team Premium Seat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$125/seat/mo
($100 annual)</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6.25× Pro — team admin, SSO, central billing, shared projects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Pay-as-you-go API</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Anthropic Console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Per token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Sonnet 4.6: $3 input / $15 output per 1M tokens
Opus 4.6: $15 input / $75 output per 1M tokens</w:t>
            </w:r>
          </w:p>
        </w:tc>
      </w:tr>
    </w:tbl>
    <w:p>
      <w:pPr>
        <w:spacing w:after="60" w:before="60"/>
      </w:pPr>
    </w:p>
    <w:p>
      <w:pPr>
        <w:pBdr>
          <w:left w:val="single" w:color="E78731" w:sz="14"/>
        </w:pBdr>
        <w:shd w:fill="FEF3E2" w:val="clear"/>
        <w:spacing w:after="0" w:before="120"/>
        <w:ind w:left="160" w:right="160"/>
      </w:pPr>
      <w:r>
        <w:rPr>
          <w:rFonts w:ascii="Arial" w:cs="Arial" w:eastAsia="Arial" w:hAnsi="Arial"/>
          <w:b/>
          <w:bCs/>
          <w:color w:val="E78731"/>
          <w:sz w:val="20"/>
          <w:szCs w:val="20"/>
        </w:rPr>
        <w:t xml:space="preserve">Recommendation for Cyberfyx dev team:  </w:t>
      </w:r>
      <w:r>
        <w:rPr>
          <w:rFonts w:ascii="Arial" w:cs="Arial" w:eastAsia="Arial" w:hAnsi="Arial"/>
          <w:color w:val="1A1A1A"/>
          <w:sz w:val="20"/>
          <w:szCs w:val="20"/>
        </w:rPr>
        <w:t xml:space="preserve">For 1–2 developers working on this project: Claude Pro ($20/month each) is sufficient for integration and testing. For ongoing AI-assisted feature development post-launch, Claude Max 5× ($100/month) is the best value.</w:t>
      </w:r>
    </w:p>
    <w:p>
      <w:pPr>
        <w:spacing w:after="120" w:before="0"/>
      </w:pPr>
    </w:p>
    <w:p>
      <w:pPr>
        <w:spacing w:after="60" w:before="60"/>
      </w:pPr>
    </w:p>
    <w:p>
      <w:pPr>
        <w:pStyle w:val="Heading2"/>
        <w:spacing w:after="120" w:before="280"/>
      </w:pPr>
      <w:r>
        <w:rPr>
          <w:rFonts w:ascii="Arial" w:cs="Arial" w:eastAsia="Arial" w:hAnsi="Arial"/>
          <w:b/>
          <w:bCs/>
          <w:color w:val="0A1F3D"/>
          <w:sz w:val="26"/>
          <w:szCs w:val="26"/>
        </w:rPr>
        <w:t xml:space="preserve">D.  OpenAI Codex — Alternative / Competing Tool</w:t>
      </w:r>
    </w:p>
    <w:p>
      <w:pPr>
        <w:spacing w:after="120" w:before="80"/>
      </w:pPr>
      <w:r>
        <w:rPr>
          <w:rFonts w:ascii="Arial" w:cs="Arial" w:eastAsia="Arial" w:hAnsi="Arial"/>
          <w:color w:val="1A1A1A"/>
          <w:sz w:val="20"/>
          <w:szCs w:val="20"/>
        </w:rPr>
        <w:t xml:space="preserve">OpenAI Codex is the alternative agentic coding tool from OpenAI, included with ChatGPT subscriptions. It uses a credit-based system (token-based as of April 2026). Prices below are for comparison purposes.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1560"/>
        <w:gridCol w:w="1820"/>
        <w:gridCol w:w="1300"/>
        <w:gridCol w:w="2860"/>
      </w:tblGrid>
      <w:tr>
        <w:tc>
          <w:tcPr>
            <w:tcW w:type="dxa" w:w="18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Plan</w:t>
            </w:r>
          </w:p>
        </w:tc>
        <w:tc>
          <w:tcPr>
            <w:tcW w:type="dxa" w:w="15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Monthly Price</w:t>
            </w:r>
          </w:p>
        </w:tc>
        <w:tc>
          <w:tcPr>
            <w:tcW w:type="dxa" w:w="18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Annual Price</w:t>
            </w:r>
          </w:p>
        </w:tc>
        <w:tc>
          <w:tcPr>
            <w:tcW w:type="dxa" w:w="130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Codex Access</w:t>
            </w:r>
          </w:p>
        </w:tc>
        <w:tc>
          <w:tcPr>
            <w:tcW w:type="dxa" w:w="286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Notes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Free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$0</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$0</w:t>
            </w:r>
          </w:p>
        </w:tc>
        <w:tc>
          <w:tcPr>
            <w:tcBorders>
              <w:top w:val="single" w:color="D4D0C8" w:sz="1"/>
              <w:left w:val="single" w:color="D4D0C8" w:sz="1"/>
              <w:bottom w:val="single" w:color="D4D0C8" w:sz="1"/>
              <w:right w:val="single" w:color="D4D0C8" w:sz="1"/>
            </w:tcBorders>
            <w:shd w:fill="FEE2E2" w:val="clear"/>
            <w:tcMar>
              <w:top w:type="dxa" w:w="100"/>
              <w:left w:type="dxa" w:w="130"/>
              <w:bottom w:type="dxa" w:w="100"/>
              <w:right w:type="dxa" w:w="130"/>
            </w:tcMar>
            <w:vAlign w:val="center"/>
          </w:tcPr>
          <w:p>
            <w:pPr>
              <w:jc w:val="left"/>
            </w:pPr>
            <w:r>
              <w:rPr>
                <w:rFonts w:ascii="Arial" w:cs="Arial" w:eastAsia="Arial" w:hAnsi="Arial"/>
                <w:b/>
                <w:bCs/>
                <w:color w:val="DC2626"/>
                <w:sz w:val="18"/>
                <w:szCs w:val="18"/>
              </w:rPr>
              <w:t xml:space="preserve">❌ No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No Codex access on free tier</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ChatGPT Plus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 / month</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Yes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30–150 Codex messages / 5 hrs; suitable for light dev tasks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ChatGPT Pro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$200 / 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$200 / month</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Yes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300–1,500 messages / 5 hrs; includes GPT-5 Codex, Sora Turbo, unlimited o1</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ChatGPT Team</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$30 / seat / mo</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$25 / seat / mo</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Yes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Min 2 seats; admin controls, SSO, shared workspace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API — codex-mini-latest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Pay per token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Yes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$1.50 / 1M input tokens, $6.00 / 1M output tokens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API — GPT-5 (standard)</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Pay per token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 Yes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$1.25 / 1M input tokens, $10.00 / 1M output tokens</w:t>
            </w:r>
          </w:p>
        </w:tc>
      </w:tr>
    </w:tbl>
    <w:p>
      <w:pPr>
        <w:spacing w:after="60" w:before="60"/>
      </w:pPr>
    </w:p>
    <w:p>
      <w:pPr>
        <w:pStyle w:val="Heading2"/>
        <w:spacing w:after="120" w:before="280"/>
      </w:pPr>
      <w:r>
        <w:rPr>
          <w:rFonts w:ascii="Arial" w:cs="Arial" w:eastAsia="Arial" w:hAnsi="Arial"/>
          <w:b/>
          <w:bCs/>
          <w:color w:val="0A1F3D"/>
          <w:sz w:val="26"/>
          <w:szCs w:val="26"/>
        </w:rPr>
        <w:t xml:space="preserve">E.  Head-to-Head Comparison: Claude vs. OpenAI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Factor</w:t>
            </w:r>
          </w:p>
        </w:tc>
        <w:tc>
          <w:tcPr>
            <w:tcW w:type="dxa" w:w="351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Claude AI + Claude Code</w:t>
            </w:r>
          </w:p>
        </w:tc>
        <w:tc>
          <w:tcPr>
            <w:tcW w:type="dxa" w:w="351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OpenAI Codex (via ChatGPT)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Entry Price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$20/month (Pro) — includes Claude Code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$20/month (Plus) — includes Codex CLI</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Team Price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$100/seat/mo (annual) for Premium seat with Claude Code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$25/seat/mo (annual) for Team plan with Codex</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Best Model</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Claude Opus 4.6 / Sonnet 4.6 (SOTA for long-context coding)</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GPT-5 Codex (strong coding agent, especially agentic tasks)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Context Window</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200K tokens (Team); 1M tokens via API (Sonnet 4.6)</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128K tokens standard</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API Pricing</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Sonnet 4.6: $3/$15 per 1M tokens
Opus 4.6: $15/$75 per 1M tokens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codex-mini: $1.50/$6.00 per 1M tokens
GPT-5: $1.25/$10.00 per 1M tokens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Best Use Case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Coding + document analysis + long-context reasoning — ideal for full-stack builds like this chatbot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Autonomous coding agents, parallel task execution, GitHub PR reviews</w:t>
            </w:r>
          </w:p>
        </w:tc>
      </w:tr>
      <w:tr>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bCs/>
                <w:color w:val="16A34A"/>
                <w:sz w:val="18"/>
                <w:szCs w:val="18"/>
              </w:rPr>
              <w:t xml:space="preserve">Recommended For This Project</w:t>
            </w:r>
          </w:p>
        </w:tc>
        <w:tc>
          <w:tcPr>
            <w:tcBorders>
              <w:top w:val="single" w:color="D4D0C8" w:sz="1"/>
              <w:left w:val="single" w:color="D4D0C8" w:sz="1"/>
              <w:bottom w:val="single" w:color="D4D0C8" w:sz="1"/>
              <w:right w:val="single" w:color="D4D0C8" w:sz="1"/>
            </w:tcBorders>
            <w:shd w:fill="DCFCE7" w:val="clear"/>
            <w:tcMar>
              <w:top w:type="dxa" w:w="100"/>
              <w:left w:type="dxa" w:w="130"/>
              <w:bottom w:type="dxa" w:w="100"/>
              <w:right w:type="dxa" w:w="130"/>
            </w:tcMar>
            <w:vAlign w:val="center"/>
          </w:tcPr>
          <w:p>
            <w:pPr>
              <w:jc w:val="left"/>
            </w:pPr>
            <w:r>
              <w:rPr>
                <w:rFonts w:ascii="Arial" w:cs="Arial" w:eastAsia="Arial" w:hAnsi="Arial"/>
                <w:b w:val="false"/>
                <w:bCs w:val="false"/>
                <w:color w:val="16A34A"/>
                <w:sz w:val="18"/>
                <w:szCs w:val="18"/>
              </w:rPr>
              <w:t xml:space="preserve">✅ YES — Used to build this project; full Astro/TS support proven</w:t>
            </w:r>
          </w:p>
        </w:tc>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Alternative option — viable but not tested on this codebase</w:t>
            </w:r>
          </w:p>
        </w:tc>
      </w:tr>
    </w:tbl>
    <w:p>
      <w:pPr>
        <w:spacing w:after="60" w:before="60"/>
      </w:pPr>
    </w:p>
    <w:p>
      <w:pPr>
        <w:pStyle w:val="Heading2"/>
        <w:spacing w:after="120" w:before="280"/>
      </w:pPr>
      <w:r>
        <w:rPr>
          <w:rFonts w:ascii="Arial" w:cs="Arial" w:eastAsia="Arial" w:hAnsi="Arial"/>
          <w:b/>
          <w:bCs/>
          <w:color w:val="0A1F3D"/>
          <w:sz w:val="26"/>
          <w:szCs w:val="26"/>
        </w:rPr>
        <w:t xml:space="preserve">F.  Recommended Tool &amp; Budget Summary</w:t>
      </w:r>
    </w:p>
    <w:p>
      <w:pPr>
        <w:spacing w:after="120" w:before="80"/>
      </w:pPr>
      <w:r>
        <w:rPr>
          <w:rFonts w:ascii="Arial" w:cs="Arial" w:eastAsia="Arial" w:hAnsi="Arial"/>
          <w:color w:val="1A1A1A"/>
          <w:sz w:val="20"/>
          <w:szCs w:val="20"/>
        </w:rPr>
        <w:t xml:space="preserve">Based on the team size and scope of this project, the recommended configuration 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Scenario</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Tool</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Plan</w:t>
            </w:r>
          </w:p>
        </w:tc>
        <w:tc>
          <w:tcPr>
            <w:tcW w:type="dxa" w:w="23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Est. Monthly Cost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 Developer (integration only)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Claude AI</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Pro — $20/month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 / month</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1 Developer (ongoing AI-first dev)</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Claude AI</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Max 5× — $100/month</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$100 / month</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Small team — 3 devs + 2 non-devs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Claude AI Team</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3× Premium + 2× Standard (annual)</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$350 / month
($4,200 / year)</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One-time build only (minimal cost)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Claude AI</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Pro × 1 month then cancel</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$20 one-time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Budget-conscious alternative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OpenAI Codex via ChatGPT Team</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Team @ $25/seat/mo (annual), min 2 seats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$50 / month (2 seats)</w:t>
            </w:r>
          </w:p>
        </w:tc>
      </w:tr>
    </w:tbl>
    <w:p>
      <w:pPr>
        <w:spacing w:after="60" w:before="60"/>
      </w:pPr>
    </w:p>
    <w:p>
      <w:pPr>
        <w:pBdr>
          <w:left w:val="single" w:color="E78731" w:sz="14"/>
        </w:pBdr>
        <w:shd w:fill="FEF3E2" w:val="clear"/>
        <w:spacing w:after="0" w:before="120"/>
        <w:ind w:left="160" w:right="160"/>
      </w:pPr>
      <w:r>
        <w:rPr>
          <w:rFonts w:ascii="Arial" w:cs="Arial" w:eastAsia="Arial" w:hAnsi="Arial"/>
          <w:b/>
          <w:bCs/>
          <w:color w:val="E78731"/>
          <w:sz w:val="20"/>
          <w:szCs w:val="20"/>
        </w:rPr>
        <w:t xml:space="preserve">Bottom line:  </w:t>
      </w:r>
      <w:r>
        <w:rPr>
          <w:rFonts w:ascii="Arial" w:cs="Arial" w:eastAsia="Arial" w:hAnsi="Arial"/>
          <w:color w:val="1A1A1A"/>
          <w:sz w:val="20"/>
          <w:szCs w:val="20"/>
        </w:rPr>
        <w:t xml:space="preserve">The chatbot code itself costs nothing to run. The AI tool cost is a one-time or ongoing developer productivity investment — not an operational cost of the chatbot. Once built and deployed, the chatbot runs at ₹0 per month.</w:t>
      </w:r>
    </w:p>
    <w:p>
      <w:pPr>
        <w:spacing w:after="120" w:before="0"/>
      </w:pPr>
    </w:p>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11. Performance, Quality &amp; Accessibility</w:t>
      </w:r>
    </w:p>
    <w:p>
      <w:pPr>
        <w:pStyle w:val="Heading2"/>
        <w:spacing w:after="120" w:before="280"/>
      </w:pPr>
      <w:r>
        <w:rPr>
          <w:rFonts w:ascii="Arial" w:cs="Arial" w:eastAsia="Arial" w:hAnsi="Arial"/>
          <w:b/>
          <w:bCs/>
          <w:color w:val="0A1F3D"/>
          <w:sz w:val="26"/>
          <w:szCs w:val="26"/>
        </w:rPr>
        <w:t xml:space="preserve">11.1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c>
          <w:tcPr>
            <w:tcW w:type="dxa" w:w="36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Metric</w:t>
            </w:r>
          </w:p>
        </w:tc>
        <w:tc>
          <w:tcPr>
            <w:tcW w:type="dxa" w:w="57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Value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Time to first interaction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&lt; 50ms (no network requests at startup)</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JavaScript bundle size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~12 KB minified</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CSS size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~8 KB minified</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API calls during assessment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0 — all processing is in-browser</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API calls on completion</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 — Google Forms POST (fire-and-forget, non-blocking)</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Works offline</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Yes — except the final lead submission</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Score determinism</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100% — same answers always yield identical score</w:t>
            </w:r>
          </w:p>
        </w:tc>
      </w:tr>
    </w:tbl>
    <w:p>
      <w:pPr>
        <w:spacing w:after="60" w:before="60"/>
      </w:pPr>
    </w:p>
    <w:p>
      <w:pPr>
        <w:pStyle w:val="Heading2"/>
        <w:spacing w:after="120" w:before="280"/>
      </w:pPr>
      <w:r>
        <w:rPr>
          <w:rFonts w:ascii="Arial" w:cs="Arial" w:eastAsia="Arial" w:hAnsi="Arial"/>
          <w:b/>
          <w:bCs/>
          <w:color w:val="0A1F3D"/>
          <w:sz w:val="26"/>
          <w:szCs w:val="26"/>
        </w:rPr>
        <w:t xml:space="preserve">11.2  Accessibility Compliance</w:t>
      </w:r>
    </w:p>
    <w:p>
      <w:pPr>
        <w:pStyle w:val="ListParagraph"/>
        <w:numPr>
          <w:ilvl w:val="0"/>
          <w:numId w:val="2"/>
        </w:numPr>
        <w:spacing w:after="60" w:before="60"/>
      </w:pPr>
      <w:r>
        <w:rPr>
          <w:rFonts w:ascii="Arial" w:cs="Arial" w:eastAsia="Arial" w:hAnsi="Arial"/>
          <w:color w:val="1A1A1A"/>
          <w:sz w:val="20"/>
          <w:szCs w:val="20"/>
        </w:rPr>
        <w:t xml:space="preserve">ARIA roles: role="dialog", role="log" (aria-live), role="progressbar" on all interactive regions</w:t>
      </w:r>
    </w:p>
    <w:p>
      <w:pPr>
        <w:pStyle w:val="ListParagraph"/>
        <w:numPr>
          <w:ilvl w:val="0"/>
          <w:numId w:val="2"/>
        </w:numPr>
        <w:spacing w:after="60" w:before="60"/>
      </w:pPr>
      <w:r>
        <w:rPr>
          <w:rFonts w:ascii="Arial" w:cs="Arial" w:eastAsia="Arial" w:hAnsi="Arial"/>
          <w:color w:val="1A1A1A"/>
          <w:sz w:val="20"/>
          <w:szCs w:val="20"/>
        </w:rPr>
        <w:t xml:space="preserve">All buttons have aria-label attributes for screen readers</w:t>
      </w:r>
    </w:p>
    <w:p>
      <w:pPr>
        <w:pStyle w:val="ListParagraph"/>
        <w:numPr>
          <w:ilvl w:val="0"/>
          <w:numId w:val="2"/>
        </w:numPr>
        <w:spacing w:after="60" w:before="60"/>
      </w:pPr>
      <w:r>
        <w:rPr>
          <w:rFonts w:ascii="Arial" w:cs="Arial" w:eastAsia="Arial" w:hAnsi="Arial"/>
          <w:color w:val="1A1A1A"/>
          <w:sz w:val="20"/>
          <w:szCs w:val="20"/>
        </w:rPr>
        <w:t xml:space="preserve">Full keyboard navigation — tab through inputs and buttons, Enter to submit</w:t>
      </w:r>
    </w:p>
    <w:p>
      <w:pPr>
        <w:pStyle w:val="ListParagraph"/>
        <w:numPr>
          <w:ilvl w:val="0"/>
          <w:numId w:val="2"/>
        </w:numPr>
        <w:spacing w:after="60" w:before="60"/>
      </w:pPr>
      <w:r>
        <w:rPr>
          <w:rFonts w:ascii="Arial" w:cs="Arial" w:eastAsia="Arial" w:hAnsi="Arial"/>
          <w:color w:val="1A1A1A"/>
          <w:sz w:val="20"/>
          <w:szCs w:val="20"/>
        </w:rPr>
        <w:t xml:space="preserve">prefers-reduced-motion respected — all animations disabled for vestibular disorder users</w:t>
      </w:r>
    </w:p>
    <w:p>
      <w:pPr>
        <w:pStyle w:val="ListParagraph"/>
        <w:numPr>
          <w:ilvl w:val="0"/>
          <w:numId w:val="2"/>
        </w:numPr>
        <w:spacing w:after="60" w:before="60"/>
      </w:pPr>
      <w:r>
        <w:rPr>
          <w:rFonts w:ascii="Arial" w:cs="Arial" w:eastAsia="Arial" w:hAnsi="Arial"/>
          <w:color w:val="1A1A1A"/>
          <w:sz w:val="20"/>
          <w:szCs w:val="20"/>
        </w:rPr>
        <w:t xml:space="preserve">Minimum touch target 44×44px on all mobile buttons (WCAG 2.1 AA)</w:t>
      </w:r>
    </w:p>
    <w:p>
      <w:pPr>
        <w:pStyle w:val="ListParagraph"/>
        <w:numPr>
          <w:ilvl w:val="0"/>
          <w:numId w:val="2"/>
        </w:numPr>
        <w:spacing w:after="60" w:before="60"/>
      </w:pPr>
      <w:r>
        <w:rPr>
          <w:rFonts w:ascii="Arial" w:cs="Arial" w:eastAsia="Arial" w:hAnsi="Arial"/>
          <w:color w:val="1A1A1A"/>
          <w:sz w:val="20"/>
          <w:szCs w:val="20"/>
        </w:rPr>
        <w:t xml:space="preserve">Colour contrast ratio ≥ 4.5:1 across all text/background combinations</w:t>
      </w:r>
    </w:p>
    <w:p>
      <w:pPr>
        <w:pStyle w:val="Heading2"/>
        <w:spacing w:after="120" w:before="280"/>
      </w:pPr>
      <w:r>
        <w:rPr>
          <w:rFonts w:ascii="Arial" w:cs="Arial" w:eastAsia="Arial" w:hAnsi="Arial"/>
          <w:b/>
          <w:bCs/>
          <w:color w:val="0A1F3D"/>
          <w:sz w:val="26"/>
          <w:szCs w:val="26"/>
        </w:rPr>
        <w:t xml:space="preserve">11.3  Security Considerations</w:t>
      </w:r>
    </w:p>
    <w:p>
      <w:pPr>
        <w:pStyle w:val="ListParagraph"/>
        <w:numPr>
          <w:ilvl w:val="0"/>
          <w:numId w:val="2"/>
        </w:numPr>
        <w:spacing w:after="60" w:before="60"/>
      </w:pPr>
      <w:r>
        <w:rPr>
          <w:rFonts w:ascii="Arial" w:cs="Arial" w:eastAsia="Arial" w:hAnsi="Arial"/>
          <w:color w:val="1A1A1A"/>
          <w:sz w:val="20"/>
          <w:szCs w:val="20"/>
        </w:rPr>
        <w:t xml:space="preserve">No sensitive data stored in browser storage — all state is in-memory only</w:t>
      </w:r>
    </w:p>
    <w:p>
      <w:pPr>
        <w:pStyle w:val="ListParagraph"/>
        <w:numPr>
          <w:ilvl w:val="0"/>
          <w:numId w:val="2"/>
        </w:numPr>
        <w:spacing w:after="60" w:before="60"/>
      </w:pPr>
      <w:r>
        <w:rPr>
          <w:rFonts w:ascii="Arial" w:cs="Arial" w:eastAsia="Arial" w:hAnsi="Arial"/>
          <w:color w:val="1A1A1A"/>
          <w:sz w:val="20"/>
          <w:szCs w:val="20"/>
        </w:rPr>
        <w:t xml:space="preserve">No eval() or dynamic script execution</w:t>
      </w:r>
    </w:p>
    <w:p>
      <w:pPr>
        <w:pStyle w:val="ListParagraph"/>
        <w:numPr>
          <w:ilvl w:val="0"/>
          <w:numId w:val="2"/>
        </w:numPr>
        <w:spacing w:after="60" w:before="60"/>
      </w:pPr>
      <w:r>
        <w:rPr>
          <w:rFonts w:ascii="Arial" w:cs="Arial" w:eastAsia="Arial" w:hAnsi="Arial"/>
          <w:color w:val="1A1A1A"/>
          <w:sz w:val="20"/>
          <w:szCs w:val="20"/>
        </w:rPr>
        <w:t xml:space="preserve">Google Forms submission uses no-cors mode — no auth token exposure</w:t>
      </w:r>
    </w:p>
    <w:p>
      <w:pPr>
        <w:pStyle w:val="ListParagraph"/>
        <w:numPr>
          <w:ilvl w:val="0"/>
          <w:numId w:val="2"/>
        </w:numPr>
        <w:spacing w:after="60" w:before="60"/>
      </w:pPr>
      <w:r>
        <w:rPr>
          <w:rFonts w:ascii="Arial" w:cs="Arial" w:eastAsia="Arial" w:hAnsi="Arial"/>
          <w:color w:val="1A1A1A"/>
          <w:sz w:val="20"/>
          <w:szCs w:val="20"/>
        </w:rPr>
        <w:t xml:space="preserve">No PII retained after session close — all data goes directly to Google Forms</w:t>
      </w:r>
    </w:p>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12. Customisation &amp; Future Roadmap</w:t>
      </w:r>
    </w:p>
    <w:p>
      <w:pPr>
        <w:pStyle w:val="Heading2"/>
        <w:spacing w:after="120" w:before="280"/>
      </w:pPr>
      <w:r>
        <w:rPr>
          <w:rFonts w:ascii="Arial" w:cs="Arial" w:eastAsia="Arial" w:hAnsi="Arial"/>
          <w:b/>
          <w:bCs/>
          <w:color w:val="0A1F3D"/>
          <w:sz w:val="26"/>
          <w:szCs w:val="26"/>
        </w:rPr>
        <w:t xml:space="preserve">12.1  Easy Customisations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c>
          <w:tcPr>
            <w:tcW w:type="dxa" w:w="36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to Change</w:t>
            </w:r>
          </w:p>
        </w:tc>
        <w:tc>
          <w:tcPr>
            <w:tcW w:type="dxa" w:w="57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Where to Change It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Maturity thresholds (85%, 50%)</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chatbot-questions.ts → MATURITY_THRESHOLDS constant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Domain weights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chatbot-questions.ts → each question's weight: property</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Question text or hints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chatbot-questions.ts → question and hint fields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Gap/recommendation text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chatbot-questions.ts → gap and recommendation fields</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CTA messages per maturity</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chatbot-questions.ts → MATURITY_CONFIG.cta per level</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Number of gaps shown in report</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chatbot.ts → change .slice(0, 6) to desired number</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Google Forms URL</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chatbot.ts → GOOGLE_FORM_URL constant at top of file</w:t>
            </w:r>
          </w:p>
        </w:tc>
      </w:tr>
    </w:tbl>
    <w:p>
      <w:pPr>
        <w:spacing w:after="60" w:before="60"/>
      </w:pPr>
    </w:p>
    <w:p>
      <w:pPr>
        <w:pStyle w:val="Heading2"/>
        <w:spacing w:after="120" w:before="280"/>
      </w:pPr>
      <w:r>
        <w:rPr>
          <w:rFonts w:ascii="Arial" w:cs="Arial" w:eastAsia="Arial" w:hAnsi="Arial"/>
          <w:b/>
          <w:bCs/>
          <w:color w:val="0A1F3D"/>
          <w:sz w:val="26"/>
          <w:szCs w:val="26"/>
        </w:rPr>
        <w:t xml:space="preserve">12.2  Potential Future Enhancements</w:t>
      </w:r>
    </w:p>
    <w:p>
      <w:pPr>
        <w:pStyle w:val="ListParagraph"/>
        <w:numPr>
          <w:ilvl w:val="0"/>
          <w:numId w:val="2"/>
        </w:numPr>
        <w:spacing w:after="60" w:before="60"/>
      </w:pPr>
      <w:r>
        <w:rPr>
          <w:rFonts w:ascii="Arial" w:cs="Arial" w:eastAsia="Arial" w:hAnsi="Arial"/>
          <w:color w:val="1A1A1A"/>
          <w:sz w:val="20"/>
          <w:szCs w:val="20"/>
        </w:rPr>
        <w:t xml:space="preserve">Phase 2: Backend persistence — save full assessment results to a database for CRM use and dashboard analytics</w:t>
      </w:r>
    </w:p>
    <w:p>
      <w:pPr>
        <w:pStyle w:val="ListParagraph"/>
        <w:numPr>
          <w:ilvl w:val="0"/>
          <w:numId w:val="2"/>
        </w:numPr>
        <w:spacing w:after="60" w:before="60"/>
      </w:pPr>
      <w:r>
        <w:rPr>
          <w:rFonts w:ascii="Arial" w:cs="Arial" w:eastAsia="Arial" w:hAnsi="Arial"/>
          <w:color w:val="1A1A1A"/>
          <w:sz w:val="20"/>
          <w:szCs w:val="20"/>
        </w:rPr>
        <w:t xml:space="preserve">Phase 2: Admin dashboard — view all submissions, filter by maturity level, export to CSV</w:t>
      </w:r>
    </w:p>
    <w:p>
      <w:pPr>
        <w:pStyle w:val="ListParagraph"/>
        <w:numPr>
          <w:ilvl w:val="0"/>
          <w:numId w:val="2"/>
        </w:numPr>
        <w:spacing w:after="60" w:before="60"/>
      </w:pPr>
      <w:r>
        <w:rPr>
          <w:rFonts w:ascii="Arial" w:cs="Arial" w:eastAsia="Arial" w:hAnsi="Arial"/>
          <w:color w:val="1A1A1A"/>
          <w:sz w:val="20"/>
          <w:szCs w:val="20"/>
        </w:rPr>
        <w:t xml:space="preserve">Phase 2: Email report — send the gap report to the respondent's email automatically via SendGrid</w:t>
      </w:r>
    </w:p>
    <w:p>
      <w:pPr>
        <w:pStyle w:val="ListParagraph"/>
        <w:numPr>
          <w:ilvl w:val="0"/>
          <w:numId w:val="2"/>
        </w:numPr>
        <w:spacing w:after="60" w:before="60"/>
      </w:pPr>
      <w:r>
        <w:rPr>
          <w:rFonts w:ascii="Arial" w:cs="Arial" w:eastAsia="Arial" w:hAnsi="Arial"/>
          <w:color w:val="1A1A1A"/>
          <w:sz w:val="20"/>
          <w:szCs w:val="20"/>
        </w:rPr>
        <w:t xml:space="preserve">Phase 3: Multi-framework support — add questionnaire variants for SOC 2, NIST, GDPR</w:t>
      </w:r>
    </w:p>
    <w:p>
      <w:pPr>
        <w:pStyle w:val="ListParagraph"/>
        <w:numPr>
          <w:ilvl w:val="0"/>
          <w:numId w:val="2"/>
        </w:numPr>
        <w:spacing w:after="60" w:before="60"/>
      </w:pPr>
      <w:r>
        <w:rPr>
          <w:rFonts w:ascii="Arial" w:cs="Arial" w:eastAsia="Arial" w:hAnsi="Arial"/>
          <w:color w:val="1A1A1A"/>
          <w:sz w:val="20"/>
          <w:szCs w:val="20"/>
        </w:rPr>
        <w:t xml:space="preserve">Phase 3: PDF report generation — allow users to download their assessment as a branded PDF</w:t>
      </w:r>
    </w:p>
    <w:p>
      <w:pPr>
        <w:pStyle w:val="ListParagraph"/>
        <w:numPr>
          <w:ilvl w:val="0"/>
          <w:numId w:val="2"/>
        </w:numPr>
        <w:spacing w:after="60" w:before="60"/>
      </w:pPr>
      <w:r>
        <w:rPr>
          <w:rFonts w:ascii="Arial" w:cs="Arial" w:eastAsia="Arial" w:hAnsi="Arial"/>
          <w:color w:val="1A1A1A"/>
          <w:sz w:val="20"/>
          <w:szCs w:val="20"/>
        </w:rPr>
        <w:t xml:space="preserve">Phase 3: Comparison mode — let returning users compare current score vs. previous assessment</w:t>
      </w:r>
    </w:p>
    <w:p>
      <w:r>
        <w:br w:type="page"/>
      </w:r>
    </w:p>
    <w:p>
      <w:pPr>
        <w:pStyle w:val="Heading1"/>
        <w:pBdr>
          <w:bottom w:val="single" w:color="E78731" w:sz="6" w:space="4"/>
        </w:pBdr>
        <w:spacing w:after="160" w:before="360"/>
      </w:pPr>
      <w:r>
        <w:rPr>
          <w:rFonts w:ascii="Arial" w:cs="Arial" w:eastAsia="Arial" w:hAnsi="Arial"/>
          <w:b/>
          <w:bCs/>
          <w:color w:val="0A1F3D"/>
          <w:sz w:val="32"/>
          <w:szCs w:val="32"/>
        </w:rPr>
        <w:t xml:space="preserve">13. Summary</w:t>
      </w:r>
    </w:p>
    <w:p>
      <w:pPr>
        <w:spacing w:after="120" w:before="80"/>
      </w:pPr>
      <w:r>
        <w:rPr>
          <w:rFonts w:ascii="Arial" w:cs="Arial" w:eastAsia="Arial" w:hAnsi="Arial"/>
          <w:color w:val="1A1A1A"/>
          <w:sz w:val="20"/>
          <w:szCs w:val="20"/>
        </w:rPr>
        <w:t xml:space="preserve">The Cyberfyx Compliance Evaluation Chatbot is a production-ready, zero-dependency, deterministic assessment tool that: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Delivers</w:t>
            </w:r>
          </w:p>
        </w:tc>
        <w:tc>
          <w:tcPr>
            <w:tcW w:type="dxa" w:w="6240"/>
            <w:tcBorders>
              <w:top w:val="single" w:color="D4D0C8" w:sz="1"/>
              <w:left w:val="single" w:color="D4D0C8" w:sz="1"/>
              <w:bottom w:val="single" w:color="D4D0C8" w:sz="1"/>
              <w:right w:val="single" w:color="D4D0C8" w:sz="1"/>
            </w:tcBorders>
            <w:shd w:fill="0A1F3D"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Value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To visitors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A free, instant, personalised ISO 27001 maturity assessment with actionable gap report</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To the sales team</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Qualified leads with company name, email, maturity level, and score automatically captured</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To the business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Reduced sales friction, increased service CTR, and a compelling differentiator on the site</w:t>
            </w:r>
          </w:p>
        </w:tc>
      </w:tr>
      <w:tr>
        <w:tc>
          <w:tcPr>
            <w:tcBorders>
              <w:top w:val="single" w:color="D4D0C8" w:sz="1"/>
              <w:left w:val="single" w:color="D4D0C8" w:sz="1"/>
              <w:bottom w:val="single" w:color="D4D0C8" w:sz="1"/>
              <w:right w:val="single" w:color="D4D0C8" w:sz="1"/>
            </w:tcBorders>
            <w:shd w:fill="F5F3EE" w:val="clear"/>
            <w:tcMar>
              <w:top w:type="dxa" w:w="100"/>
              <w:left w:type="dxa" w:w="130"/>
              <w:bottom w:type="dxa" w:w="100"/>
              <w:right w:type="dxa" w:w="130"/>
            </w:tcMar>
            <w:vAlign w:val="center"/>
          </w:tcPr>
          <w:p>
            <w:pPr>
              <w:jc w:val="left"/>
            </w:pPr>
            <w:r>
              <w:rPr>
                <w:rFonts w:ascii="Arial" w:cs="Arial" w:eastAsia="Arial" w:hAnsi="Arial"/>
                <w:b/>
                <w:bCs/>
                <w:color w:val="1A1A1A"/>
                <w:sz w:val="18"/>
                <w:szCs w:val="18"/>
              </w:rPr>
              <w:t xml:space="preserve">To developers</w:t>
            </w:r>
          </w:p>
        </w:tc>
        <w:tc>
          <w:tcPr>
            <w:tcBorders>
              <w:top w:val="single" w:color="D4D0C8" w:sz="1"/>
              <w:left w:val="single" w:color="D4D0C8" w:sz="1"/>
              <w:bottom w:val="single" w:color="D4D0C8" w:sz="1"/>
              <w:right w:val="single" w:color="D4D0C8" w:sz="1"/>
            </w:tcBorders>
            <w:shd w:fill="FFFFFF" w:val="clear"/>
            <w:tcMar>
              <w:top w:type="dxa" w:w="100"/>
              <w:left w:type="dxa" w:w="130"/>
              <w:bottom w:type="dxa" w:w="100"/>
              <w:right w:type="dxa" w:w="130"/>
            </w:tcMar>
            <w:vAlign w:val="center"/>
          </w:tcPr>
          <w:p>
            <w:pPr>
              <w:jc w:val="left"/>
            </w:pPr>
            <w:r>
              <w:rPr>
                <w:rFonts w:ascii="Arial" w:cs="Arial" w:eastAsia="Arial" w:hAnsi="Arial"/>
                <w:b w:val="false"/>
                <w:bCs w:val="false"/>
                <w:color w:val="1A1A1A"/>
                <w:sz w:val="18"/>
                <w:szCs w:val="18"/>
              </w:rPr>
              <w:t xml:space="preserve">Clean, typed, maintainable code that fits the existing architecture — 6 files, 2 lines changed</w:t>
            </w:r>
          </w:p>
        </w:tc>
      </w:tr>
    </w:tbl>
    <w:p>
      <w:pPr>
        <w:spacing w:after="60" w:before="60"/>
      </w:pPr>
    </w:p>
    <w:p>
      <w:pPr>
        <w:spacing w:after="120" w:before="80"/>
      </w:pPr>
      <w:r>
        <w:rPr>
          <w:rFonts w:ascii="Arial" w:cs="Arial" w:eastAsia="Arial" w:hAnsi="Arial"/>
          <w:color w:val="1A1A1A"/>
          <w:sz w:val="20"/>
          <w:szCs w:val="20"/>
        </w:rPr>
        <w:t xml:space="preserve">All code has been fully written and packaged. Integration requires dropping 6 files into the project and adding 2 lines to one existing file. No new infrastructure, no new dependencies, no backend changes.</w:t>
      </w:r>
    </w:p>
    <w:p>
      <w:pPr>
        <w:spacing w:after="60" w:before="60"/>
      </w:pPr>
    </w:p>
    <w:p>
      <w:pPr>
        <w:pBdr>
          <w:left w:val="single" w:color="E78731" w:sz="14"/>
        </w:pBdr>
        <w:shd w:fill="FEF3E2" w:val="clear"/>
        <w:spacing w:after="0" w:before="120"/>
        <w:ind w:left="160" w:right="160"/>
      </w:pPr>
      <w:r>
        <w:rPr>
          <w:rFonts w:ascii="Arial" w:cs="Arial" w:eastAsia="Arial" w:hAnsi="Arial"/>
          <w:b/>
          <w:bCs/>
          <w:color w:val="E78731"/>
          <w:sz w:val="20"/>
          <w:szCs w:val="20"/>
        </w:rPr>
        <w:t xml:space="preserve">Recommended Next Step:  </w:t>
      </w:r>
      <w:r>
        <w:rPr>
          <w:rFonts w:ascii="Arial" w:cs="Arial" w:eastAsia="Arial" w:hAnsi="Arial"/>
          <w:color w:val="1A1A1A"/>
          <w:sz w:val="20"/>
          <w:szCs w:val="20"/>
        </w:rPr>
        <w:t xml:space="preserve">Review this blueprint, align on any customisations required (question wording, Google Form field IDs, maturity thresholds), then proceed to integration and UAT. Estimated total time from blueprint approval to production deployment: 1 business day.</w:t>
      </w:r>
    </w:p>
    <w:p>
      <w:pPr>
        <w:spacing w:after="120" w:before="0"/>
      </w:pPr>
    </w:p>
    <w:p>
      <w:pPr>
        <w:spacing w:after="60" w:before="60"/>
      </w:pPr>
    </w:p>
    <w:p>
      <w:pPr>
        <w:spacing w:after="60" w:before="60"/>
      </w:pPr>
    </w:p>
    <w:p>
      <w:pPr>
        <w:pBdr>
          <w:bottom w:val="single" w:color="D4D0C8" w:sz="2" w:space="1"/>
        </w:pBdr>
        <w:spacing w:after="160" w:before="160"/>
      </w:pPr>
    </w:p>
    <w:p>
      <w:pPr>
        <w:spacing w:after="40" w:before="160"/>
        <w:jc w:val="center"/>
      </w:pPr>
      <w:r>
        <w:rPr>
          <w:rFonts w:ascii="Arial" w:cs="Arial" w:eastAsia="Arial" w:hAnsi="Arial"/>
          <w:b/>
          <w:bCs/>
          <w:color w:val="0A1F3D"/>
          <w:sz w:val="24"/>
          <w:szCs w:val="24"/>
        </w:rPr>
        <w:t xml:space="preserve">CYBERFYX</w:t>
      </w:r>
    </w:p>
    <w:p>
      <w:pPr>
        <w:spacing w:after="40" w:before="0"/>
        <w:jc w:val="center"/>
      </w:pPr>
      <w:r>
        <w:rPr>
          <w:rFonts w:ascii="Arial" w:cs="Arial" w:eastAsia="Arial" w:hAnsi="Arial"/>
          <w:i/>
          <w:iCs/>
          <w:color w:val="6B6B6B"/>
          <w:sz w:val="18"/>
          <w:szCs w:val="18"/>
        </w:rPr>
        <w:t xml:space="preserve">Intelligence-led protection. Regulatory readiness. Operational resilience.</w:t>
      </w:r>
    </w:p>
    <w:p>
      <w:pPr>
        <w:spacing w:after="0" w:before="0"/>
        <w:jc w:val="center"/>
      </w:pPr>
      <w:r>
        <w:rPr>
          <w:rFonts w:ascii="Arial" w:cs="Arial" w:eastAsia="Arial" w:hAnsi="Arial"/>
          <w:color w:val="E78731"/>
          <w:sz w:val="18"/>
          <w:szCs w:val="18"/>
        </w:rPr>
        <w:t xml:space="preserve">sales@cyberfyx.net  |  www.cyberfyx.net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0C8" w:sz="4" w:space="4"/>
      </w:pBdr>
      <w:tabs>
        <w:tab w:val="right" w:pos="9360"/>
      </w:tabs>
      <w:spacing w:after="0" w:before="80"/>
      <w:jc w:val="center"/>
    </w:pPr>
    <w:r>
      <w:rPr>
        <w:rFonts w:ascii="Arial" w:cs="Arial" w:eastAsia="Arial" w:hAnsi="Arial"/>
        <w:color w:val="6B6B6B"/>
        <w:sz w:val="16"/>
        <w:szCs w:val="16"/>
      </w:rPr>
      <w:t xml:space="preserve">Confidential — Internal Use Only</w:t>
    </w:r>
    <w:r>
      <w:rPr>
        <w:rFonts w:ascii="Arial" w:cs="Arial" w:eastAsia="Arial" w:hAnsi="Arial"/>
        <w:color w:val="6B6B6B"/>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8731" w:sz="4" w:space="4"/>
      </w:pBdr>
      <w:spacing w:after="80" w:before="0"/>
      <w:jc w:val="right"/>
    </w:pPr>
    <w:r>
      <w:rPr>
        <w:rFonts w:ascii="Arial" w:cs="Arial" w:eastAsia="Arial" w:hAnsi="Arial"/>
        <w:color w:val="6B6B6B"/>
        <w:sz w:val="16"/>
        <w:szCs w:val="16"/>
      </w:rPr>
      <w:t xml:space="preserve">CYBERFYX  |  Compliance Chatbot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E78731"/>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1F3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A1F3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2026-04-18T12:52:14.323Z</dcterms:created>
  <dcterms:modified xsi:type="dcterms:W3CDTF">2026-04-18T12:52:14.323Z</dcterms:modified>
</cp:coreProperties>
</file>

<file path=docProps/custom.xml><?xml version="1.0" encoding="utf-8"?>
<Properties xmlns="http://schemas.openxmlformats.org/officeDocument/2006/custom-properties" xmlns:vt="http://schemas.openxmlformats.org/officeDocument/2006/docPropsVTypes"/>
</file>