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i w:val="0"/>
          <w:color w:val="C8102E"/>
          <w:sz w:val="80"/>
        </w:rPr>
        <w:t>AutoCaja</w:t>
      </w:r>
    </w:p>
    <w:p>
      <w:pPr>
        <w:jc w:val="center"/>
      </w:pPr>
      <w:r>
        <w:rPr>
          <w:i w:val="0"/>
          <w:color w:val="1A1A1A"/>
          <w:sz w:val="36"/>
        </w:rPr>
        <w:t>Sistema de cobro automatizado por reconocimiento visual</w:t>
      </w:r>
    </w:p>
    <w:p>
      <w:pPr>
        <w:jc w:val="center"/>
      </w:pPr>
      <w:r>
        <w:rPr>
          <w:i w:val="0"/>
          <w:color w:val="6B6B6B"/>
          <w:sz w:val="28"/>
        </w:rPr>
        <w:t>Informe del sistema</w:t>
      </w:r>
    </w:p>
    <w:p/>
    <w:p>
      <w:pPr>
        <w:jc w:val="center"/>
      </w:pPr>
      <w:r>
        <w:drawing>
          <wp:inline xmlns:a="http://schemas.openxmlformats.org/drawingml/2006/main" xmlns:pic="http://schemas.openxmlformats.org/drawingml/2006/picture">
            <wp:extent cx="5760000" cy="1679280"/>
            <wp:docPr id="1" name="Picture 1"/>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760000" cy="1679280"/>
                    </a:xfrm>
                    <a:prstGeom prst="rect"/>
                  </pic:spPr>
                </pic:pic>
              </a:graphicData>
            </a:graphic>
          </wp:inline>
        </w:drawing>
      </w:r>
    </w:p>
    <w:p/>
    <w:p/>
    <w:p/>
    <w:p/>
    <w:p/>
    <w:p/>
    <w:p>
      <w:pPr>
        <w:jc w:val="center"/>
      </w:pPr>
      <w:r>
        <w:rPr>
          <w:i w:val="0"/>
          <w:color w:val="6B6B6B"/>
          <w:sz w:val="22"/>
        </w:rPr>
        <w:t>Quiosco de auto-checkout para compras express de 1 a 3 productos</w:t>
      </w:r>
    </w:p>
    <w:p>
      <w:pPr>
        <w:jc w:val="center"/>
      </w:pPr>
      <w:r>
        <w:rPr>
          <w:i w:val="0"/>
          <w:color w:val="6B6B6B"/>
          <w:sz w:val="22"/>
        </w:rPr>
        <w:t>Versión del sistema: rama develop · Fecha: 12 de octubre de 2026</w:t>
      </w:r>
    </w:p>
    <w:p>
      <w:r>
        <w:br w:type="page"/>
      </w:r>
    </w:p>
    <w:p>
      <w:pPr>
        <w:pStyle w:val="Heading1"/>
      </w:pPr>
      <w:r>
        <w:t>Contenido</w:t>
      </w:r>
    </w:p>
    <w:p>
      <w:r>
        <w:rPr>
          <w:i w:val="0"/>
        </w:rPr>
        <w:t>1. Resumen</w:t>
      </w:r>
    </w:p>
    <w:p>
      <w:r>
        <w:rPr>
          <w:i w:val="0"/>
        </w:rPr>
        <w:t>2. Objetivos y alcance</w:t>
      </w:r>
    </w:p>
    <w:p>
      <w:r>
        <w:rPr>
          <w:i w:val="0"/>
        </w:rPr>
        <w:t>3. Arquitectura del sistema</w:t>
      </w:r>
    </w:p>
    <w:p>
      <w:r>
        <w:rPr>
          <w:i w:val="0"/>
        </w:rPr>
        <w:t>4. Flujo del cliente</w:t>
      </w:r>
    </w:p>
    <w:p>
      <w:r>
        <w:rPr>
          <w:i w:val="0"/>
        </w:rPr>
        <w:t>5. Reconocimiento de productos</w:t>
      </w:r>
    </w:p>
    <w:p>
      <w:r>
        <w:rPr>
          <w:i w:val="0"/>
        </w:rPr>
        <w:t>6. Pago y seguridad</w:t>
      </w:r>
    </w:p>
    <w:p>
      <w:r>
        <w:rPr>
          <w:i w:val="0"/>
        </w:rPr>
        <w:t>7. Interfaz</w:t>
      </w:r>
    </w:p>
    <w:p>
      <w:r>
        <w:rPr>
          <w:i w:val="0"/>
        </w:rPr>
        <w:t>8. Catálogo</w:t>
      </w:r>
    </w:p>
    <w:p>
      <w:r>
        <w:rPr>
          <w:i w:val="0"/>
        </w:rPr>
        <w:t>9. Calidad y pruebas</w:t>
      </w:r>
    </w:p>
    <w:p>
      <w:r>
        <w:rPr>
          <w:i w:val="0"/>
        </w:rPr>
        <w:t>10. Cumplimiento de requisitos</w:t>
      </w:r>
    </w:p>
    <w:p>
      <w:r>
        <w:rPr>
          <w:i w:val="0"/>
        </w:rPr>
        <w:t>11. Riesgos, pendientes y próximos pasos</w:t>
      </w:r>
    </w:p>
    <w:p>
      <w:r>
        <w:rPr>
          <w:i w:val="0"/>
        </w:rPr>
        <w:t>Anexo A. Cómo ejecutar el sistema</w:t>
      </w:r>
    </w:p>
    <w:p>
      <w:r>
        <w:br w:type="page"/>
      </w:r>
    </w:p>
    <w:p>
      <w:pPr>
        <w:pStyle w:val="Heading1"/>
      </w:pPr>
      <w:r>
        <w:t>1. Resumen</w:t>
      </w:r>
    </w:p>
    <w:p>
      <w:r>
        <w:rPr>
          <w:i w:val="0"/>
        </w:rPr>
        <w:t>AutoCaja es un quiosco de autoservicio: el cliente pasa sus productos uno por uno frente a una cámara, el sistema los reconoce y los suma a la lista, el cliente confirma y paga escaneando un código QR con Yape o Plin. Está pensado para compras rápidas de 1 a 3 productos y para descongestionar la caja en horas punta.</w:t>
      </w:r>
    </w:p>
    <w:p>
      <w:r>
        <w:rPr>
          <w:i w:val="0"/>
        </w:rPr>
        <w:t>El sistema funciona de punta a punta en modo simulado y tiene un modo cámara que reconoce los 11 productos del catálogo a partir de las fotos tomadas por el equipo. Puntos clave del estado actual:</w:t>
      </w:r>
    </w:p>
    <w:p>
      <w:pPr>
        <w:pStyle w:val="ListBullet"/>
      </w:pPr>
      <w:r>
        <w:rPr>
          <w:b/>
        </w:rPr>
        <w:t xml:space="preserve">Flujo completo W1 → W4: </w:t>
      </w:r>
      <w:r>
        <w:rPr>
          <w:i w:val="0"/>
        </w:rPr>
        <w:t>inicio, escaneo en vivo, confirmación, pago por QR, ticket y vuelta al inicio a los 10 s.</w:t>
      </w:r>
    </w:p>
    <w:p>
      <w:pPr>
        <w:pStyle w:val="ListBullet"/>
      </w:pPr>
      <w:r>
        <w:rPr>
          <w:b/>
        </w:rPr>
        <w:t xml:space="preserve">Reconocimiento por parecido: </w:t>
      </w:r>
      <w:r>
        <w:rPr>
          <w:i w:val="0"/>
        </w:rPr>
        <w:t>91 % de aciertos con las 56 fotos disponibles (98 % con fotos de frente), sin entrenar un modelo.</w:t>
      </w:r>
    </w:p>
    <w:p>
      <w:pPr>
        <w:pStyle w:val="ListBullet"/>
      </w:pPr>
      <w:r>
        <w:rPr>
          <w:b/>
        </w:rPr>
        <w:t xml:space="preserve">Pago seguro: </w:t>
      </w:r>
      <w:r>
        <w:rPr>
          <w:i w:val="0"/>
        </w:rPr>
        <w:t>pasarela simulada por HTTPS (TLS 1.3) y confirmaciones firmadas con JWT RS256.</w:t>
      </w:r>
    </w:p>
    <w:p>
      <w:pPr>
        <w:pStyle w:val="ListBullet"/>
      </w:pPr>
      <w:r>
        <w:rPr>
          <w:b/>
        </w:rPr>
        <w:t xml:space="preserve">Calidad: </w:t>
      </w:r>
      <w:r>
        <w:rPr>
          <w:i w:val="0"/>
        </w:rPr>
        <w:t>217 pruebas automatizadas y 6 trabajos de integración continua en cada cambio.</w:t>
      </w:r>
    </w:p>
    <w:p>
      <w:pPr>
        <w:pStyle w:val="ListBullet"/>
      </w:pPr>
      <w:r>
        <w:rPr>
          <w:b/>
        </w:rPr>
        <w:t xml:space="preserve">Pendiente principal: </w:t>
      </w:r>
      <w:r>
        <w:rPr>
          <w:i w:val="0"/>
        </w:rPr>
        <w:t>probar con la webcam y la bandeja de la demo, y bajar la latencia del reconocedor a ≤ 150 ms (hoy ≈ 210 ms).</w:t>
      </w:r>
    </w:p>
    <w:p>
      <w:pPr>
        <w:pStyle w:val="Heading1"/>
      </w:pPr>
      <w:r>
        <w:t>2. Objetivos y alcance</w:t>
      </w:r>
    </w:p>
    <w:p>
      <w:r>
        <w:rPr>
          <w:i w:val="0"/>
        </w:rPr>
        <w:t>El sistema responde a la Especificación de Requisitos (SRS) del proyecto, cuyos objetivos de negocio son:</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134"/>
            <w:shd w:val="clear" w:color="auto" w:fill="C8102E"/>
          </w:tcPr>
          <w:p>
            <w:pPr>
              <w:keepNext/>
            </w:pPr>
            <w:r/>
            <w:r>
              <w:rPr>
                <w:b/>
                <w:color w:val="FFFFFF"/>
                <w:sz w:val="19"/>
              </w:rPr>
              <w:t>ID</w:t>
            </w:r>
          </w:p>
        </w:tc>
        <w:tc>
          <w:tcPr>
            <w:tcW w:type="dxa" w:w="5102"/>
            <w:shd w:val="clear" w:color="auto" w:fill="C8102E"/>
          </w:tcPr>
          <w:p>
            <w:pPr>
              <w:keepNext/>
            </w:pPr>
            <w:r/>
            <w:r>
              <w:rPr>
                <w:b/>
                <w:color w:val="FFFFFF"/>
                <w:sz w:val="19"/>
              </w:rPr>
              <w:t>Objetivo</w:t>
            </w:r>
          </w:p>
        </w:tc>
        <w:tc>
          <w:tcPr>
            <w:tcW w:type="dxa" w:w="2835"/>
            <w:shd w:val="clear" w:color="auto" w:fill="C8102E"/>
          </w:tcPr>
          <w:p>
            <w:pPr>
              <w:keepNext/>
            </w:pPr>
            <w:r/>
            <w:r>
              <w:rPr>
                <w:b/>
                <w:color w:val="FFFFFF"/>
                <w:sz w:val="19"/>
              </w:rPr>
              <w:t>Meta</w:t>
            </w:r>
          </w:p>
        </w:tc>
      </w:tr>
      <w:tr>
        <w:trPr>
          <w:cantSplit w:val="true"/>
        </w:trPr>
        <w:tc>
          <w:tcPr>
            <w:tcW w:type="dxa" w:w="1134"/>
          </w:tcPr>
          <w:p>
            <w:pPr>
              <w:keepNext/>
            </w:pPr>
            <w:r/>
            <w:r>
              <w:rPr>
                <w:sz w:val="19"/>
              </w:rPr>
              <w:t>ON-01</w:t>
            </w:r>
          </w:p>
        </w:tc>
        <w:tc>
          <w:tcPr>
            <w:tcW w:type="dxa" w:w="5102"/>
          </w:tcPr>
          <w:p>
            <w:pPr>
              <w:keepNext/>
            </w:pPr>
            <w:r/>
            <w:r>
              <w:rPr>
                <w:sz w:val="19"/>
              </w:rPr>
              <w:t>Reducir el tiempo de cobro de compras express</w:t>
            </w:r>
          </w:p>
        </w:tc>
        <w:tc>
          <w:tcPr>
            <w:tcW w:type="dxa" w:w="2835"/>
          </w:tcPr>
          <w:p>
            <w:pPr>
              <w:keepNext/>
            </w:pPr>
            <w:r/>
            <w:r>
              <w:rPr>
                <w:sz w:val="19"/>
              </w:rPr>
              <w:t>≤ 45 s de inicio a ticket</w:t>
            </w:r>
          </w:p>
        </w:tc>
      </w:tr>
      <w:tr>
        <w:trPr>
          <w:cantSplit w:val="true"/>
        </w:trPr>
        <w:tc>
          <w:tcPr>
            <w:tcW w:type="dxa" w:w="1134"/>
          </w:tcPr>
          <w:p>
            <w:r/>
            <w:r>
              <w:rPr>
                <w:sz w:val="19"/>
              </w:rPr>
              <w:t>ON-02</w:t>
            </w:r>
          </w:p>
        </w:tc>
        <w:tc>
          <w:tcPr>
            <w:tcW w:type="dxa" w:w="5102"/>
          </w:tcPr>
          <w:p>
            <w:r/>
            <w:r>
              <w:rPr>
                <w:sz w:val="19"/>
              </w:rPr>
              <w:t>Control automatizado de mermas (validación por peso)</w:t>
            </w:r>
          </w:p>
        </w:tc>
        <w:tc>
          <w:tcPr>
            <w:tcW w:type="dxa" w:w="2835"/>
          </w:tcPr>
          <w:p>
            <w:r/>
            <w:r>
              <w:rPr>
                <w:sz w:val="19"/>
              </w:rPr>
              <w:t>Error ≤ 5 g</w:t>
            </w:r>
          </w:p>
        </w:tc>
      </w:tr>
      <w:tr>
        <w:trPr>
          <w:cantSplit w:val="true"/>
        </w:trPr>
        <w:tc>
          <w:tcPr>
            <w:tcW w:type="dxa" w:w="1134"/>
          </w:tcPr>
          <w:p>
            <w:r/>
            <w:r>
              <w:rPr>
                <w:sz w:val="19"/>
              </w:rPr>
              <w:t>ON-03</w:t>
            </w:r>
          </w:p>
        </w:tc>
        <w:tc>
          <w:tcPr>
            <w:tcW w:type="dxa" w:w="5102"/>
          </w:tcPr>
          <w:p>
            <w:r/>
            <w:r>
              <w:rPr>
                <w:sz w:val="19"/>
              </w:rPr>
              <w:t>Adopción del autoservicio</w:t>
            </w:r>
          </w:p>
        </w:tc>
        <w:tc>
          <w:tcPr>
            <w:tcW w:type="dxa" w:w="2835"/>
          </w:tcPr>
          <w:p>
            <w:r/>
            <w:r>
              <w:rPr>
                <w:sz w:val="19"/>
              </w:rPr>
              <w:t>≥ 80 % de compras sin ayuda</w:t>
            </w:r>
          </w:p>
        </w:tc>
      </w:tr>
    </w:tbl>
    <w:p>
      <w:pPr>
        <w:spacing w:after="200"/>
        <w:jc w:val="center"/>
      </w:pPr>
      <w:r>
        <w:rPr>
          <w:b/>
          <w:color w:val="6B6B6B"/>
          <w:sz w:val="18"/>
        </w:rPr>
        <w:t xml:space="preserve">Tabla 1. </w:t>
      </w:r>
      <w:r>
        <w:rPr>
          <w:color w:val="6B6B6B"/>
          <w:sz w:val="18"/>
        </w:rPr>
        <w:t>Objetivos de negocio del SRS.</w:t>
      </w:r>
    </w:p>
    <w:p>
      <w:r>
        <w:rPr>
          <w:b/>
        </w:rPr>
        <w:t xml:space="preserve">Alcance. </w:t>
      </w:r>
      <w:r>
        <w:rPr>
          <w:i w:val="0"/>
        </w:rPr>
        <w:t xml:space="preserve">Alcance de esta fase: transacciones de 1 a 3 productos, un quiosco, pago con billetera móvil simulada y boleta simulada del POS. </w:t>
      </w:r>
    </w:p>
    <w:p>
      <w:r>
        <w:rPr>
          <w:b/>
        </w:rPr>
        <w:t xml:space="preserve">Decisión sobre la balanza. </w:t>
      </w:r>
      <w:r>
        <w:rPr>
          <w:i w:val="0"/>
        </w:rPr>
        <w:t>Por decisión del equipo, el MVP funciona sin balanza (no se consiguió una celda de carga). Toda la lógica de peso está implementada y se activa con KIOSK_SCALE=sim; ON-02 se reporta como «No medido» mientras no haya balanza física.</w:t>
      </w:r>
    </w:p>
    <w:p>
      <w:pPr>
        <w:pStyle w:val="Heading1"/>
      </w:pPr>
      <w:r>
        <w:t>3. Arquitectura del sistema</w:t>
      </w:r>
    </w:p>
    <w:p>
      <w:r>
        <w:rPr>
          <w:i w:val="0"/>
        </w:rPr>
        <w:t>El sistema se compone de tres servicios y un conjunto de herramientas de datos, organizados en un monorepo:</w:t>
      </w:r>
    </w:p>
    <w:p>
      <w:pPr>
        <w:jc w:val="center"/>
      </w:pPr>
      <w:r>
        <w:drawing>
          <wp:inline xmlns:a="http://schemas.openxmlformats.org/drawingml/2006/main" xmlns:pic="http://schemas.openxmlformats.org/drawingml/2006/picture">
            <wp:extent cx="5760000" cy="3267623"/>
            <wp:docPr id="2" name="Picture 2"/>
            <wp:cNvGraphicFramePr>
              <a:graphicFrameLocks noChangeAspect="1"/>
            </wp:cNvGraphicFramePr>
            <a:graphic>
              <a:graphicData uri="http://schemas.openxmlformats.org/drawingml/2006/picture">
                <pic:pic>
                  <pic:nvPicPr>
                    <pic:cNvPr id="0" name="arquitectura.png"/>
                    <pic:cNvPicPr/>
                  </pic:nvPicPr>
                  <pic:blipFill>
                    <a:blip r:embed="rId10"/>
                    <a:stretch>
                      <a:fillRect/>
                    </a:stretch>
                  </pic:blipFill>
                  <pic:spPr>
                    <a:xfrm>
                      <a:off x="0" y="0"/>
                      <a:ext cx="5760000" cy="3267623"/>
                    </a:xfrm>
                    <a:prstGeom prst="rect"/>
                  </pic:spPr>
                </pic:pic>
              </a:graphicData>
            </a:graphic>
          </wp:inline>
        </w:drawing>
      </w:r>
    </w:p>
    <w:p>
      <w:pPr>
        <w:spacing w:after="200"/>
        <w:jc w:val="center"/>
      </w:pPr>
      <w:r>
        <w:rPr>
          <w:b/>
          <w:color w:val="6B6B6B"/>
          <w:sz w:val="18"/>
        </w:rPr>
        <w:t xml:space="preserve">Figura 1. </w:t>
      </w:r>
      <w:r>
        <w:rPr>
          <w:color w:val="6B6B6B"/>
          <w:sz w:val="18"/>
        </w:rPr>
        <w:t>Arquitectura: todo corre en la laptop del quiosco salvo la pasarela de pago.</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701"/>
            <w:shd w:val="clear" w:color="auto" w:fill="C8102E"/>
          </w:tcPr>
          <w:p>
            <w:pPr>
              <w:keepNext/>
            </w:pPr>
            <w:r/>
            <w:r>
              <w:rPr>
                <w:b/>
                <w:color w:val="FFFFFF"/>
                <w:sz w:val="19"/>
              </w:rPr>
              <w:t>Componente</w:t>
            </w:r>
          </w:p>
        </w:tc>
        <w:tc>
          <w:tcPr>
            <w:tcW w:type="dxa" w:w="2835"/>
            <w:shd w:val="clear" w:color="auto" w:fill="C8102E"/>
          </w:tcPr>
          <w:p>
            <w:pPr>
              <w:keepNext/>
            </w:pPr>
            <w:r/>
            <w:r>
              <w:rPr>
                <w:b/>
                <w:color w:val="FFFFFF"/>
                <w:sz w:val="19"/>
              </w:rPr>
              <w:t>Tecnología</w:t>
            </w:r>
          </w:p>
        </w:tc>
        <w:tc>
          <w:tcPr>
            <w:tcW w:type="dxa" w:w="4535"/>
            <w:shd w:val="clear" w:color="auto" w:fill="C8102E"/>
          </w:tcPr>
          <w:p>
            <w:pPr>
              <w:keepNext/>
            </w:pPr>
            <w:r/>
            <w:r>
              <w:rPr>
                <w:b/>
                <w:color w:val="FFFFFF"/>
                <w:sz w:val="19"/>
              </w:rPr>
              <w:t>Responsabilidad</w:t>
            </w:r>
          </w:p>
        </w:tc>
      </w:tr>
      <w:tr>
        <w:trPr>
          <w:cantSplit w:val="true"/>
        </w:trPr>
        <w:tc>
          <w:tcPr>
            <w:tcW w:type="dxa" w:w="1701"/>
          </w:tcPr>
          <w:p>
            <w:pPr>
              <w:keepNext/>
            </w:pPr>
            <w:r/>
            <w:r>
              <w:rPr>
                <w:sz w:val="19"/>
              </w:rPr>
              <w:t>kiosk-ui</w:t>
            </w:r>
          </w:p>
        </w:tc>
        <w:tc>
          <w:tcPr>
            <w:tcW w:type="dxa" w:w="2835"/>
          </w:tcPr>
          <w:p>
            <w:pPr>
              <w:keepNext/>
            </w:pPr>
            <w:r/>
            <w:r>
              <w:rPr>
                <w:sz w:val="19"/>
              </w:rPr>
              <w:t>React 19, Vite, TypeScript</w:t>
            </w:r>
          </w:p>
        </w:tc>
        <w:tc>
          <w:tcPr>
            <w:tcW w:type="dxa" w:w="4535"/>
          </w:tcPr>
          <w:p>
            <w:pPr>
              <w:keepNext/>
            </w:pPr>
            <w:r/>
            <w:r>
              <w:rPr>
                <w:sz w:val="19"/>
              </w:rPr>
              <w:t>Pantalla táctil vertical (W1–W4), panel /sim para la presentación y panel /caja</w:t>
            </w:r>
          </w:p>
        </w:tc>
      </w:tr>
      <w:tr>
        <w:trPr>
          <w:cantSplit w:val="true"/>
        </w:trPr>
        <w:tc>
          <w:tcPr>
            <w:tcW w:type="dxa" w:w="1701"/>
          </w:tcPr>
          <w:p>
            <w:r/>
            <w:r>
              <w:rPr>
                <w:sz w:val="19"/>
              </w:rPr>
              <w:t>kiosk-api</w:t>
            </w:r>
          </w:p>
        </w:tc>
        <w:tc>
          <w:tcPr>
            <w:tcW w:type="dxa" w:w="2835"/>
          </w:tcPr>
          <w:p>
            <w:r/>
            <w:r>
              <w:rPr>
                <w:sz w:val="19"/>
              </w:rPr>
              <w:t>Python 3.12, FastAPI, WebSocket, SQLite</w:t>
            </w:r>
          </w:p>
        </w:tc>
        <w:tc>
          <w:tcPr>
            <w:tcW w:type="dxa" w:w="4535"/>
          </w:tcPr>
          <w:p>
            <w:r/>
            <w:r>
              <w:rPr>
                <w:sz w:val="19"/>
              </w:rPr>
              <w:t>Máquina de estados, reconocimiento, catálogo, temporizadores, boleta POS y métricas</w:t>
            </w:r>
          </w:p>
        </w:tc>
      </w:tr>
      <w:tr>
        <w:trPr>
          <w:cantSplit w:val="true"/>
        </w:trPr>
        <w:tc>
          <w:tcPr>
            <w:tcW w:type="dxa" w:w="1701"/>
          </w:tcPr>
          <w:p>
            <w:r/>
            <w:r>
              <w:rPr>
                <w:sz w:val="19"/>
              </w:rPr>
              <w:t>mock-gateway</w:t>
            </w:r>
          </w:p>
        </w:tc>
        <w:tc>
          <w:tcPr>
            <w:tcW w:type="dxa" w:w="2835"/>
          </w:tcPr>
          <w:p>
            <w:r/>
            <w:r>
              <w:rPr>
                <w:sz w:val="19"/>
              </w:rPr>
              <w:t>FastAPI, TLS 1.3, JWT RS256</w:t>
            </w:r>
          </w:p>
        </w:tc>
        <w:tc>
          <w:tcPr>
            <w:tcW w:type="dxa" w:w="4535"/>
          </w:tcPr>
          <w:p>
            <w:r/>
            <w:r>
              <w:rPr>
                <w:sz w:val="19"/>
              </w:rPr>
              <w:t>Pasarela Yape/Plin simulada: crea cobros, página de pago del celular y confirmación firmada</w:t>
            </w:r>
          </w:p>
        </w:tc>
      </w:tr>
      <w:tr>
        <w:trPr>
          <w:cantSplit w:val="true"/>
        </w:trPr>
        <w:tc>
          <w:tcPr>
            <w:tcW w:type="dxa" w:w="1701"/>
          </w:tcPr>
          <w:p>
            <w:r/>
            <w:r>
              <w:rPr>
                <w:sz w:val="19"/>
              </w:rPr>
              <w:t>ml</w:t>
            </w:r>
          </w:p>
        </w:tc>
        <w:tc>
          <w:tcPr>
            <w:tcW w:type="dxa" w:w="2835"/>
          </w:tcPr>
          <w:p>
            <w:r/>
            <w:r>
              <w:rPr>
                <w:sz w:val="19"/>
              </w:rPr>
              <w:t>Python, OpenCV, ONNX Runtime</w:t>
            </w:r>
          </w:p>
        </w:tc>
        <w:tc>
          <w:tcPr>
            <w:tcW w:type="dxa" w:w="4535"/>
          </w:tcPr>
          <w:p>
            <w:r/>
            <w:r>
              <w:rPr>
                <w:sz w:val="19"/>
              </w:rPr>
              <w:t>Importa las fotos del Drive, revisa el dataset, benchmark; camino YOLOv8 para el futuro</w:t>
            </w:r>
          </w:p>
        </w:tc>
      </w:tr>
    </w:tbl>
    <w:p>
      <w:pPr>
        <w:spacing w:after="200"/>
        <w:jc w:val="center"/>
      </w:pPr>
      <w:r>
        <w:rPr>
          <w:b/>
          <w:color w:val="6B6B6B"/>
          <w:sz w:val="18"/>
        </w:rPr>
        <w:t xml:space="preserve">Tabla 2. </w:t>
      </w:r>
      <w:r>
        <w:rPr>
          <w:color w:val="6B6B6B"/>
          <w:sz w:val="18"/>
        </w:rPr>
        <w:t>Componentes del sistema.</w:t>
      </w:r>
    </w:p>
    <w:p>
      <w:r>
        <w:rPr>
          <w:i w:val="0"/>
        </w:rPr>
        <w:t>La pantalla no decide nada: muestra el estado que la API envía por WebSocket varias veces por segundo. Toda la lógica (qué se cobra, cuándo se puede pagar) vive en kiosk-api, lo que evita que el navegador pueda alterar una venta.</w:t>
      </w:r>
    </w:p>
    <w:p>
      <w:pPr>
        <w:pStyle w:val="Heading1"/>
      </w:pPr>
      <w:r>
        <w:t>4. Flujo del cliente</w:t>
      </w:r>
    </w:p>
    <w:p>
      <w:pPr>
        <w:jc w:val="center"/>
      </w:pPr>
      <w:r>
        <w:drawing>
          <wp:inline xmlns:a="http://schemas.openxmlformats.org/drawingml/2006/main" xmlns:pic="http://schemas.openxmlformats.org/drawingml/2006/picture">
            <wp:extent cx="5760000" cy="3009574"/>
            <wp:docPr id="3" name="Picture 3"/>
            <wp:cNvGraphicFramePr>
              <a:graphicFrameLocks noChangeAspect="1"/>
            </wp:cNvGraphicFramePr>
            <a:graphic>
              <a:graphicData uri="http://schemas.openxmlformats.org/drawingml/2006/picture">
                <pic:pic>
                  <pic:nvPicPr>
                    <pic:cNvPr id="0" name="flujo.png"/>
                    <pic:cNvPicPr/>
                  </pic:nvPicPr>
                  <pic:blipFill>
                    <a:blip r:embed="rId11"/>
                    <a:stretch>
                      <a:fillRect/>
                    </a:stretch>
                  </pic:blipFill>
                  <pic:spPr>
                    <a:xfrm>
                      <a:off x="0" y="0"/>
                      <a:ext cx="5760000" cy="3009574"/>
                    </a:xfrm>
                    <a:prstGeom prst="rect"/>
                  </pic:spPr>
                </pic:pic>
              </a:graphicData>
            </a:graphic>
          </wp:inline>
        </w:drawing>
      </w:r>
    </w:p>
    <w:p>
      <w:pPr>
        <w:spacing w:after="200"/>
        <w:jc w:val="center"/>
      </w:pPr>
      <w:r>
        <w:rPr>
          <w:b/>
          <w:color w:val="6B6B6B"/>
          <w:sz w:val="18"/>
        </w:rPr>
        <w:t xml:space="preserve">Figura 2. </w:t>
      </w:r>
      <w:r>
        <w:rPr>
          <w:color w:val="6B6B6B"/>
          <w:sz w:val="18"/>
        </w:rPr>
        <w:t>Estados del quiosco y transiciones.</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1701"/>
            <w:shd w:val="clear" w:color="auto" w:fill="C8102E"/>
          </w:tcPr>
          <w:p>
            <w:pPr>
              <w:keepNext/>
            </w:pPr>
            <w:r/>
            <w:r>
              <w:rPr>
                <w:b/>
                <w:color w:val="FFFFFF"/>
                <w:sz w:val="19"/>
              </w:rPr>
              <w:t>Pantalla</w:t>
            </w:r>
          </w:p>
        </w:tc>
        <w:tc>
          <w:tcPr>
            <w:tcW w:type="dxa" w:w="7370"/>
            <w:shd w:val="clear" w:color="auto" w:fill="C8102E"/>
          </w:tcPr>
          <w:p>
            <w:pPr>
              <w:keepNext/>
            </w:pPr>
            <w:r/>
            <w:r>
              <w:rPr>
                <w:b/>
                <w:color w:val="FFFFFF"/>
                <w:sz w:val="19"/>
              </w:rPr>
              <w:t>Qué ve y hace el cliente</w:t>
            </w:r>
          </w:p>
        </w:tc>
      </w:tr>
      <w:tr>
        <w:trPr>
          <w:cantSplit w:val="true"/>
        </w:trPr>
        <w:tc>
          <w:tcPr>
            <w:tcW w:type="dxa" w:w="1701"/>
          </w:tcPr>
          <w:p>
            <w:pPr>
              <w:keepNext/>
            </w:pPr>
            <w:r/>
            <w:r>
              <w:rPr>
                <w:sz w:val="19"/>
              </w:rPr>
              <w:t>W1 Inicio</w:t>
            </w:r>
          </w:p>
        </w:tc>
        <w:tc>
          <w:tcPr>
            <w:tcW w:type="dxa" w:w="7370"/>
          </w:tcPr>
          <w:p>
            <w:pPr>
              <w:keepNext/>
            </w:pPr>
            <w:r/>
            <w:r>
              <w:rPr>
                <w:sz w:val="19"/>
              </w:rPr>
              <w:t>«[AUTO-CHECKOUT] Coloca tus productos», aviso de privacidad de la cámara (Ley 29733) y botón INICIAR.</w:t>
            </w:r>
          </w:p>
        </w:tc>
      </w:tr>
      <w:tr>
        <w:trPr>
          <w:cantSplit w:val="true"/>
        </w:trPr>
        <w:tc>
          <w:tcPr>
            <w:tcW w:type="dxa" w:w="1701"/>
          </w:tcPr>
          <w:p>
            <w:r/>
            <w:r>
              <w:rPr>
                <w:sz w:val="19"/>
              </w:rPr>
              <w:t>W2 Escaneando</w:t>
            </w:r>
          </w:p>
        </w:tc>
        <w:tc>
          <w:tcPr>
            <w:tcW w:type="dxa" w:w="7370"/>
          </w:tcPr>
          <w:p>
            <w:r/>
            <w:r>
              <w:rPr>
                <w:sz w:val="19"/>
              </w:rPr>
              <w:t>Cámara en vivo: cada producto que pasa se suma a la lista («+ Agregado»). Botón «−» para quitar uno, CONFIRMAR y CANCELAR COMPRA.</w:t>
            </w:r>
          </w:p>
        </w:tc>
      </w:tr>
      <w:tr>
        <w:trPr>
          <w:cantSplit w:val="true"/>
        </w:trPr>
        <w:tc>
          <w:tcPr>
            <w:tcW w:type="dxa" w:w="1701"/>
          </w:tcPr>
          <w:p>
            <w:r/>
            <w:r>
              <w:rPr>
                <w:sz w:val="19"/>
              </w:rPr>
              <w:t>W3 Confirmar</w:t>
            </w:r>
          </w:p>
        </w:tc>
        <w:tc>
          <w:tcPr>
            <w:tcW w:type="dxa" w:w="7370"/>
          </w:tcPr>
          <w:p>
            <w:r/>
            <w:r>
              <w:rPr>
                <w:sz w:val="19"/>
              </w:rPr>
              <w:t>Lista final con total. PAGAR, CORREGIR (vuelve a W2) y CANCELAR COMPRA. Si aparece un producto nuevo a la vista, vuelve solo a W2.</w:t>
            </w:r>
          </w:p>
        </w:tc>
      </w:tr>
      <w:tr>
        <w:trPr>
          <w:cantSplit w:val="true"/>
        </w:trPr>
        <w:tc>
          <w:tcPr>
            <w:tcW w:type="dxa" w:w="1701"/>
          </w:tcPr>
          <w:p>
            <w:r/>
            <w:r>
              <w:rPr>
                <w:sz w:val="19"/>
              </w:rPr>
              <w:t>QR Pago</w:t>
            </w:r>
          </w:p>
        </w:tc>
        <w:tc>
          <w:tcPr>
            <w:tcW w:type="dxa" w:w="7370"/>
          </w:tcPr>
          <w:p>
            <w:r/>
            <w:r>
              <w:rPr>
                <w:sz w:val="19"/>
              </w:rPr>
              <w:t>Código QR por el monto exacto y cuenta atrás de 120 s. Si vence, la compra se cancela.</w:t>
            </w:r>
          </w:p>
        </w:tc>
      </w:tr>
      <w:tr>
        <w:trPr>
          <w:cantSplit w:val="true"/>
        </w:trPr>
        <w:tc>
          <w:tcPr>
            <w:tcW w:type="dxa" w:w="1701"/>
          </w:tcPr>
          <w:p>
            <w:r/>
            <w:r>
              <w:rPr>
                <w:sz w:val="19"/>
              </w:rPr>
              <w:t>W4 Ticket</w:t>
            </w:r>
          </w:p>
        </w:tc>
        <w:tc>
          <w:tcPr>
            <w:tcW w:type="dxa" w:w="7370"/>
          </w:tcPr>
          <w:p>
            <w:r/>
            <w:r>
              <w:rPr>
                <w:sz w:val="19"/>
              </w:rPr>
              <w:t>«Gracias por su compra», detalle y total. Vuelve a W1 a los 10 s.</w:t>
            </w:r>
          </w:p>
        </w:tc>
      </w:tr>
    </w:tbl>
    <w:p>
      <w:pPr>
        <w:spacing w:after="200"/>
        <w:jc w:val="center"/>
      </w:pPr>
      <w:r>
        <w:rPr>
          <w:b/>
          <w:color w:val="6B6B6B"/>
          <w:sz w:val="18"/>
        </w:rPr>
        <w:t xml:space="preserve">Tabla 3. </w:t>
      </w:r>
      <w:r>
        <w:rPr>
          <w:color w:val="6B6B6B"/>
          <w:sz w:val="18"/>
        </w:rPr>
        <w:t>Pantallas del flujo.</w:t>
      </w:r>
    </w:p>
    <w:p>
      <w:r>
        <w:rPr>
          <w:i w:val="0"/>
        </w:rPr>
        <w:t xml:space="preserve">Reglas importantes: </w:t>
      </w:r>
    </w:p>
    <w:p>
      <w:pPr>
        <w:pStyle w:val="ListBullet"/>
      </w:pPr>
      <w:r>
        <w:rPr>
          <w:i w:val="0"/>
        </w:rPr>
        <w:t>Un producto se suma cuando entra a la vista y se mantiene estable 3 cuadros; no se cuenta dos veces mientras sigue a la vista.</w:t>
      </w:r>
    </w:p>
    <w:p>
      <w:pPr>
        <w:pStyle w:val="ListBullet"/>
      </w:pPr>
      <w:r>
        <w:rPr>
          <w:i w:val="0"/>
        </w:rPr>
        <w:t>Más de 3 productos: «Para más de 3 productos use la caja». Producto no reconocido: «Hay un producto que no reconocemos». En ambos casos no se puede pagar.</w:t>
      </w:r>
    </w:p>
    <w:p>
      <w:pPr>
        <w:pStyle w:val="ListBullet"/>
      </w:pPr>
      <w:r>
        <w:rPr>
          <w:i w:val="0"/>
        </w:rPr>
        <w:t>SOLICITAR AYUDA está siempre visible y aparece al instante en el panel de caja.</w:t>
      </w:r>
    </w:p>
    <w:p>
      <w:pPr>
        <w:pStyle w:val="Heading1"/>
      </w:pPr>
      <w:r>
        <w:t>5. Reconocimiento de productos</w:t>
      </w:r>
    </w:p>
    <w:p>
      <w:pPr>
        <w:pStyle w:val="Heading2"/>
      </w:pPr>
      <w:r>
        <w:t>5.1 Datos disponibles</w:t>
      </w:r>
    </w:p>
    <w:p>
      <w:r>
        <w:rPr>
          <w:i w:val="0"/>
        </w:rPr>
        <w:t>El equipo tomó 56 fotos de 11 productos (entre 4 y 8 por producto). Entrenar un detector YOLOv8, como planteaba el SRS, requiere del orden de 100 fotos etiquetadas por producto, por lo que se cambió de enfoque.</w:t>
      </w:r>
    </w:p>
    <w:p>
      <w:pPr>
        <w:jc w:val="center"/>
      </w:pPr>
      <w:r>
        <w:drawing>
          <wp:inline xmlns:a="http://schemas.openxmlformats.org/drawingml/2006/main" xmlns:pic="http://schemas.openxmlformats.org/drawingml/2006/picture">
            <wp:extent cx="5400000" cy="2528712"/>
            <wp:docPr id="4" name="Picture 4"/>
            <wp:cNvGraphicFramePr>
              <a:graphicFrameLocks noChangeAspect="1"/>
            </wp:cNvGraphicFramePr>
            <a:graphic>
              <a:graphicData uri="http://schemas.openxmlformats.org/drawingml/2006/picture">
                <pic:pic>
                  <pic:nvPicPr>
                    <pic:cNvPr id="0" name="fotos-por-producto.png"/>
                    <pic:cNvPicPr/>
                  </pic:nvPicPr>
                  <pic:blipFill>
                    <a:blip r:embed="rId12"/>
                    <a:stretch>
                      <a:fillRect/>
                    </a:stretch>
                  </pic:blipFill>
                  <pic:spPr>
                    <a:xfrm>
                      <a:off x="0" y="0"/>
                      <a:ext cx="5400000" cy="2528712"/>
                    </a:xfrm>
                    <a:prstGeom prst="rect"/>
                  </pic:spPr>
                </pic:pic>
              </a:graphicData>
            </a:graphic>
          </wp:inline>
        </w:drawing>
      </w:r>
    </w:p>
    <w:p>
      <w:pPr>
        <w:spacing w:after="200"/>
        <w:jc w:val="center"/>
      </w:pPr>
      <w:r>
        <w:rPr>
          <w:b/>
          <w:color w:val="6B6B6B"/>
          <w:sz w:val="18"/>
        </w:rPr>
        <w:t xml:space="preserve">Figura 3. </w:t>
      </w:r>
      <w:r>
        <w:rPr>
          <w:color w:val="6B6B6B"/>
          <w:sz w:val="18"/>
        </w:rPr>
        <w:t>Fotos disponibles por producto.</w:t>
      </w:r>
    </w:p>
    <w:p>
      <w:pPr>
        <w:pStyle w:val="Heading2"/>
      </w:pPr>
      <w:r>
        <w:t>5.2 Enfoque elegido: reconocimiento por parecido</w:t>
      </w:r>
    </w:p>
    <w:p>
      <w:r>
        <w:rPr>
          <w:i w:val="0"/>
        </w:rPr>
        <w:t>Como el cliente pasa los productos de a uno, basta con reconocer el único producto a la vista. En lugar de entrenar, se usa un modelo preentrenado (DINOv2) que describe la forma y el estampado del empaque, combinado con un histograma de color. Cada foto de referencia se guarda en 4 rotaciones, porque la cámara mira desde arriba y el producto puede estar girado.</w:t>
      </w:r>
    </w:p>
    <w:p>
      <w:pPr>
        <w:jc w:val="center"/>
      </w:pPr>
      <w:r>
        <w:drawing>
          <wp:inline xmlns:a="http://schemas.openxmlformats.org/drawingml/2006/main" xmlns:pic="http://schemas.openxmlformats.org/drawingml/2006/picture">
            <wp:extent cx="5760000" cy="1679280"/>
            <wp:docPr id="5" name="Picture 5"/>
            <wp:cNvGraphicFramePr>
              <a:graphicFrameLocks noChangeAspect="1"/>
            </wp:cNvGraphicFramePr>
            <a:graphic>
              <a:graphicData uri="http://schemas.openxmlformats.org/drawingml/2006/picture">
                <pic:pic>
                  <pic:nvPicPr>
                    <pic:cNvPr id="0" name="pipeline.png"/>
                    <pic:cNvPicPr/>
                  </pic:nvPicPr>
                  <pic:blipFill>
                    <a:blip r:embed="rId9"/>
                    <a:stretch>
                      <a:fillRect/>
                    </a:stretch>
                  </pic:blipFill>
                  <pic:spPr>
                    <a:xfrm>
                      <a:off x="0" y="0"/>
                      <a:ext cx="5760000" cy="1679280"/>
                    </a:xfrm>
                    <a:prstGeom prst="rect"/>
                  </pic:spPr>
                </pic:pic>
              </a:graphicData>
            </a:graphic>
          </wp:inline>
        </w:drawing>
      </w:r>
    </w:p>
    <w:p>
      <w:pPr>
        <w:spacing w:after="200"/>
        <w:jc w:val="center"/>
      </w:pPr>
      <w:r>
        <w:rPr>
          <w:b/>
          <w:color w:val="6B6B6B"/>
          <w:sz w:val="18"/>
        </w:rPr>
        <w:t xml:space="preserve">Figura 4. </w:t>
      </w:r>
      <w:r>
        <w:rPr>
          <w:color w:val="6B6B6B"/>
          <w:sz w:val="18"/>
        </w:rPr>
        <w:t>Etapas del reconocimiento en cada cuadro de la cámara.</w:t>
      </w:r>
    </w:p>
    <w:p>
      <w:r>
        <w:rPr>
          <w:i w:val="0"/>
        </w:rPr>
        <w:t>Recortar el producto fue decisivo: sin recorte, el modelo comparaba la mesa de madera de fondo y no el producto. La figura siguiente muestra los recortes automáticos de las 56 fotos.</w:t>
      </w:r>
    </w:p>
    <w:p>
      <w:pPr>
        <w:jc w:val="center"/>
      </w:pPr>
      <w:r>
        <w:drawing>
          <wp:inline xmlns:a="http://schemas.openxmlformats.org/drawingml/2006/main" xmlns:pic="http://schemas.openxmlformats.org/drawingml/2006/picture">
            <wp:extent cx="5040000" cy="4410000"/>
            <wp:docPr id="6" name="Picture 6"/>
            <wp:cNvGraphicFramePr>
              <a:graphicFrameLocks noChangeAspect="1"/>
            </wp:cNvGraphicFramePr>
            <a:graphic>
              <a:graphicData uri="http://schemas.openxmlformats.org/drawingml/2006/picture">
                <pic:pic>
                  <pic:nvPicPr>
                    <pic:cNvPr id="0" name="crops.jpg"/>
                    <pic:cNvPicPr/>
                  </pic:nvPicPr>
                  <pic:blipFill>
                    <a:blip r:embed="rId13"/>
                    <a:stretch>
                      <a:fillRect/>
                    </a:stretch>
                  </pic:blipFill>
                  <pic:spPr>
                    <a:xfrm>
                      <a:off x="0" y="0"/>
                      <a:ext cx="5040000" cy="4410000"/>
                    </a:xfrm>
                    <a:prstGeom prst="rect"/>
                  </pic:spPr>
                </pic:pic>
              </a:graphicData>
            </a:graphic>
          </wp:inline>
        </w:drawing>
      </w:r>
    </w:p>
    <w:p>
      <w:pPr>
        <w:spacing w:after="200"/>
        <w:jc w:val="center"/>
      </w:pPr>
      <w:r>
        <w:rPr>
          <w:b/>
          <w:color w:val="6B6B6B"/>
          <w:sz w:val="18"/>
        </w:rPr>
        <w:t xml:space="preserve">Figura 5. </w:t>
      </w:r>
      <w:r>
        <w:rPr>
          <w:color w:val="6B6B6B"/>
          <w:sz w:val="18"/>
        </w:rPr>
        <w:t>Recorte automático de cada foto de referencia, con el fondo en gris.</w:t>
      </w:r>
    </w:p>
    <w:p>
      <w:pPr>
        <w:pStyle w:val="Heading2"/>
      </w:pPr>
      <w:r>
        <w:t>5.3 Resultados</w:t>
      </w:r>
    </w:p>
    <w:p>
      <w:r>
        <w:rPr>
          <w:i w:val="0"/>
        </w:rPr>
        <w:t>Se evaluó cada foto comparándola con todas las demás (validación «dejando una fuera»):</w:t>
      </w:r>
    </w:p>
    <w:p>
      <w:pPr>
        <w:jc w:val="center"/>
      </w:pPr>
      <w:r>
        <w:drawing>
          <wp:inline xmlns:a="http://schemas.openxmlformats.org/drawingml/2006/main" xmlns:pic="http://schemas.openxmlformats.org/drawingml/2006/picture">
            <wp:extent cx="5400000" cy="2520233"/>
            <wp:docPr id="7" name="Picture 7"/>
            <wp:cNvGraphicFramePr>
              <a:graphicFrameLocks noChangeAspect="1"/>
            </wp:cNvGraphicFramePr>
            <a:graphic>
              <a:graphicData uri="http://schemas.openxmlformats.org/drawingml/2006/picture">
                <pic:pic>
                  <pic:nvPicPr>
                    <pic:cNvPr id="0" name="aciertos.png"/>
                    <pic:cNvPicPr/>
                  </pic:nvPicPr>
                  <pic:blipFill>
                    <a:blip r:embed="rId14"/>
                    <a:stretch>
                      <a:fillRect/>
                    </a:stretch>
                  </pic:blipFill>
                  <pic:spPr>
                    <a:xfrm>
                      <a:off x="0" y="0"/>
                      <a:ext cx="5400000" cy="2520233"/>
                    </a:xfrm>
                    <a:prstGeom prst="rect"/>
                  </pic:spPr>
                </pic:pic>
              </a:graphicData>
            </a:graphic>
          </wp:inline>
        </w:drawing>
      </w:r>
    </w:p>
    <w:p>
      <w:pPr>
        <w:spacing w:after="200"/>
        <w:jc w:val="center"/>
      </w:pPr>
      <w:r>
        <w:rPr>
          <w:b/>
          <w:color w:val="6B6B6B"/>
          <w:sz w:val="18"/>
        </w:rPr>
        <w:t xml:space="preserve">Figura 6. </w:t>
      </w:r>
      <w:r>
        <w:rPr>
          <w:color w:val="6B6B6B"/>
          <w:sz w:val="18"/>
        </w:rPr>
        <w:t>Aciertos según la variante probada.</w:t>
      </w:r>
    </w:p>
    <w:p>
      <w:r>
        <w:rPr>
          <w:i w:val="0"/>
        </w:rPr>
        <w:t>Casi todos los fallos son fotos del reverso del empaque (código de barras, tabla nutricional), que no tienen otra foto del reverso con qué compararse. Con fotos de frente, que es como el cliente muestra el producto, el acierto llega al 98 %.</w:t>
      </w:r>
    </w:p>
    <w:p>
      <w:pPr>
        <w:pStyle w:val="Heading2"/>
      </w:pPr>
      <w:r>
        <w:t>5.4 Protección contra cobros de menos</w:t>
      </w:r>
    </w:p>
    <w:p>
      <w:pPr>
        <w:pStyle w:val="ListBullet"/>
      </w:pPr>
      <w:r>
        <w:rPr>
          <w:i w:val="0"/>
        </w:rPr>
        <w:t>Si hay dos objetos separados a la vista, el resultado es «desconocido» y se bloquea el pago hasta que quede uno.</w:t>
      </w:r>
    </w:p>
    <w:p>
      <w:pPr>
        <w:pStyle w:val="ListBullet"/>
      </w:pPr>
      <w:r>
        <w:rPr>
          <w:i w:val="0"/>
        </w:rPr>
        <w:t>Un producto chico siempre cuenta, y el modelo del fondo nunca se actualiza donde hay algo encima, para que un producto no «desaparezca».</w:t>
      </w:r>
    </w:p>
    <w:p>
      <w:pPr>
        <w:pStyle w:val="ListBullet"/>
      </w:pPr>
      <w:r>
        <w:rPr>
          <w:i w:val="0"/>
        </w:rPr>
        <w:t>Si nada se parece lo suficiente (umbral 0,95), el producto se marca como no reconocido.</w:t>
      </w:r>
    </w:p>
    <w:p>
      <w:r>
        <w:rPr>
          <w:i w:val="0"/>
        </w:rPr>
        <w:t>Agregar un producto nuevo solo requiere sus fotos y regenerar la galería (python -m kiosk.recognizer galeria); no hay que entrenar.</w:t>
      </w:r>
    </w:p>
    <w:p>
      <w:pPr>
        <w:pStyle w:val="Heading1"/>
      </w:pPr>
      <w:r>
        <w:t>6. Pago y seguridad</w:t>
      </w:r>
    </w:p>
    <w:p>
      <w:pPr>
        <w:jc w:val="center"/>
      </w:pPr>
      <w:r>
        <w:drawing>
          <wp:inline xmlns:a="http://schemas.openxmlformats.org/drawingml/2006/main" xmlns:pic="http://schemas.openxmlformats.org/drawingml/2006/picture">
            <wp:extent cx="5760000" cy="3155321"/>
            <wp:docPr id="8" name="Picture 8"/>
            <wp:cNvGraphicFramePr>
              <a:graphicFrameLocks noChangeAspect="1"/>
            </wp:cNvGraphicFramePr>
            <a:graphic>
              <a:graphicData uri="http://schemas.openxmlformats.org/drawingml/2006/picture">
                <pic:pic>
                  <pic:nvPicPr>
                    <pic:cNvPr id="0" name="secuencia-pago.png"/>
                    <pic:cNvPicPr/>
                  </pic:nvPicPr>
                  <pic:blipFill>
                    <a:blip r:embed="rId15"/>
                    <a:stretch>
                      <a:fillRect/>
                    </a:stretch>
                  </pic:blipFill>
                  <pic:spPr>
                    <a:xfrm>
                      <a:off x="0" y="0"/>
                      <a:ext cx="5760000" cy="3155321"/>
                    </a:xfrm>
                    <a:prstGeom prst="rect"/>
                  </pic:spPr>
                </pic:pic>
              </a:graphicData>
            </a:graphic>
          </wp:inline>
        </w:drawing>
      </w:r>
    </w:p>
    <w:p>
      <w:pPr>
        <w:spacing w:after="200"/>
        <w:jc w:val="center"/>
      </w:pPr>
      <w:r>
        <w:rPr>
          <w:b/>
          <w:color w:val="6B6B6B"/>
          <w:sz w:val="18"/>
        </w:rPr>
        <w:t xml:space="preserve">Figura 7. </w:t>
      </w:r>
      <w:r>
        <w:rPr>
          <w:color w:val="6B6B6B"/>
          <w:sz w:val="18"/>
        </w:rPr>
        <w:t>Secuencia del pago con QR.</w:t>
      </w:r>
    </w:p>
    <w:tbl>
      <w:tblPr>
        <w:tblStyle w:val="TableGrid"/>
        <w:tblW w:type="auto" w:w="0"/>
        <w:jc w:val="center"/>
        <w:tblLook w:firstColumn="1" w:firstRow="1" w:lastColumn="0" w:lastRow="0" w:noHBand="0" w:noVBand="1" w:val="04A0"/>
      </w:tblPr>
      <w:tblGrid>
        <w:gridCol w:w="4706"/>
        <w:gridCol w:w="4706"/>
      </w:tblGrid>
      <w:tr>
        <w:trPr>
          <w:tblHeader w:val="true"/>
          <w:cantSplit w:val="true"/>
        </w:trPr>
        <w:tc>
          <w:tcPr>
            <w:tcW w:type="dxa" w:w="2268"/>
            <w:shd w:val="clear" w:color="auto" w:fill="C8102E"/>
          </w:tcPr>
          <w:p>
            <w:pPr>
              <w:keepNext/>
            </w:pPr>
            <w:r/>
            <w:r>
              <w:rPr>
                <w:b/>
                <w:color w:val="FFFFFF"/>
                <w:sz w:val="19"/>
              </w:rPr>
              <w:t>Medida</w:t>
            </w:r>
          </w:p>
        </w:tc>
        <w:tc>
          <w:tcPr>
            <w:tcW w:type="dxa" w:w="6803"/>
            <w:shd w:val="clear" w:color="auto" w:fill="C8102E"/>
          </w:tcPr>
          <w:p>
            <w:pPr>
              <w:keepNext/>
            </w:pPr>
            <w:r/>
            <w:r>
              <w:rPr>
                <w:b/>
                <w:color w:val="FFFFFF"/>
                <w:sz w:val="19"/>
              </w:rPr>
              <w:t>Detalle</w:t>
            </w:r>
          </w:p>
        </w:tc>
      </w:tr>
      <w:tr>
        <w:trPr>
          <w:cantSplit w:val="true"/>
        </w:trPr>
        <w:tc>
          <w:tcPr>
            <w:tcW w:type="dxa" w:w="2268"/>
          </w:tcPr>
          <w:p>
            <w:pPr>
              <w:keepNext/>
            </w:pPr>
            <w:r/>
            <w:r>
              <w:rPr>
                <w:sz w:val="19"/>
              </w:rPr>
              <w:t>Cifrado</w:t>
            </w:r>
          </w:p>
        </w:tc>
        <w:tc>
          <w:tcPr>
            <w:tcW w:type="dxa" w:w="6803"/>
          </w:tcPr>
          <w:p>
            <w:pPr>
              <w:keepNext/>
            </w:pPr>
            <w:r/>
            <w:r>
              <w:rPr>
                <w:sz w:val="19"/>
              </w:rPr>
              <w:t>Toda comunicación con la pasarela usa HTTPS con TLS 1.3 (RNF-04).</w:t>
            </w:r>
          </w:p>
        </w:tc>
      </w:tr>
      <w:tr>
        <w:trPr>
          <w:cantSplit w:val="true"/>
        </w:trPr>
        <w:tc>
          <w:tcPr>
            <w:tcW w:type="dxa" w:w="2268"/>
          </w:tcPr>
          <w:p>
            <w:r/>
            <w:r>
              <w:rPr>
                <w:sz w:val="19"/>
              </w:rPr>
              <w:t>Confirmación firmada</w:t>
            </w:r>
          </w:p>
        </w:tc>
        <w:tc>
          <w:tcPr>
            <w:tcW w:type="dxa" w:w="6803"/>
          </w:tcPr>
          <w:p>
            <w:r/>
            <w:r>
              <w:rPr>
                <w:sz w:val="19"/>
              </w:rPr>
              <w:t>La pasarela firma la confirmación con JWT RS256 (clave asimétrica); el quiosco verifica la firma (RNF-05).</w:t>
            </w:r>
          </w:p>
        </w:tc>
      </w:tr>
      <w:tr>
        <w:trPr>
          <w:cantSplit w:val="true"/>
        </w:trPr>
        <w:tc>
          <w:tcPr>
            <w:tcW w:type="dxa" w:w="2268"/>
          </w:tcPr>
          <w:p>
            <w:r/>
            <w:r>
              <w:rPr>
                <w:sz w:val="19"/>
              </w:rPr>
              <w:t>Anti-reenvío</w:t>
            </w:r>
          </w:p>
        </w:tc>
        <w:tc>
          <w:tcPr>
            <w:tcW w:type="dxa" w:w="6803"/>
          </w:tcPr>
          <w:p>
            <w:r/>
            <w:r>
              <w:rPr>
                <w:sz w:val="19"/>
              </w:rPr>
              <w:t>Cada confirmación lleva un identificador único (jti) que no se acepta dos veces.</w:t>
            </w:r>
          </w:p>
        </w:tc>
      </w:tr>
      <w:tr>
        <w:trPr>
          <w:cantSplit w:val="true"/>
        </w:trPr>
        <w:tc>
          <w:tcPr>
            <w:tcW w:type="dxa" w:w="2268"/>
          </w:tcPr>
          <w:p>
            <w:r/>
            <w:r>
              <w:rPr>
                <w:sz w:val="19"/>
              </w:rPr>
              <w:t>Monto exacto</w:t>
            </w:r>
          </w:p>
        </w:tc>
        <w:tc>
          <w:tcPr>
            <w:tcW w:type="dxa" w:w="6803"/>
          </w:tcPr>
          <w:p>
            <w:r/>
            <w:r>
              <w:rPr>
                <w:sz w:val="19"/>
              </w:rPr>
              <w:t>El QR se genera por el total calculado en el servidor, no en la pantalla.</w:t>
            </w:r>
          </w:p>
        </w:tc>
      </w:tr>
      <w:tr>
        <w:trPr>
          <w:cantSplit w:val="true"/>
        </w:trPr>
        <w:tc>
          <w:tcPr>
            <w:tcW w:type="dxa" w:w="2268"/>
          </w:tcPr>
          <w:p>
            <w:r/>
            <w:r>
              <w:rPr>
                <w:sz w:val="19"/>
              </w:rPr>
              <w:t>Origen restringido</w:t>
            </w:r>
          </w:p>
        </w:tc>
        <w:tc>
          <w:tcPr>
            <w:tcW w:type="dxa" w:w="6803"/>
          </w:tcPr>
          <w:p>
            <w:r/>
            <w:r>
              <w:rPr>
                <w:sz w:val="19"/>
              </w:rPr>
              <w:t>La API solo acepta peticiones de la pantalla del quiosco; las claves y .env quedan fuera de git.</w:t>
            </w:r>
          </w:p>
        </w:tc>
      </w:tr>
      <w:tr>
        <w:trPr>
          <w:cantSplit w:val="true"/>
        </w:trPr>
        <w:tc>
          <w:tcPr>
            <w:tcW w:type="dxa" w:w="2268"/>
          </w:tcPr>
          <w:p>
            <w:r/>
            <w:r>
              <w:rPr>
                <w:sz w:val="19"/>
              </w:rPr>
              <w:t>Privacidad</w:t>
            </w:r>
          </w:p>
        </w:tc>
        <w:tc>
          <w:tcPr>
            <w:tcW w:type="dxa" w:w="6803"/>
          </w:tcPr>
          <w:p>
            <w:r/>
            <w:r>
              <w:rPr>
                <w:sz w:val="19"/>
              </w:rPr>
              <w:t>La cámara solo mira la bandeja y no guarda imágenes; aviso visible en W1 y W2 (Ley 29733).</w:t>
            </w:r>
          </w:p>
        </w:tc>
      </w:tr>
    </w:tbl>
    <w:p>
      <w:pPr>
        <w:spacing w:after="200"/>
        <w:jc w:val="center"/>
      </w:pPr>
      <w:r>
        <w:rPr>
          <w:b/>
          <w:color w:val="6B6B6B"/>
          <w:sz w:val="18"/>
        </w:rPr>
        <w:t xml:space="preserve">Tabla 4. </w:t>
      </w:r>
      <w:r>
        <w:rPr>
          <w:color w:val="6B6B6B"/>
          <w:sz w:val="18"/>
        </w:rPr>
        <w:t>Medidas de seguridad.</w:t>
      </w:r>
    </w:p>
    <w:p>
      <w:pPr>
        <w:pStyle w:val="Heading1"/>
      </w:pPr>
      <w:r>
        <w:t>7. Interfaz</w:t>
      </w:r>
    </w:p>
    <w:p>
      <w:r>
        <w:rPr>
          <w:i w:val="0"/>
        </w:rPr>
        <w:t>La identidad visual «AutoCaja» usa rojo, amarillo y blanco con un estilo de señalética vial: botones grandes, alto contraste y textos cortos, pensados para una pantalla táctil vertical (RNF-06). Capturas reales de una compra completa:</w:t>
      </w:r>
    </w:p>
    <w:tbl>
      <w:tblPr>
        <w:tblW w:type="auto" w:w="0"/>
        <w:jc w:val="center"/>
        <w:tblLook w:firstColumn="1" w:firstRow="1" w:lastColumn="0" w:lastRow="0" w:noHBand="0" w:noVBand="1" w:val="04A0"/>
      </w:tblPr>
      <w:tblGrid>
        <w:gridCol w:w="3137"/>
        <w:gridCol w:w="3137"/>
        <w:gridCol w:w="3137"/>
      </w:tblGrid>
      <w:tr>
        <w:tc>
          <w:tcPr>
            <w:tcW w:type="dxa" w:w="3137"/>
          </w:tcPr>
          <w:p>
            <w:pPr>
              <w:jc w:val="center"/>
            </w:pPr>
            <w:r>
              <w:drawing>
                <wp:inline xmlns:a="http://schemas.openxmlformats.org/drawingml/2006/main" xmlns:pic="http://schemas.openxmlformats.org/drawingml/2006/picture">
                  <wp:extent cx="1655999" cy="2943998"/>
                  <wp:docPr id="9" name="Picture 9"/>
                  <wp:cNvGraphicFramePr>
                    <a:graphicFrameLocks noChangeAspect="1"/>
                  </wp:cNvGraphicFramePr>
                  <a:graphic>
                    <a:graphicData uri="http://schemas.openxmlformats.org/drawingml/2006/picture">
                      <pic:pic>
                        <pic:nvPicPr>
                          <pic:cNvPr id="0" name="w1.png"/>
                          <pic:cNvPicPr/>
                        </pic:nvPicPr>
                        <pic:blipFill>
                          <a:blip r:embed="rId16"/>
                          <a:stretch>
                            <a:fillRect/>
                          </a:stretch>
                        </pic:blipFill>
                        <pic:spPr>
                          <a:xfrm>
                            <a:off x="0" y="0"/>
                            <a:ext cx="1655999" cy="294399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655999" cy="2943998"/>
                  <wp:docPr id="10" name="Picture 10"/>
                  <wp:cNvGraphicFramePr>
                    <a:graphicFrameLocks noChangeAspect="1"/>
                  </wp:cNvGraphicFramePr>
                  <a:graphic>
                    <a:graphicData uri="http://schemas.openxmlformats.org/drawingml/2006/picture">
                      <pic:pic>
                        <pic:nvPicPr>
                          <pic:cNvPr id="0" name="w2.png"/>
                          <pic:cNvPicPr/>
                        </pic:nvPicPr>
                        <pic:blipFill>
                          <a:blip r:embed="rId17"/>
                          <a:stretch>
                            <a:fillRect/>
                          </a:stretch>
                        </pic:blipFill>
                        <pic:spPr>
                          <a:xfrm>
                            <a:off x="0" y="0"/>
                            <a:ext cx="1655999" cy="294399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655999" cy="2943998"/>
                  <wp:docPr id="11" name="Picture 11"/>
                  <wp:cNvGraphicFramePr>
                    <a:graphicFrameLocks noChangeAspect="1"/>
                  </wp:cNvGraphicFramePr>
                  <a:graphic>
                    <a:graphicData uri="http://schemas.openxmlformats.org/drawingml/2006/picture">
                      <pic:pic>
                        <pic:nvPicPr>
                          <pic:cNvPr id="0" name="w3.png"/>
                          <pic:cNvPicPr/>
                        </pic:nvPicPr>
                        <pic:blipFill>
                          <a:blip r:embed="rId18"/>
                          <a:stretch>
                            <a:fillRect/>
                          </a:stretch>
                        </pic:blipFill>
                        <pic:spPr>
                          <a:xfrm>
                            <a:off x="0" y="0"/>
                            <a:ext cx="1655999" cy="2943998"/>
                          </a:xfrm>
                          <a:prstGeom prst="rect"/>
                        </pic:spPr>
                      </pic:pic>
                    </a:graphicData>
                  </a:graphic>
                </wp:inline>
              </w:drawing>
            </w:r>
          </w:p>
        </w:tc>
      </w:tr>
      <w:tr>
        <w:tc>
          <w:tcPr>
            <w:tcW w:type="dxa" w:w="3137"/>
          </w:tcPr>
          <w:p>
            <w:pPr>
              <w:jc w:val="center"/>
            </w:pPr>
            <w:r>
              <w:rPr>
                <w:b/>
                <w:sz w:val="18"/>
              </w:rPr>
              <w:t>W1 Inicio</w:t>
            </w:r>
          </w:p>
        </w:tc>
        <w:tc>
          <w:tcPr>
            <w:tcW w:type="dxa" w:w="3137"/>
          </w:tcPr>
          <w:p>
            <w:pPr>
              <w:jc w:val="center"/>
            </w:pPr>
            <w:r>
              <w:rPr>
                <w:b/>
                <w:sz w:val="18"/>
              </w:rPr>
              <w:t>W2 Escaneando</w:t>
            </w:r>
          </w:p>
        </w:tc>
        <w:tc>
          <w:tcPr>
            <w:tcW w:type="dxa" w:w="3137"/>
          </w:tcPr>
          <w:p>
            <w:pPr>
              <w:jc w:val="center"/>
            </w:pPr>
            <w:r>
              <w:rPr>
                <w:b/>
                <w:sz w:val="18"/>
              </w:rPr>
              <w:t>W3 Confirmar</w:t>
            </w:r>
          </w:p>
        </w:tc>
      </w:tr>
    </w:tbl>
    <w:p>
      <w:pPr>
        <w:spacing w:after="200"/>
        <w:jc w:val="center"/>
      </w:pPr>
      <w:r>
        <w:rPr>
          <w:b/>
          <w:color w:val="6B6B6B"/>
          <w:sz w:val="18"/>
        </w:rPr>
        <w:t xml:space="preserve">Figura 8. </w:t>
      </w:r>
      <w:r>
        <w:rPr>
          <w:color w:val="6B6B6B"/>
          <w:sz w:val="18"/>
        </w:rPr>
        <w:t>Inicio, escaneo en vivo con dos productos y confirmación.</w:t>
      </w:r>
    </w:p>
    <w:tbl>
      <w:tblPr>
        <w:tblW w:type="auto" w:w="0"/>
        <w:jc w:val="center"/>
        <w:tblLook w:firstColumn="1" w:firstRow="1" w:lastColumn="0" w:lastRow="0" w:noHBand="0" w:noVBand="1" w:val="04A0"/>
      </w:tblPr>
      <w:tblGrid>
        <w:gridCol w:w="3137"/>
        <w:gridCol w:w="3137"/>
        <w:gridCol w:w="3137"/>
      </w:tblGrid>
      <w:tr>
        <w:tc>
          <w:tcPr>
            <w:tcW w:type="dxa" w:w="3137"/>
          </w:tcPr>
          <w:p>
            <w:pPr>
              <w:jc w:val="center"/>
            </w:pPr>
            <w:r>
              <w:drawing>
                <wp:inline xmlns:a="http://schemas.openxmlformats.org/drawingml/2006/main" xmlns:pic="http://schemas.openxmlformats.org/drawingml/2006/picture">
                  <wp:extent cx="1655999" cy="2943998"/>
                  <wp:docPr id="12" name="Picture 12"/>
                  <wp:cNvGraphicFramePr>
                    <a:graphicFrameLocks noChangeAspect="1"/>
                  </wp:cNvGraphicFramePr>
                  <a:graphic>
                    <a:graphicData uri="http://schemas.openxmlformats.org/drawingml/2006/picture">
                      <pic:pic>
                        <pic:nvPicPr>
                          <pic:cNvPr id="0" name="qr.png"/>
                          <pic:cNvPicPr/>
                        </pic:nvPicPr>
                        <pic:blipFill>
                          <a:blip r:embed="rId19"/>
                          <a:stretch>
                            <a:fillRect/>
                          </a:stretch>
                        </pic:blipFill>
                        <pic:spPr>
                          <a:xfrm>
                            <a:off x="0" y="0"/>
                            <a:ext cx="1655999" cy="294399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655999" cy="3311998"/>
                  <wp:docPr id="13" name="Picture 13"/>
                  <wp:cNvGraphicFramePr>
                    <a:graphicFrameLocks noChangeAspect="1"/>
                  </wp:cNvGraphicFramePr>
                  <a:graphic>
                    <a:graphicData uri="http://schemas.openxmlformats.org/drawingml/2006/picture">
                      <pic:pic>
                        <pic:nvPicPr>
                          <pic:cNvPr id="0" name="celular.png"/>
                          <pic:cNvPicPr/>
                        </pic:nvPicPr>
                        <pic:blipFill>
                          <a:blip r:embed="rId20"/>
                          <a:stretch>
                            <a:fillRect/>
                          </a:stretch>
                        </pic:blipFill>
                        <pic:spPr>
                          <a:xfrm>
                            <a:off x="0" y="0"/>
                            <a:ext cx="1655999" cy="3311998"/>
                          </a:xfrm>
                          <a:prstGeom prst="rect"/>
                        </pic:spPr>
                      </pic:pic>
                    </a:graphicData>
                  </a:graphic>
                </wp:inline>
              </w:drawing>
            </w:r>
          </w:p>
        </w:tc>
        <w:tc>
          <w:tcPr>
            <w:tcW w:type="dxa" w:w="3137"/>
          </w:tcPr>
          <w:p>
            <w:pPr>
              <w:jc w:val="center"/>
            </w:pPr>
            <w:r>
              <w:drawing>
                <wp:inline xmlns:a="http://schemas.openxmlformats.org/drawingml/2006/main" xmlns:pic="http://schemas.openxmlformats.org/drawingml/2006/picture">
                  <wp:extent cx="1655999" cy="2943998"/>
                  <wp:docPr id="14" name="Picture 14"/>
                  <wp:cNvGraphicFramePr>
                    <a:graphicFrameLocks noChangeAspect="1"/>
                  </wp:cNvGraphicFramePr>
                  <a:graphic>
                    <a:graphicData uri="http://schemas.openxmlformats.org/drawingml/2006/picture">
                      <pic:pic>
                        <pic:nvPicPr>
                          <pic:cNvPr id="0" name="w4.png"/>
                          <pic:cNvPicPr/>
                        </pic:nvPicPr>
                        <pic:blipFill>
                          <a:blip r:embed="rId21"/>
                          <a:stretch>
                            <a:fillRect/>
                          </a:stretch>
                        </pic:blipFill>
                        <pic:spPr>
                          <a:xfrm>
                            <a:off x="0" y="0"/>
                            <a:ext cx="1655999" cy="2943998"/>
                          </a:xfrm>
                          <a:prstGeom prst="rect"/>
                        </pic:spPr>
                      </pic:pic>
                    </a:graphicData>
                  </a:graphic>
                </wp:inline>
              </w:drawing>
            </w:r>
          </w:p>
        </w:tc>
      </w:tr>
      <w:tr>
        <w:tc>
          <w:tcPr>
            <w:tcW w:type="dxa" w:w="3137"/>
          </w:tcPr>
          <w:p>
            <w:pPr>
              <w:jc w:val="center"/>
            </w:pPr>
            <w:r>
              <w:rPr>
                <w:b/>
                <w:sz w:val="18"/>
              </w:rPr>
              <w:t>QR Pago</w:t>
            </w:r>
          </w:p>
        </w:tc>
        <w:tc>
          <w:tcPr>
            <w:tcW w:type="dxa" w:w="3137"/>
          </w:tcPr>
          <w:p>
            <w:pPr>
              <w:jc w:val="center"/>
            </w:pPr>
            <w:r>
              <w:rPr>
                <w:b/>
                <w:sz w:val="18"/>
              </w:rPr>
              <w:t>Celular del cliente</w:t>
            </w:r>
          </w:p>
        </w:tc>
        <w:tc>
          <w:tcPr>
            <w:tcW w:type="dxa" w:w="3137"/>
          </w:tcPr>
          <w:p>
            <w:pPr>
              <w:jc w:val="center"/>
            </w:pPr>
            <w:r>
              <w:rPr>
                <w:b/>
                <w:sz w:val="18"/>
              </w:rPr>
              <w:t>W4 Ticket</w:t>
            </w:r>
          </w:p>
        </w:tc>
      </w:tr>
    </w:tbl>
    <w:p>
      <w:pPr>
        <w:spacing w:after="200"/>
        <w:jc w:val="center"/>
      </w:pPr>
      <w:r>
        <w:rPr>
          <w:b/>
          <w:color w:val="6B6B6B"/>
          <w:sz w:val="18"/>
        </w:rPr>
        <w:t xml:space="preserve">Figura 9. </w:t>
      </w:r>
      <w:r>
        <w:rPr>
          <w:color w:val="6B6B6B"/>
          <w:sz w:val="18"/>
        </w:rPr>
        <w:t>Pago con QR, página de pago del celular y ticket final.</w:t>
      </w:r>
    </w:p>
    <w:p>
      <w:r>
        <w:rPr>
          <w:i w:val="0"/>
        </w:rPr>
        <w:t>Para la presentación y la operación hay dos paneles adicionales:</w:t>
      </w:r>
    </w:p>
    <w:p>
      <w:pPr>
        <w:jc w:val="center"/>
      </w:pPr>
      <w:r>
        <w:drawing>
          <wp:inline xmlns:a="http://schemas.openxmlformats.org/drawingml/2006/main" xmlns:pic="http://schemas.openxmlformats.org/drawingml/2006/picture">
            <wp:extent cx="5760000" cy="3600000"/>
            <wp:docPr id="15" name="Picture 15"/>
            <wp:cNvGraphicFramePr>
              <a:graphicFrameLocks noChangeAspect="1"/>
            </wp:cNvGraphicFramePr>
            <a:graphic>
              <a:graphicData uri="http://schemas.openxmlformats.org/drawingml/2006/picture">
                <pic:pic>
                  <pic:nvPicPr>
                    <pic:cNvPr id="0" name="sim.png"/>
                    <pic:cNvPicPr/>
                  </pic:nvPicPr>
                  <pic:blipFill>
                    <a:blip r:embed="rId22"/>
                    <a:stretch>
                      <a:fillRect/>
                    </a:stretch>
                  </pic:blipFill>
                  <pic:spPr>
                    <a:xfrm>
                      <a:off x="0" y="0"/>
                      <a:ext cx="5760000" cy="3600000"/>
                    </a:xfrm>
                    <a:prstGeom prst="rect"/>
                  </pic:spPr>
                </pic:pic>
              </a:graphicData>
            </a:graphic>
          </wp:inline>
        </w:drawing>
      </w:r>
    </w:p>
    <w:p>
      <w:pPr>
        <w:spacing w:after="200"/>
        <w:jc w:val="center"/>
      </w:pPr>
      <w:r>
        <w:rPr>
          <w:b/>
          <w:color w:val="6B6B6B"/>
          <w:sz w:val="18"/>
        </w:rPr>
        <w:t xml:space="preserve">Figura 10. </w:t>
      </w:r>
      <w:r>
        <w:rPr>
          <w:color w:val="6B6B6B"/>
          <w:sz w:val="18"/>
        </w:rPr>
        <w:t>Panel /sim: simula pasar cada producto por la cámara, escenarios paso a paso y vista en vivo del quiosco.</w:t>
      </w:r>
    </w:p>
    <w:p>
      <w:pPr>
        <w:jc w:val="center"/>
      </w:pPr>
      <w:r>
        <w:drawing>
          <wp:inline xmlns:a="http://schemas.openxmlformats.org/drawingml/2006/main" xmlns:pic="http://schemas.openxmlformats.org/drawingml/2006/picture">
            <wp:extent cx="5760000" cy="3600000"/>
            <wp:docPr id="16" name="Picture 16"/>
            <wp:cNvGraphicFramePr>
              <a:graphicFrameLocks noChangeAspect="1"/>
            </wp:cNvGraphicFramePr>
            <a:graphic>
              <a:graphicData uri="http://schemas.openxmlformats.org/drawingml/2006/picture">
                <pic:pic>
                  <pic:nvPicPr>
                    <pic:cNvPr id="0" name="caja.png"/>
                    <pic:cNvPicPr/>
                  </pic:nvPicPr>
                  <pic:blipFill>
                    <a:blip r:embed="rId23"/>
                    <a:stretch>
                      <a:fillRect/>
                    </a:stretch>
                  </pic:blipFill>
                  <pic:spPr>
                    <a:xfrm>
                      <a:off x="0" y="0"/>
                      <a:ext cx="5760000" cy="3600000"/>
                    </a:xfrm>
                    <a:prstGeom prst="rect"/>
                  </pic:spPr>
                </pic:pic>
              </a:graphicData>
            </a:graphic>
          </wp:inline>
        </w:drawing>
      </w:r>
    </w:p>
    <w:p>
      <w:pPr>
        <w:spacing w:after="200"/>
        <w:jc w:val="center"/>
      </w:pPr>
      <w:r>
        <w:rPr>
          <w:b/>
          <w:color w:val="6B6B6B"/>
          <w:sz w:val="18"/>
        </w:rPr>
        <w:t xml:space="preserve">Figura 11. </w:t>
      </w:r>
      <w:r>
        <w:rPr>
          <w:color w:val="6B6B6B"/>
          <w:sz w:val="18"/>
        </w:rPr>
        <w:t>Panel /caja: solicitudes de ayuda, estado del quiosco y compra en curso.</w:t>
      </w:r>
    </w:p>
    <w:p>
      <w:pPr>
        <w:pStyle w:val="Heading1"/>
      </w:pPr>
      <w:r>
        <w:t>8. Catálogo</w:t>
      </w:r>
    </w:p>
    <w:p>
      <w:r>
        <w:rPr>
          <w:i w:val="0"/>
        </w:rPr>
        <w:t>Los 11 productos con fotos forman el catálogo de la demo. Se guarda en SQLite local (RNF-03), de modo que el quiosco sigue funcionando sin internet.</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4535"/>
            <w:shd w:val="clear" w:color="auto" w:fill="C8102E"/>
          </w:tcPr>
          <w:p>
            <w:pPr>
              <w:keepNext/>
            </w:pPr>
            <w:r/>
            <w:r>
              <w:rPr>
                <w:b/>
                <w:color w:val="FFFFFF"/>
                <w:sz w:val="19"/>
              </w:rPr>
              <w:t>Producto</w:t>
            </w:r>
          </w:p>
        </w:tc>
        <w:tc>
          <w:tcPr>
            <w:tcW w:type="dxa" w:w="2268"/>
            <w:shd w:val="clear" w:color="auto" w:fill="C8102E"/>
          </w:tcPr>
          <w:p>
            <w:pPr>
              <w:keepNext/>
            </w:pPr>
            <w:r/>
            <w:r>
              <w:rPr>
                <w:b/>
                <w:color w:val="FFFFFF"/>
                <w:sz w:val="19"/>
              </w:rPr>
              <w:t>Precio (S/)</w:t>
            </w:r>
          </w:p>
        </w:tc>
        <w:tc>
          <w:tcPr>
            <w:tcW w:type="dxa" w:w="2268"/>
            <w:shd w:val="clear" w:color="auto" w:fill="C8102E"/>
          </w:tcPr>
          <w:p>
            <w:pPr>
              <w:keepNext/>
            </w:pPr>
            <w:r/>
            <w:r>
              <w:rPr>
                <w:b/>
                <w:color w:val="FFFFFF"/>
                <w:sz w:val="19"/>
              </w:rPr>
              <w:t>Fotos de referencia</w:t>
            </w:r>
          </w:p>
        </w:tc>
      </w:tr>
      <w:tr>
        <w:trPr>
          <w:cantSplit w:val="true"/>
        </w:trPr>
        <w:tc>
          <w:tcPr>
            <w:tcW w:type="dxa" w:w="4535"/>
          </w:tcPr>
          <w:p>
            <w:pPr>
              <w:keepNext/>
            </w:pPr>
            <w:r/>
            <w:r>
              <w:rPr>
                <w:sz w:val="19"/>
              </w:rPr>
              <w:t>Bizcocho Cancún 33 g</w:t>
            </w:r>
          </w:p>
        </w:tc>
        <w:tc>
          <w:tcPr>
            <w:tcW w:type="dxa" w:w="2268"/>
          </w:tcPr>
          <w:p>
            <w:pPr>
              <w:keepNext/>
            </w:pPr>
            <w:r/>
            <w:r>
              <w:rPr>
                <w:sz w:val="19"/>
              </w:rPr>
              <w:t>1.50</w:t>
            </w:r>
          </w:p>
        </w:tc>
        <w:tc>
          <w:tcPr>
            <w:tcW w:type="dxa" w:w="2268"/>
          </w:tcPr>
          <w:p>
            <w:pPr>
              <w:keepNext/>
            </w:pPr>
            <w:r/>
            <w:r>
              <w:rPr>
                <w:sz w:val="19"/>
              </w:rPr>
              <w:t>4</w:t>
            </w:r>
          </w:p>
        </w:tc>
      </w:tr>
      <w:tr>
        <w:trPr>
          <w:cantSplit w:val="true"/>
        </w:trPr>
        <w:tc>
          <w:tcPr>
            <w:tcW w:type="dxa" w:w="4535"/>
          </w:tcPr>
          <w:p>
            <w:r/>
            <w:r>
              <w:rPr>
                <w:sz w:val="19"/>
              </w:rPr>
              <w:t>Galletas Casino 43 g</w:t>
            </w:r>
          </w:p>
        </w:tc>
        <w:tc>
          <w:tcPr>
            <w:tcW w:type="dxa" w:w="2268"/>
          </w:tcPr>
          <w:p>
            <w:r/>
            <w:r>
              <w:rPr>
                <w:sz w:val="19"/>
              </w:rPr>
              <w:t>1.50</w:t>
            </w:r>
          </w:p>
        </w:tc>
        <w:tc>
          <w:tcPr>
            <w:tcW w:type="dxa" w:w="2268"/>
          </w:tcPr>
          <w:p>
            <w:r/>
            <w:r>
              <w:rPr>
                <w:sz w:val="19"/>
              </w:rPr>
              <w:t>5</w:t>
            </w:r>
          </w:p>
        </w:tc>
      </w:tr>
      <w:tr>
        <w:trPr>
          <w:cantSplit w:val="true"/>
        </w:trPr>
        <w:tc>
          <w:tcPr>
            <w:tcW w:type="dxa" w:w="4535"/>
          </w:tcPr>
          <w:p>
            <w:r/>
            <w:r>
              <w:rPr>
                <w:sz w:val="19"/>
              </w:rPr>
              <w:t>Chocman 39 g</w:t>
            </w:r>
          </w:p>
        </w:tc>
        <w:tc>
          <w:tcPr>
            <w:tcW w:type="dxa" w:w="2268"/>
          </w:tcPr>
          <w:p>
            <w:r/>
            <w:r>
              <w:rPr>
                <w:sz w:val="19"/>
              </w:rPr>
              <w:t>1.50</w:t>
            </w:r>
          </w:p>
        </w:tc>
        <w:tc>
          <w:tcPr>
            <w:tcW w:type="dxa" w:w="2268"/>
          </w:tcPr>
          <w:p>
            <w:r/>
            <w:r>
              <w:rPr>
                <w:sz w:val="19"/>
              </w:rPr>
              <w:t>5</w:t>
            </w:r>
          </w:p>
        </w:tc>
      </w:tr>
      <w:tr>
        <w:trPr>
          <w:cantSplit w:val="true"/>
        </w:trPr>
        <w:tc>
          <w:tcPr>
            <w:tcW w:type="dxa" w:w="4535"/>
          </w:tcPr>
          <w:p>
            <w:r/>
            <w:r>
              <w:rPr>
                <w:sz w:val="19"/>
              </w:rPr>
              <w:t>Galletas Club Social 24 g</w:t>
            </w:r>
          </w:p>
        </w:tc>
        <w:tc>
          <w:tcPr>
            <w:tcW w:type="dxa" w:w="2268"/>
          </w:tcPr>
          <w:p>
            <w:r/>
            <w:r>
              <w:rPr>
                <w:sz w:val="19"/>
              </w:rPr>
              <w:t>1.30</w:t>
            </w:r>
          </w:p>
        </w:tc>
        <w:tc>
          <w:tcPr>
            <w:tcW w:type="dxa" w:w="2268"/>
          </w:tcPr>
          <w:p>
            <w:r/>
            <w:r>
              <w:rPr>
                <w:sz w:val="19"/>
              </w:rPr>
              <w:t>4</w:t>
            </w:r>
          </w:p>
        </w:tc>
      </w:tr>
      <w:tr>
        <w:trPr>
          <w:cantSplit w:val="true"/>
        </w:trPr>
        <w:tc>
          <w:tcPr>
            <w:tcW w:type="dxa" w:w="4535"/>
          </w:tcPr>
          <w:p>
            <w:r/>
            <w:r>
              <w:rPr>
                <w:sz w:val="19"/>
              </w:rPr>
              <w:t>Glacitas 30 g</w:t>
            </w:r>
          </w:p>
        </w:tc>
        <w:tc>
          <w:tcPr>
            <w:tcW w:type="dxa" w:w="2268"/>
          </w:tcPr>
          <w:p>
            <w:r/>
            <w:r>
              <w:rPr>
                <w:sz w:val="19"/>
              </w:rPr>
              <w:t>1.50</w:t>
            </w:r>
          </w:p>
        </w:tc>
        <w:tc>
          <w:tcPr>
            <w:tcW w:type="dxa" w:w="2268"/>
          </w:tcPr>
          <w:p>
            <w:r/>
            <w:r>
              <w:rPr>
                <w:sz w:val="19"/>
              </w:rPr>
              <w:t>8</w:t>
            </w:r>
          </w:p>
        </w:tc>
      </w:tr>
      <w:tr>
        <w:trPr>
          <w:cantSplit w:val="true"/>
        </w:trPr>
        <w:tc>
          <w:tcPr>
            <w:tcW w:type="dxa" w:w="4535"/>
          </w:tcPr>
          <w:p>
            <w:r/>
            <w:r>
              <w:rPr>
                <w:sz w:val="19"/>
              </w:rPr>
              <w:t>Guaraná 450 ml</w:t>
            </w:r>
          </w:p>
        </w:tc>
        <w:tc>
          <w:tcPr>
            <w:tcW w:type="dxa" w:w="2268"/>
          </w:tcPr>
          <w:p>
            <w:r/>
            <w:r>
              <w:rPr>
                <w:sz w:val="19"/>
              </w:rPr>
              <w:t>3.00</w:t>
            </w:r>
          </w:p>
        </w:tc>
        <w:tc>
          <w:tcPr>
            <w:tcW w:type="dxa" w:w="2268"/>
          </w:tcPr>
          <w:p>
            <w:r/>
            <w:r>
              <w:rPr>
                <w:sz w:val="19"/>
              </w:rPr>
              <w:t>6</w:t>
            </w:r>
          </w:p>
        </w:tc>
      </w:tr>
      <w:tr>
        <w:trPr>
          <w:cantSplit w:val="true"/>
        </w:trPr>
        <w:tc>
          <w:tcPr>
            <w:tcW w:type="dxa" w:w="4535"/>
          </w:tcPr>
          <w:p>
            <w:r/>
            <w:r>
              <w:rPr>
                <w:sz w:val="19"/>
              </w:rPr>
              <w:t>KR Piña 3.03 L</w:t>
            </w:r>
          </w:p>
        </w:tc>
        <w:tc>
          <w:tcPr>
            <w:tcW w:type="dxa" w:w="2268"/>
          </w:tcPr>
          <w:p>
            <w:r/>
            <w:r>
              <w:rPr>
                <w:sz w:val="19"/>
              </w:rPr>
              <w:t>6.00</w:t>
            </w:r>
          </w:p>
        </w:tc>
        <w:tc>
          <w:tcPr>
            <w:tcW w:type="dxa" w:w="2268"/>
          </w:tcPr>
          <w:p>
            <w:r/>
            <w:r>
              <w:rPr>
                <w:sz w:val="19"/>
              </w:rPr>
              <w:t>5</w:t>
            </w:r>
          </w:p>
        </w:tc>
      </w:tr>
      <w:tr>
        <w:trPr>
          <w:cantSplit w:val="true"/>
        </w:trPr>
        <w:tc>
          <w:tcPr>
            <w:tcW w:type="dxa" w:w="4535"/>
          </w:tcPr>
          <w:p>
            <w:r/>
            <w:r>
              <w:rPr>
                <w:sz w:val="19"/>
              </w:rPr>
              <w:t>Galletas Morochas 30 g</w:t>
            </w:r>
          </w:p>
        </w:tc>
        <w:tc>
          <w:tcPr>
            <w:tcW w:type="dxa" w:w="2268"/>
          </w:tcPr>
          <w:p>
            <w:r/>
            <w:r>
              <w:rPr>
                <w:sz w:val="19"/>
              </w:rPr>
              <w:t>1.50</w:t>
            </w:r>
          </w:p>
        </w:tc>
        <w:tc>
          <w:tcPr>
            <w:tcW w:type="dxa" w:w="2268"/>
          </w:tcPr>
          <w:p>
            <w:r/>
            <w:r>
              <w:rPr>
                <w:sz w:val="19"/>
              </w:rPr>
              <w:t>5</w:t>
            </w:r>
          </w:p>
        </w:tc>
      </w:tr>
      <w:tr>
        <w:trPr>
          <w:cantSplit w:val="true"/>
        </w:trPr>
        <w:tc>
          <w:tcPr>
            <w:tcW w:type="dxa" w:w="4535"/>
          </w:tcPr>
          <w:p>
            <w:r/>
            <w:r>
              <w:rPr>
                <w:sz w:val="19"/>
              </w:rPr>
              <w:t>Galletas Ritz 20 g</w:t>
            </w:r>
          </w:p>
        </w:tc>
        <w:tc>
          <w:tcPr>
            <w:tcW w:type="dxa" w:w="2268"/>
          </w:tcPr>
          <w:p>
            <w:r/>
            <w:r>
              <w:rPr>
                <w:sz w:val="19"/>
              </w:rPr>
              <w:t>1.30</w:t>
            </w:r>
          </w:p>
        </w:tc>
        <w:tc>
          <w:tcPr>
            <w:tcW w:type="dxa" w:w="2268"/>
          </w:tcPr>
          <w:p>
            <w:r/>
            <w:r>
              <w:rPr>
                <w:sz w:val="19"/>
              </w:rPr>
              <w:t>4</w:t>
            </w:r>
          </w:p>
        </w:tc>
      </w:tr>
      <w:tr>
        <w:trPr>
          <w:cantSplit w:val="true"/>
        </w:trPr>
        <w:tc>
          <w:tcPr>
            <w:tcW w:type="dxa" w:w="4535"/>
          </w:tcPr>
          <w:p>
            <w:r/>
            <w:r>
              <w:rPr>
                <w:sz w:val="19"/>
              </w:rPr>
              <w:t>Vizzio 19 g</w:t>
            </w:r>
          </w:p>
        </w:tc>
        <w:tc>
          <w:tcPr>
            <w:tcW w:type="dxa" w:w="2268"/>
          </w:tcPr>
          <w:p>
            <w:r/>
            <w:r>
              <w:rPr>
                <w:sz w:val="19"/>
              </w:rPr>
              <w:t>3.00</w:t>
            </w:r>
          </w:p>
        </w:tc>
        <w:tc>
          <w:tcPr>
            <w:tcW w:type="dxa" w:w="2268"/>
          </w:tcPr>
          <w:p>
            <w:r/>
            <w:r>
              <w:rPr>
                <w:sz w:val="19"/>
              </w:rPr>
              <w:t>5</w:t>
            </w:r>
          </w:p>
        </w:tc>
      </w:tr>
      <w:tr>
        <w:trPr>
          <w:cantSplit w:val="true"/>
        </w:trPr>
        <w:tc>
          <w:tcPr>
            <w:tcW w:type="dxa" w:w="4535"/>
          </w:tcPr>
          <w:p>
            <w:r/>
            <w:r>
              <w:rPr>
                <w:sz w:val="19"/>
              </w:rPr>
              <w:t>Yofresh 190 ml</w:t>
            </w:r>
          </w:p>
        </w:tc>
        <w:tc>
          <w:tcPr>
            <w:tcW w:type="dxa" w:w="2268"/>
          </w:tcPr>
          <w:p>
            <w:r/>
            <w:r>
              <w:rPr>
                <w:sz w:val="19"/>
              </w:rPr>
              <w:t>2.00</w:t>
            </w:r>
          </w:p>
        </w:tc>
        <w:tc>
          <w:tcPr>
            <w:tcW w:type="dxa" w:w="2268"/>
          </w:tcPr>
          <w:p>
            <w:r/>
            <w:r>
              <w:rPr>
                <w:sz w:val="19"/>
              </w:rPr>
              <w:t>5</w:t>
            </w:r>
          </w:p>
        </w:tc>
      </w:tr>
    </w:tbl>
    <w:p>
      <w:pPr>
        <w:spacing w:after="200"/>
        <w:jc w:val="center"/>
      </w:pPr>
      <w:r>
        <w:rPr>
          <w:b/>
          <w:color w:val="6B6B6B"/>
          <w:sz w:val="18"/>
        </w:rPr>
        <w:t xml:space="preserve">Tabla 5. </w:t>
      </w:r>
      <w:r>
        <w:rPr>
          <w:color w:val="6B6B6B"/>
          <w:sz w:val="18"/>
        </w:rPr>
        <w:t>Catálogo de la demo.</w:t>
      </w:r>
    </w:p>
    <w:p>
      <w:pPr>
        <w:pStyle w:val="Heading1"/>
      </w:pPr>
      <w:r>
        <w:t>9. Calidad y pruebas</w:t>
      </w:r>
    </w:p>
    <w:p>
      <w:pPr>
        <w:jc w:val="center"/>
      </w:pPr>
      <w:r>
        <w:drawing>
          <wp:inline xmlns:a="http://schemas.openxmlformats.org/drawingml/2006/main" xmlns:pic="http://schemas.openxmlformats.org/drawingml/2006/picture">
            <wp:extent cx="5400000" cy="2139256"/>
            <wp:docPr id="17" name="Picture 17"/>
            <wp:cNvGraphicFramePr>
              <a:graphicFrameLocks noChangeAspect="1"/>
            </wp:cNvGraphicFramePr>
            <a:graphic>
              <a:graphicData uri="http://schemas.openxmlformats.org/drawingml/2006/picture">
                <pic:pic>
                  <pic:nvPicPr>
                    <pic:cNvPr id="0" name="pruebas.png"/>
                    <pic:cNvPicPr/>
                  </pic:nvPicPr>
                  <pic:blipFill>
                    <a:blip r:embed="rId24"/>
                    <a:stretch>
                      <a:fillRect/>
                    </a:stretch>
                  </pic:blipFill>
                  <pic:spPr>
                    <a:xfrm>
                      <a:off x="0" y="0"/>
                      <a:ext cx="5400000" cy="2139256"/>
                    </a:xfrm>
                    <a:prstGeom prst="rect"/>
                  </pic:spPr>
                </pic:pic>
              </a:graphicData>
            </a:graphic>
          </wp:inline>
        </w:drawing>
      </w:r>
    </w:p>
    <w:p>
      <w:pPr>
        <w:spacing w:after="200"/>
        <w:jc w:val="center"/>
      </w:pPr>
      <w:r>
        <w:rPr>
          <w:b/>
          <w:color w:val="6B6B6B"/>
          <w:sz w:val="18"/>
        </w:rPr>
        <w:t xml:space="preserve">Figura 12. </w:t>
      </w:r>
      <w:r>
        <w:rPr>
          <w:color w:val="6B6B6B"/>
          <w:sz w:val="18"/>
        </w:rPr>
        <w:t>Pruebas automatizadas por módulo.</w:t>
      </w:r>
    </w:p>
    <w:p>
      <w:r>
        <w:rPr>
          <w:i w:val="0"/>
        </w:rPr>
        <w:t>Cada cambio pasa por un Pull Request revisado y por integración continua con 6 trabajos: pruebas de cada servicio, análisis estático (ruff, oxlint), análisis de seguridad (bandit, npm audit), búsqueda de secretos (gitleaks) y pruebas de punta a punta con Playwright, que recorren una compra completa W1 → W4 con los tres servicios reales y la solicitud de ayuda al panel de caja.</w:t>
      </w:r>
    </w:p>
    <w:p>
      <w:r>
        <w:rPr>
          <w:i w:val="0"/>
        </w:rPr>
        <w:t>Además, una revisión de seguridad automática detectó dos formas en que el reconocedor podía cobrar de menos (dos productos a la vista y productos chicos absorbidos por el fondo); ambas se corrigieron con pruebas.</w:t>
      </w:r>
    </w:p>
    <w:p>
      <w:pPr>
        <w:pStyle w:val="Heading1"/>
      </w:pPr>
      <w:r>
        <w:t>10. Cumplimiento de requisitos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1474"/>
            <w:shd w:val="clear" w:color="auto" w:fill="C8102E"/>
          </w:tcPr>
          <w:p>
            <w:pPr>
              <w:keepNext/>
            </w:pPr>
            <w:r/>
            <w:r>
              <w:rPr>
                <w:b/>
                <w:color w:val="FFFFFF"/>
                <w:sz w:val="19"/>
              </w:rPr>
              <w:t>Requisito</w:t>
            </w:r>
          </w:p>
        </w:tc>
        <w:tc>
          <w:tcPr>
            <w:tcW w:type="dxa" w:w="3969"/>
            <w:shd w:val="clear" w:color="auto" w:fill="C8102E"/>
          </w:tcPr>
          <w:p>
            <w:pPr>
              <w:keepNext/>
            </w:pPr>
            <w:r/>
            <w:r>
              <w:rPr>
                <w:b/>
                <w:color w:val="FFFFFF"/>
                <w:sz w:val="19"/>
              </w:rPr>
              <w:t>Descripción</w:t>
            </w:r>
          </w:p>
        </w:tc>
        <w:tc>
          <w:tcPr>
            <w:tcW w:type="dxa" w:w="3628"/>
            <w:shd w:val="clear" w:color="auto" w:fill="C8102E"/>
          </w:tcPr>
          <w:p>
            <w:pPr>
              <w:keepNext/>
            </w:pPr>
            <w:r/>
            <w:r>
              <w:rPr>
                <w:b/>
                <w:color w:val="FFFFFF"/>
                <w:sz w:val="19"/>
              </w:rPr>
              <w:t>Estado</w:t>
            </w:r>
          </w:p>
        </w:tc>
      </w:tr>
      <w:tr>
        <w:trPr>
          <w:cantSplit w:val="true"/>
        </w:trPr>
        <w:tc>
          <w:tcPr>
            <w:tcW w:type="dxa" w:w="1474"/>
          </w:tcPr>
          <w:p>
            <w:pPr>
              <w:keepNext/>
            </w:pPr>
            <w:r/>
            <w:r>
              <w:rPr>
                <w:sz w:val="19"/>
              </w:rPr>
              <w:t>RF 3.4.1.1</w:t>
            </w:r>
          </w:p>
        </w:tc>
        <w:tc>
          <w:tcPr>
            <w:tcW w:type="dxa" w:w="3969"/>
          </w:tcPr>
          <w:p>
            <w:pPr>
              <w:keepNext/>
            </w:pPr>
            <w:r/>
            <w:r>
              <w:rPr>
                <w:sz w:val="19"/>
              </w:rPr>
              <w:t>Video en tiempo real de la cámara cenital</w:t>
            </w:r>
          </w:p>
        </w:tc>
        <w:tc>
          <w:tcPr>
            <w:tcW w:type="dxa" w:w="3628"/>
            <w:shd w:val="clear" w:color="auto" w:fill="DDEFD9"/>
          </w:tcPr>
          <w:p>
            <w:pPr>
              <w:keepNext/>
            </w:pPr>
            <w:r/>
            <w:r>
              <w:rPr>
                <w:b/>
                <w:sz w:val="19"/>
              </w:rPr>
              <w:t>Cumple (modo cámara)</w:t>
            </w:r>
          </w:p>
        </w:tc>
      </w:tr>
      <w:tr>
        <w:trPr>
          <w:cantSplit w:val="true"/>
        </w:trPr>
        <w:tc>
          <w:tcPr>
            <w:tcW w:type="dxa" w:w="1474"/>
          </w:tcPr>
          <w:p>
            <w:r/>
            <w:r>
              <w:rPr>
                <w:sz w:val="19"/>
              </w:rPr>
              <w:t>RF 3.4.1.2</w:t>
            </w:r>
          </w:p>
        </w:tc>
        <w:tc>
          <w:tcPr>
            <w:tcW w:type="dxa" w:w="3969"/>
          </w:tcPr>
          <w:p>
            <w:r/>
            <w:r>
              <w:rPr>
                <w:sz w:val="19"/>
              </w:rPr>
              <w:t>Detectar productos con YOLOv8</w:t>
            </w:r>
          </w:p>
        </w:tc>
        <w:tc>
          <w:tcPr>
            <w:tcW w:type="dxa" w:w="3628"/>
            <w:shd w:val="clear" w:color="auto" w:fill="FFF1C2"/>
          </w:tcPr>
          <w:p>
            <w:r/>
            <w:r>
              <w:rPr>
                <w:b/>
                <w:sz w:val="19"/>
              </w:rPr>
              <w:t>Parcial: reconocimiento por parecido; YOLOv8 queda para cuando haya dataset</w:t>
            </w:r>
          </w:p>
        </w:tc>
      </w:tr>
      <w:tr>
        <w:trPr>
          <w:cantSplit w:val="true"/>
        </w:trPr>
        <w:tc>
          <w:tcPr>
            <w:tcW w:type="dxa" w:w="1474"/>
          </w:tcPr>
          <w:p>
            <w:r/>
            <w:r>
              <w:rPr>
                <w:sz w:val="19"/>
              </w:rPr>
              <w:t>RF 3.4.1.3</w:t>
            </w:r>
          </w:p>
        </w:tc>
        <w:tc>
          <w:tcPr>
            <w:tcW w:type="dxa" w:w="3969"/>
          </w:tcPr>
          <w:p>
            <w:r/>
            <w:r>
              <w:rPr>
                <w:sz w:val="19"/>
              </w:rPr>
              <w:t>Mostrar nombre, cantidad y precio en W2</w:t>
            </w:r>
          </w:p>
        </w:tc>
        <w:tc>
          <w:tcPr>
            <w:tcW w:type="dxa" w:w="3628"/>
            <w:shd w:val="clear" w:color="auto" w:fill="DDEFD9"/>
          </w:tcPr>
          <w:p>
            <w:r/>
            <w:r>
              <w:rPr>
                <w:b/>
                <w:sz w:val="19"/>
              </w:rPr>
              <w:t>Cumple</w:t>
            </w:r>
          </w:p>
        </w:tc>
      </w:tr>
      <w:tr>
        <w:trPr>
          <w:cantSplit w:val="true"/>
        </w:trPr>
        <w:tc>
          <w:tcPr>
            <w:tcW w:type="dxa" w:w="1474"/>
          </w:tcPr>
          <w:p>
            <w:r/>
            <w:r>
              <w:rPr>
                <w:sz w:val="19"/>
              </w:rPr>
              <w:t>RF 3.4.1.4</w:t>
            </w:r>
          </w:p>
        </w:tc>
        <w:tc>
          <w:tcPr>
            <w:tcW w:type="dxa" w:w="3969"/>
          </w:tcPr>
          <w:p>
            <w:r/>
            <w:r>
              <w:rPr>
                <w:sz w:val="19"/>
              </w:rPr>
              <w:t>Impedir el pago sin al menos un producto válido</w:t>
            </w:r>
          </w:p>
        </w:tc>
        <w:tc>
          <w:tcPr>
            <w:tcW w:type="dxa" w:w="3628"/>
            <w:shd w:val="clear" w:color="auto" w:fill="DDEFD9"/>
          </w:tcPr>
          <w:p>
            <w:r/>
            <w:r>
              <w:rPr>
                <w:b/>
                <w:sz w:val="19"/>
              </w:rPr>
              <w:t>Cumple</w:t>
            </w:r>
          </w:p>
        </w:tc>
      </w:tr>
      <w:tr>
        <w:trPr>
          <w:cantSplit w:val="true"/>
        </w:trPr>
        <w:tc>
          <w:tcPr>
            <w:tcW w:type="dxa" w:w="1474"/>
          </w:tcPr>
          <w:p>
            <w:r/>
            <w:r>
              <w:rPr>
                <w:sz w:val="19"/>
              </w:rPr>
              <w:t>RF 3.4.2.x</w:t>
            </w:r>
          </w:p>
        </w:tc>
        <w:tc>
          <w:tcPr>
            <w:tcW w:type="dxa" w:w="3969"/>
          </w:tcPr>
          <w:p>
            <w:r/>
            <w:r>
              <w:rPr>
                <w:sz w:val="19"/>
              </w:rPr>
              <w:t>Balanza: peso teórico, ±5 g, alerta «Revise su bandeja»</w:t>
            </w:r>
          </w:p>
        </w:tc>
        <w:tc>
          <w:tcPr>
            <w:tcW w:type="dxa" w:w="3628"/>
            <w:shd w:val="clear" w:color="auto" w:fill="FFF1C2"/>
          </w:tcPr>
          <w:p>
            <w:r/>
            <w:r>
              <w:rPr>
                <w:b/>
                <w:sz w:val="19"/>
              </w:rPr>
              <w:t>Parcial: implementado con balanza simulada; sin balanza física</w:t>
            </w:r>
          </w:p>
        </w:tc>
      </w:tr>
      <w:tr>
        <w:trPr>
          <w:cantSplit w:val="true"/>
        </w:trPr>
        <w:tc>
          <w:tcPr>
            <w:tcW w:type="dxa" w:w="1474"/>
          </w:tcPr>
          <w:p>
            <w:r/>
            <w:r>
              <w:rPr>
                <w:sz w:val="19"/>
              </w:rPr>
              <w:t>RF 3.4.3.1</w:t>
            </w:r>
          </w:p>
        </w:tc>
        <w:tc>
          <w:tcPr>
            <w:tcW w:type="dxa" w:w="3969"/>
          </w:tcPr>
          <w:p>
            <w:r/>
            <w:r>
              <w:rPr>
                <w:sz w:val="19"/>
              </w:rPr>
              <w:t>W1 con texto e INICIAR</w:t>
            </w:r>
          </w:p>
        </w:tc>
        <w:tc>
          <w:tcPr>
            <w:tcW w:type="dxa" w:w="3628"/>
            <w:shd w:val="clear" w:color="auto" w:fill="DDEFD9"/>
          </w:tcPr>
          <w:p>
            <w:r/>
            <w:r>
              <w:rPr>
                <w:b/>
                <w:sz w:val="19"/>
              </w:rPr>
              <w:t>Cumple</w:t>
            </w:r>
          </w:p>
        </w:tc>
      </w:tr>
      <w:tr>
        <w:trPr>
          <w:cantSplit w:val="true"/>
        </w:trPr>
        <w:tc>
          <w:tcPr>
            <w:tcW w:type="dxa" w:w="1474"/>
          </w:tcPr>
          <w:p>
            <w:r/>
            <w:r>
              <w:rPr>
                <w:sz w:val="19"/>
              </w:rPr>
              <w:t>RF 3.4.3.2</w:t>
            </w:r>
          </w:p>
        </w:tc>
        <w:tc>
          <w:tcPr>
            <w:tcW w:type="dxa" w:w="3969"/>
          </w:tcPr>
          <w:p>
            <w:r/>
            <w:r>
              <w:rPr>
                <w:sz w:val="19"/>
              </w:rPr>
              <w:t>CORREGIR en W3</w:t>
            </w:r>
          </w:p>
        </w:tc>
        <w:tc>
          <w:tcPr>
            <w:tcW w:type="dxa" w:w="3628"/>
            <w:shd w:val="clear" w:color="auto" w:fill="DDEFD9"/>
          </w:tcPr>
          <w:p>
            <w:r/>
            <w:r>
              <w:rPr>
                <w:b/>
                <w:sz w:val="19"/>
              </w:rPr>
              <w:t>Cumple</w:t>
            </w:r>
          </w:p>
        </w:tc>
      </w:tr>
      <w:tr>
        <w:trPr>
          <w:cantSplit w:val="true"/>
        </w:trPr>
        <w:tc>
          <w:tcPr>
            <w:tcW w:type="dxa" w:w="1474"/>
          </w:tcPr>
          <w:p>
            <w:r/>
            <w:r>
              <w:rPr>
                <w:sz w:val="19"/>
              </w:rPr>
              <w:t>RF 3.4.3.3</w:t>
            </w:r>
          </w:p>
        </w:tc>
        <w:tc>
          <w:tcPr>
            <w:tcW w:type="dxa" w:w="3969"/>
          </w:tcPr>
          <w:p>
            <w:r/>
            <w:r>
              <w:rPr>
                <w:sz w:val="19"/>
              </w:rPr>
              <w:t>SOLICITAR AYUDA siempre visible</w:t>
            </w:r>
          </w:p>
        </w:tc>
        <w:tc>
          <w:tcPr>
            <w:tcW w:type="dxa" w:w="3628"/>
            <w:shd w:val="clear" w:color="auto" w:fill="DDEFD9"/>
          </w:tcPr>
          <w:p>
            <w:r/>
            <w:r>
              <w:rPr>
                <w:b/>
                <w:sz w:val="19"/>
              </w:rPr>
              <w:t>Cumple</w:t>
            </w:r>
          </w:p>
        </w:tc>
      </w:tr>
      <w:tr>
        <w:trPr>
          <w:cantSplit w:val="true"/>
        </w:trPr>
        <w:tc>
          <w:tcPr>
            <w:tcW w:type="dxa" w:w="1474"/>
          </w:tcPr>
          <w:p>
            <w:r/>
            <w:r>
              <w:rPr>
                <w:sz w:val="19"/>
              </w:rPr>
              <w:t>RF 3.4.4.1</w:t>
            </w:r>
          </w:p>
        </w:tc>
        <w:tc>
          <w:tcPr>
            <w:tcW w:type="dxa" w:w="3969"/>
          </w:tcPr>
          <w:p>
            <w:r/>
            <w:r>
              <w:rPr>
                <w:sz w:val="19"/>
              </w:rPr>
              <w:t>QR dinámico por el monto exacto</w:t>
            </w:r>
          </w:p>
        </w:tc>
        <w:tc>
          <w:tcPr>
            <w:tcW w:type="dxa" w:w="3628"/>
            <w:shd w:val="clear" w:color="auto" w:fill="DDEFD9"/>
          </w:tcPr>
          <w:p>
            <w:r/>
            <w:r>
              <w:rPr>
                <w:b/>
                <w:sz w:val="19"/>
              </w:rPr>
              <w:t>Cumple</w:t>
            </w:r>
          </w:p>
        </w:tc>
      </w:tr>
      <w:tr>
        <w:trPr>
          <w:cantSplit w:val="true"/>
        </w:trPr>
        <w:tc>
          <w:tcPr>
            <w:tcW w:type="dxa" w:w="1474"/>
          </w:tcPr>
          <w:p>
            <w:r/>
            <w:r>
              <w:rPr>
                <w:sz w:val="19"/>
              </w:rPr>
              <w:t>RF 3.4.4.2</w:t>
            </w:r>
          </w:p>
        </w:tc>
        <w:tc>
          <w:tcPr>
            <w:tcW w:type="dxa" w:w="3969"/>
          </w:tcPr>
          <w:p>
            <w:r/>
            <w:r>
              <w:rPr>
                <w:sz w:val="19"/>
              </w:rPr>
              <w:t>Consulta asíncrona del pago</w:t>
            </w:r>
          </w:p>
        </w:tc>
        <w:tc>
          <w:tcPr>
            <w:tcW w:type="dxa" w:w="3628"/>
            <w:shd w:val="clear" w:color="auto" w:fill="DDEFD9"/>
          </w:tcPr>
          <w:p>
            <w:r/>
            <w:r>
              <w:rPr>
                <w:b/>
                <w:sz w:val="19"/>
              </w:rPr>
              <w:t>Cumple (polling)</w:t>
            </w:r>
          </w:p>
        </w:tc>
      </w:tr>
      <w:tr>
        <w:trPr>
          <w:cantSplit w:val="true"/>
        </w:trPr>
        <w:tc>
          <w:tcPr>
            <w:tcW w:type="dxa" w:w="1474"/>
          </w:tcPr>
          <w:p>
            <w:r/>
            <w:r>
              <w:rPr>
                <w:sz w:val="19"/>
              </w:rPr>
              <w:t>RF 3.4.4.3</w:t>
            </w:r>
          </w:p>
        </w:tc>
        <w:tc>
          <w:tcPr>
            <w:tcW w:type="dxa" w:w="3969"/>
          </w:tcPr>
          <w:p>
            <w:r/>
            <w:r>
              <w:rPr>
                <w:sz w:val="19"/>
              </w:rPr>
              <w:t>W4 solo con confirmación exitosa</w:t>
            </w:r>
          </w:p>
        </w:tc>
        <w:tc>
          <w:tcPr>
            <w:tcW w:type="dxa" w:w="3628"/>
            <w:shd w:val="clear" w:color="auto" w:fill="DDEFD9"/>
          </w:tcPr>
          <w:p>
            <w:r/>
            <w:r>
              <w:rPr>
                <w:b/>
                <w:sz w:val="19"/>
              </w:rPr>
              <w:t>Cumple (JWT verificado)</w:t>
            </w:r>
          </w:p>
        </w:tc>
      </w:tr>
      <w:tr>
        <w:trPr>
          <w:cantSplit w:val="true"/>
        </w:trPr>
        <w:tc>
          <w:tcPr>
            <w:tcW w:type="dxa" w:w="1474"/>
          </w:tcPr>
          <w:p>
            <w:r/>
            <w:r>
              <w:rPr>
                <w:sz w:val="19"/>
              </w:rPr>
              <w:t>RF 3.4.4.4</w:t>
            </w:r>
          </w:p>
        </w:tc>
        <w:tc>
          <w:tcPr>
            <w:tcW w:type="dxa" w:w="3969"/>
          </w:tcPr>
          <w:p>
            <w:r/>
            <w:r>
              <w:rPr>
                <w:sz w:val="19"/>
              </w:rPr>
              <w:t>Volver a W1 a los 10 s</w:t>
            </w:r>
          </w:p>
        </w:tc>
        <w:tc>
          <w:tcPr>
            <w:tcW w:type="dxa" w:w="3628"/>
            <w:shd w:val="clear" w:color="auto" w:fill="DDEFD9"/>
          </w:tcPr>
          <w:p>
            <w:r/>
            <w:r>
              <w:rPr>
                <w:b/>
                <w:sz w:val="19"/>
              </w:rPr>
              <w:t>Cumple</w:t>
            </w:r>
          </w:p>
        </w:tc>
      </w:tr>
      <w:tr>
        <w:trPr>
          <w:cantSplit w:val="true"/>
        </w:trPr>
        <w:tc>
          <w:tcPr>
            <w:tcW w:type="dxa" w:w="1474"/>
          </w:tcPr>
          <w:p>
            <w:r/>
            <w:r>
              <w:rPr>
                <w:sz w:val="19"/>
              </w:rPr>
              <w:t>RNF-01</w:t>
            </w:r>
          </w:p>
        </w:tc>
        <w:tc>
          <w:tcPr>
            <w:tcW w:type="dxa" w:w="3969"/>
          </w:tcPr>
          <w:p>
            <w:r/>
            <w:r>
              <w:rPr>
                <w:sz w:val="19"/>
              </w:rPr>
              <w:t>IA ≤ 150 ms por imagen</w:t>
            </w:r>
          </w:p>
        </w:tc>
        <w:tc>
          <w:tcPr>
            <w:tcW w:type="dxa" w:w="3628"/>
            <w:shd w:val="clear" w:color="auto" w:fill="FBD9DE"/>
          </w:tcPr>
          <w:p>
            <w:r/>
            <w:r>
              <w:rPr>
                <w:b/>
                <w:sz w:val="19"/>
              </w:rPr>
              <w:t>No cumple aún: ≈ 210 ms (p50) en la laptop de desarrollo</w:t>
            </w:r>
          </w:p>
        </w:tc>
      </w:tr>
      <w:tr>
        <w:trPr>
          <w:cantSplit w:val="true"/>
        </w:trPr>
        <w:tc>
          <w:tcPr>
            <w:tcW w:type="dxa" w:w="1474"/>
          </w:tcPr>
          <w:p>
            <w:r/>
            <w:r>
              <w:rPr>
                <w:sz w:val="19"/>
              </w:rPr>
              <w:t>RNF-02</w:t>
            </w:r>
          </w:p>
        </w:tc>
        <w:tc>
          <w:tcPr>
            <w:tcW w:type="dxa" w:w="3969"/>
          </w:tcPr>
          <w:p>
            <w:r/>
            <w:r>
              <w:rPr>
                <w:sz w:val="19"/>
              </w:rPr>
              <w:t>W1 a W4 en ≤ 45 s</w:t>
            </w:r>
          </w:p>
        </w:tc>
        <w:tc>
          <w:tcPr>
            <w:tcW w:type="dxa" w:w="3628"/>
            <w:shd w:val="clear" w:color="auto" w:fill="FBD9DE"/>
          </w:tcPr>
          <w:p>
            <w:r/>
            <w:r>
              <w:rPr>
                <w:b/>
                <w:sz w:val="19"/>
              </w:rPr>
              <w:t>Pendiente de medir con 5 personas (herramienta lista)</w:t>
            </w:r>
          </w:p>
        </w:tc>
      </w:tr>
      <w:tr>
        <w:trPr>
          <w:cantSplit w:val="true"/>
        </w:trPr>
        <w:tc>
          <w:tcPr>
            <w:tcW w:type="dxa" w:w="1474"/>
          </w:tcPr>
          <w:p>
            <w:r/>
            <w:r>
              <w:rPr>
                <w:sz w:val="19"/>
              </w:rPr>
              <w:t>RNF-03</w:t>
            </w:r>
          </w:p>
        </w:tc>
        <w:tc>
          <w:tcPr>
            <w:tcW w:type="dxa" w:w="3969"/>
          </w:tcPr>
          <w:p>
            <w:r/>
            <w:r>
              <w:rPr>
                <w:sz w:val="19"/>
              </w:rPr>
              <w:t>Catálogo en base local</w:t>
            </w:r>
          </w:p>
        </w:tc>
        <w:tc>
          <w:tcPr>
            <w:tcW w:type="dxa" w:w="3628"/>
            <w:shd w:val="clear" w:color="auto" w:fill="DDEFD9"/>
          </w:tcPr>
          <w:p>
            <w:r/>
            <w:r>
              <w:rPr>
                <w:b/>
                <w:sz w:val="19"/>
              </w:rPr>
              <w:t>Cumple (SQLite)</w:t>
            </w:r>
          </w:p>
        </w:tc>
      </w:tr>
      <w:tr>
        <w:trPr>
          <w:cantSplit w:val="true"/>
        </w:trPr>
        <w:tc>
          <w:tcPr>
            <w:tcW w:type="dxa" w:w="1474"/>
          </w:tcPr>
          <w:p>
            <w:r/>
            <w:r>
              <w:rPr>
                <w:sz w:val="19"/>
              </w:rPr>
              <w:t>RNF-04</w:t>
            </w:r>
          </w:p>
        </w:tc>
        <w:tc>
          <w:tcPr>
            <w:tcW w:type="dxa" w:w="3969"/>
          </w:tcPr>
          <w:p>
            <w:r/>
            <w:r>
              <w:rPr>
                <w:sz w:val="19"/>
              </w:rPr>
              <w:t>TLS 1.3</w:t>
            </w:r>
          </w:p>
        </w:tc>
        <w:tc>
          <w:tcPr>
            <w:tcW w:type="dxa" w:w="3628"/>
            <w:shd w:val="clear" w:color="auto" w:fill="DDEFD9"/>
          </w:tcPr>
          <w:p>
            <w:r/>
            <w:r>
              <w:rPr>
                <w:b/>
                <w:sz w:val="19"/>
              </w:rPr>
              <w:t>Cumple</w:t>
            </w:r>
          </w:p>
        </w:tc>
      </w:tr>
      <w:tr>
        <w:trPr>
          <w:cantSplit w:val="true"/>
        </w:trPr>
        <w:tc>
          <w:tcPr>
            <w:tcW w:type="dxa" w:w="1474"/>
          </w:tcPr>
          <w:p>
            <w:r/>
            <w:r>
              <w:rPr>
                <w:sz w:val="19"/>
              </w:rPr>
              <w:t>RNF-05</w:t>
            </w:r>
          </w:p>
        </w:tc>
        <w:tc>
          <w:tcPr>
            <w:tcW w:type="dxa" w:w="3969"/>
          </w:tcPr>
          <w:p>
            <w:r/>
            <w:r>
              <w:rPr>
                <w:sz w:val="19"/>
              </w:rPr>
              <w:t>JWT con clave asimétrica</w:t>
            </w:r>
          </w:p>
        </w:tc>
        <w:tc>
          <w:tcPr>
            <w:tcW w:type="dxa" w:w="3628"/>
            <w:shd w:val="clear" w:color="auto" w:fill="DDEFD9"/>
          </w:tcPr>
          <w:p>
            <w:r/>
            <w:r>
              <w:rPr>
                <w:b/>
                <w:sz w:val="19"/>
              </w:rPr>
              <w:t>Cumple (RS256)</w:t>
            </w:r>
          </w:p>
        </w:tc>
      </w:tr>
      <w:tr>
        <w:trPr>
          <w:cantSplit w:val="true"/>
        </w:trPr>
        <w:tc>
          <w:tcPr>
            <w:tcW w:type="dxa" w:w="1474"/>
          </w:tcPr>
          <w:p>
            <w:r/>
            <w:r>
              <w:rPr>
                <w:sz w:val="19"/>
              </w:rPr>
              <w:t>RNF-06</w:t>
            </w:r>
          </w:p>
        </w:tc>
        <w:tc>
          <w:tcPr>
            <w:tcW w:type="dxa" w:w="3969"/>
          </w:tcPr>
          <w:p>
            <w:r/>
            <w:r>
              <w:rPr>
                <w:sz w:val="19"/>
              </w:rPr>
              <w:t>Pantalla vertical tipo quiosco</w:t>
            </w:r>
          </w:p>
        </w:tc>
        <w:tc>
          <w:tcPr>
            <w:tcW w:type="dxa" w:w="3628"/>
            <w:shd w:val="clear" w:color="auto" w:fill="DDEFD9"/>
          </w:tcPr>
          <w:p>
            <w:r/>
            <w:r>
              <w:rPr>
                <w:b/>
                <w:sz w:val="19"/>
              </w:rPr>
              <w:t>Cumple (1080 × 1920)</w:t>
            </w:r>
          </w:p>
        </w:tc>
      </w:tr>
    </w:tbl>
    <w:p>
      <w:pPr>
        <w:spacing w:after="200"/>
        <w:jc w:val="center"/>
      </w:pPr>
      <w:r>
        <w:rPr>
          <w:b/>
          <w:color w:val="6B6B6B"/>
          <w:sz w:val="18"/>
        </w:rPr>
        <w:t xml:space="preserve">Tabla 6. </w:t>
      </w:r>
      <w:r>
        <w:rPr>
          <w:color w:val="6B6B6B"/>
          <w:sz w:val="18"/>
        </w:rPr>
        <w:t>Requisitos del SRS y su estado.</w:t>
      </w:r>
    </w:p>
    <w:p>
      <w:pPr>
        <w:jc w:val="center"/>
      </w:pPr>
      <w:r>
        <w:drawing>
          <wp:inline xmlns:a="http://schemas.openxmlformats.org/drawingml/2006/main" xmlns:pic="http://schemas.openxmlformats.org/drawingml/2006/picture">
            <wp:extent cx="5400000" cy="2072093"/>
            <wp:docPr id="18" name="Picture 18"/>
            <wp:cNvGraphicFramePr>
              <a:graphicFrameLocks noChangeAspect="1"/>
            </wp:cNvGraphicFramePr>
            <a:graphic>
              <a:graphicData uri="http://schemas.openxmlformats.org/drawingml/2006/picture">
                <pic:pic>
                  <pic:nvPicPr>
                    <pic:cNvPr id="0" name="latencia.png"/>
                    <pic:cNvPicPr/>
                  </pic:nvPicPr>
                  <pic:blipFill>
                    <a:blip r:embed="rId25"/>
                    <a:stretch>
                      <a:fillRect/>
                    </a:stretch>
                  </pic:blipFill>
                  <pic:spPr>
                    <a:xfrm>
                      <a:off x="0" y="0"/>
                      <a:ext cx="5400000" cy="2072093"/>
                    </a:xfrm>
                    <a:prstGeom prst="rect"/>
                  </pic:spPr>
                </pic:pic>
              </a:graphicData>
            </a:graphic>
          </wp:inline>
        </w:drawing>
      </w:r>
    </w:p>
    <w:p>
      <w:pPr>
        <w:spacing w:after="200"/>
        <w:jc w:val="center"/>
      </w:pPr>
      <w:r>
        <w:rPr>
          <w:b/>
          <w:color w:val="6B6B6B"/>
          <w:sz w:val="18"/>
        </w:rPr>
        <w:t xml:space="preserve">Figura 13. </w:t>
      </w:r>
      <w:r>
        <w:rPr>
          <w:color w:val="6B6B6B"/>
          <w:sz w:val="18"/>
        </w:rPr>
        <w:t>Latencia del reconocedor por etapa frente a la meta de RNF-01.</w:t>
      </w:r>
    </w:p>
    <w:p>
      <w:r>
        <w:rPr>
          <w:i w:val="0"/>
        </w:rPr>
        <w:t>La mayor parte del tiempo la consume DINOv2. Reducir la imagen de entrada a 140 px lo deja por debajo de 150 ms; falta confirmar que el acierto se mantiene y medir en la laptop de la demo sin otros procesos.</w:t>
      </w:r>
    </w:p>
    <w:p>
      <w:pPr>
        <w:pStyle w:val="Heading1"/>
      </w:pPr>
      <w:r>
        <w:t>11. Riesgos, pendientes y próximos pasos</w:t>
      </w:r>
    </w:p>
    <w:tbl>
      <w:tblPr>
        <w:tblStyle w:val="TableGrid"/>
        <w:tblW w:type="auto" w:w="0"/>
        <w:jc w:val="center"/>
        <w:tblLook w:firstColumn="1" w:firstRow="1" w:lastColumn="0" w:lastRow="0" w:noHBand="0" w:noVBand="1" w:val="04A0"/>
      </w:tblPr>
      <w:tblGrid>
        <w:gridCol w:w="3137"/>
        <w:gridCol w:w="3137"/>
        <w:gridCol w:w="3137"/>
      </w:tblGrid>
      <w:tr>
        <w:trPr>
          <w:tblHeader w:val="true"/>
          <w:cantSplit w:val="true"/>
        </w:trPr>
        <w:tc>
          <w:tcPr>
            <w:tcW w:type="dxa" w:w="3402"/>
            <w:shd w:val="clear" w:color="auto" w:fill="C8102E"/>
          </w:tcPr>
          <w:p>
            <w:pPr>
              <w:keepNext/>
            </w:pPr>
            <w:r/>
            <w:r>
              <w:rPr>
                <w:b/>
                <w:color w:val="FFFFFF"/>
                <w:sz w:val="19"/>
              </w:rPr>
              <w:t>Riesgo</w:t>
            </w:r>
          </w:p>
        </w:tc>
        <w:tc>
          <w:tcPr>
            <w:tcW w:type="dxa" w:w="2268"/>
            <w:shd w:val="clear" w:color="auto" w:fill="C8102E"/>
          </w:tcPr>
          <w:p>
            <w:pPr>
              <w:keepNext/>
            </w:pPr>
            <w:r/>
            <w:r>
              <w:rPr>
                <w:b/>
                <w:color w:val="FFFFFF"/>
                <w:sz w:val="19"/>
              </w:rPr>
              <w:t>Impacto</w:t>
            </w:r>
          </w:p>
        </w:tc>
        <w:tc>
          <w:tcPr>
            <w:tcW w:type="dxa" w:w="3402"/>
            <w:shd w:val="clear" w:color="auto" w:fill="C8102E"/>
          </w:tcPr>
          <w:p>
            <w:pPr>
              <w:keepNext/>
            </w:pPr>
            <w:r/>
            <w:r>
              <w:rPr>
                <w:b/>
                <w:color w:val="FFFFFF"/>
                <w:sz w:val="19"/>
              </w:rPr>
              <w:t>Mitigación</w:t>
            </w:r>
          </w:p>
        </w:tc>
      </w:tr>
      <w:tr>
        <w:trPr>
          <w:cantSplit w:val="true"/>
        </w:trPr>
        <w:tc>
          <w:tcPr>
            <w:tcW w:type="dxa" w:w="3402"/>
          </w:tcPr>
          <w:p>
            <w:pPr>
              <w:keepNext/>
            </w:pPr>
            <w:r/>
            <w:r>
              <w:rPr>
                <w:sz w:val="19"/>
              </w:rPr>
              <w:t>Las fotos del Drive se tomaron con celular sobre madera; la webcam de la demo ve otra luz y otro fondo</w:t>
            </w:r>
          </w:p>
        </w:tc>
        <w:tc>
          <w:tcPr>
            <w:tcW w:type="dxa" w:w="2268"/>
          </w:tcPr>
          <w:p>
            <w:pPr>
              <w:keepNext/>
            </w:pPr>
            <w:r/>
            <w:r>
              <w:rPr>
                <w:sz w:val="19"/>
              </w:rPr>
              <w:t>Menos aciertos en vivo</w:t>
            </w:r>
          </w:p>
        </w:tc>
        <w:tc>
          <w:tcPr>
            <w:tcW w:type="dxa" w:w="3402"/>
          </w:tcPr>
          <w:p>
            <w:pPr>
              <w:keepNext/>
            </w:pPr>
            <w:r/>
            <w:r>
              <w:rPr>
                <w:sz w:val="19"/>
              </w:rPr>
              <w:t>Capturar 10–20 fotos por producto con la propia webcam (comando capturar)</w:t>
            </w:r>
          </w:p>
        </w:tc>
      </w:tr>
      <w:tr>
        <w:trPr>
          <w:cantSplit w:val="true"/>
        </w:trPr>
        <w:tc>
          <w:tcPr>
            <w:tcW w:type="dxa" w:w="3402"/>
          </w:tcPr>
          <w:p>
            <w:r/>
            <w:r>
              <w:rPr>
                <w:sz w:val="19"/>
              </w:rPr>
              <w:t>Latencia &gt; 150 ms</w:t>
            </w:r>
          </w:p>
        </w:tc>
        <w:tc>
          <w:tcPr>
            <w:tcW w:type="dxa" w:w="2268"/>
          </w:tcPr>
          <w:p>
            <w:r/>
            <w:r>
              <w:rPr>
                <w:sz w:val="19"/>
              </w:rPr>
              <w:t>No cumple RNF-01; respuesta más lenta</w:t>
            </w:r>
          </w:p>
        </w:tc>
        <w:tc>
          <w:tcPr>
            <w:tcW w:type="dxa" w:w="3402"/>
          </w:tcPr>
          <w:p>
            <w:r/>
            <w:r>
              <w:rPr>
                <w:sz w:val="19"/>
              </w:rPr>
              <w:t>Imagen de entrada más chica o modelo cuantizado; medir en la laptop de la demo</w:t>
            </w:r>
          </w:p>
        </w:tc>
      </w:tr>
      <w:tr>
        <w:trPr>
          <w:cantSplit w:val="true"/>
        </w:trPr>
        <w:tc>
          <w:tcPr>
            <w:tcW w:type="dxa" w:w="3402"/>
          </w:tcPr>
          <w:p>
            <w:r/>
            <w:r>
              <w:rPr>
                <w:sz w:val="19"/>
              </w:rPr>
              <w:t>Sin balanza no hay antifraude por peso</w:t>
            </w:r>
          </w:p>
        </w:tc>
        <w:tc>
          <w:tcPr>
            <w:tcW w:type="dxa" w:w="2268"/>
          </w:tcPr>
          <w:p>
            <w:r/>
            <w:r>
              <w:rPr>
                <w:sz w:val="19"/>
              </w:rPr>
              <w:t>Un producto que no pasa por la cámara no se cobra</w:t>
            </w:r>
          </w:p>
        </w:tc>
        <w:tc>
          <w:tcPr>
            <w:tcW w:type="dxa" w:w="3402"/>
          </w:tcPr>
          <w:p>
            <w:r/>
            <w:r>
              <w:rPr>
                <w:sz w:val="19"/>
              </w:rPr>
              <w:t>Aceptable para la demo; para un piloto real, balanza HX711 (ya soportada por la lógica)</w:t>
            </w:r>
          </w:p>
        </w:tc>
      </w:tr>
      <w:tr>
        <w:trPr>
          <w:cantSplit w:val="true"/>
        </w:trPr>
        <w:tc>
          <w:tcPr>
            <w:tcW w:type="dxa" w:w="3402"/>
          </w:tcPr>
          <w:p>
            <w:r/>
            <w:r>
              <w:rPr>
                <w:sz w:val="19"/>
              </w:rPr>
              <w:t>Productos de empaque parecido (galletas rojas o blancas)</w:t>
            </w:r>
          </w:p>
        </w:tc>
        <w:tc>
          <w:tcPr>
            <w:tcW w:type="dxa" w:w="2268"/>
          </w:tcPr>
          <w:p>
            <w:r/>
            <w:r>
              <w:rPr>
                <w:sz w:val="19"/>
              </w:rPr>
              <w:t>Confusiones puntuales</w:t>
            </w:r>
          </w:p>
        </w:tc>
        <w:tc>
          <w:tcPr>
            <w:tcW w:type="dxa" w:w="3402"/>
          </w:tcPr>
          <w:p>
            <w:r/>
            <w:r>
              <w:rPr>
                <w:sz w:val="19"/>
              </w:rPr>
              <w:t>Más fotos del frente de esos productos</w:t>
            </w:r>
          </w:p>
        </w:tc>
      </w:tr>
    </w:tbl>
    <w:p>
      <w:pPr>
        <w:spacing w:after="200"/>
        <w:jc w:val="center"/>
      </w:pPr>
      <w:r>
        <w:rPr>
          <w:b/>
          <w:color w:val="6B6B6B"/>
          <w:sz w:val="18"/>
        </w:rPr>
        <w:t xml:space="preserve">Tabla 7. </w:t>
      </w:r>
      <w:r>
        <w:rPr>
          <w:color w:val="6B6B6B"/>
          <w:sz w:val="18"/>
        </w:rPr>
        <w:t>Riesgos principales.</w:t>
      </w:r>
    </w:p>
    <w:p>
      <w:pPr>
        <w:pStyle w:val="Heading2"/>
      </w:pPr>
      <w:r>
        <w:t>Próximos pasos</w:t>
      </w:r>
    </w:p>
    <w:p>
      <w:pPr>
        <w:pStyle w:val="ListBullet"/>
      </w:pPr>
      <w:r>
        <w:rPr>
          <w:i w:val="0"/>
        </w:rPr>
        <w:t>Montar la cámara sobre la bandeja de la demo, capturar fotos de cada producto y ajustar el umbral.</w:t>
      </w:r>
    </w:p>
    <w:p>
      <w:pPr>
        <w:pStyle w:val="ListBullet"/>
      </w:pPr>
      <w:r>
        <w:rPr>
          <w:i w:val="0"/>
        </w:rPr>
        <w:t>Bajar la latencia del reconocedor por debajo de 150 ms y volver a medir.</w:t>
      </w:r>
    </w:p>
    <w:p>
      <w:pPr>
        <w:pStyle w:val="ListBullet"/>
      </w:pPr>
      <w:r>
        <w:rPr>
          <w:i w:val="0"/>
        </w:rPr>
        <w:t>Medición M5 con 5 personas ajenas al equipo (tiempo W1 → W4 y compras sin ayuda) y completar el informe de resultados.</w:t>
      </w:r>
    </w:p>
    <w:p>
      <w:pPr>
        <w:pStyle w:val="ListBullet"/>
      </w:pPr>
      <w:r>
        <w:rPr>
          <w:i w:val="0"/>
        </w:rPr>
        <w:t>Publicar la versión v0.1.0 (develop → main) antes de la demo.</w:t>
      </w:r>
    </w:p>
    <w:p>
      <w:pPr>
        <w:pStyle w:val="Heading1"/>
      </w:pPr>
      <w:r>
        <w:t>Anexo A. Cómo ejecutar el sistema</w:t>
      </w:r>
    </w:p>
    <w:p>
      <w:r>
        <w:rPr>
          <w:i w:val="0"/>
        </w:rPr>
        <w:t>Requisitos: Python 3.12 y Node 22. En modo simulado se levantan tres servicios:</w:t>
      </w:r>
    </w:p>
    <w:p>
      <w:pPr>
        <w:spacing w:after="0"/>
      </w:pPr>
      <w:r>
        <w:rPr>
          <w:rFonts w:ascii="Consolas" w:hAnsi="Consolas"/>
          <w:sz w:val="18"/>
        </w:rPr>
        <w:t>cd mock-gateway &amp;&amp; python -m gateway          # pasarela HTTPS :8443</w:t>
      </w:r>
    </w:p>
    <w:p>
      <w:pPr>
        <w:spacing w:after="0"/>
      </w:pPr>
      <w:r>
        <w:rPr>
          <w:rFonts w:ascii="Consolas" w:hAnsi="Consolas"/>
          <w:sz w:val="18"/>
        </w:rPr>
        <w:t>cd kiosk-api &amp;&amp; python -m kiosk                # API :8000</w:t>
      </w:r>
    </w:p>
    <w:p>
      <w:pPr>
        <w:spacing w:after="0"/>
      </w:pPr>
      <w:r>
        <w:rPr>
          <w:rFonts w:ascii="Consolas" w:hAnsi="Consolas"/>
          <w:sz w:val="18"/>
        </w:rPr>
        <w:t>cd kiosk-ui &amp;&amp; npm run dev                     # pantalla :5173</w:t>
      </w:r>
    </w:p>
    <w:p>
      <w:pPr>
        <w:spacing w:after="0"/>
      </w:pPr>
      <w:r>
        <w:rPr>
          <w:rFonts w:ascii="Consolas" w:hAnsi="Consolas"/>
          <w:sz w:val="18"/>
        </w:rPr>
      </w:r>
    </w:p>
    <w:p>
      <w:pPr>
        <w:spacing w:after="0"/>
      </w:pPr>
      <w:r>
        <w:rPr>
          <w:rFonts w:ascii="Consolas" w:hAnsi="Consolas"/>
          <w:sz w:val="18"/>
        </w:rPr>
        <w:t># Modo cámara (reconocimiento por parecido)</w:t>
      </w:r>
    </w:p>
    <w:p>
      <w:pPr>
        <w:spacing w:after="0"/>
      </w:pPr>
      <w:r>
        <w:rPr>
          <w:rFonts w:ascii="Consolas" w:hAnsi="Consolas"/>
          <w:sz w:val="18"/>
        </w:rPr>
        <w:t>python -m kiosk.recognizer galeria</w:t>
      </w:r>
    </w:p>
    <w:p>
      <w:pPr>
        <w:spacing w:after="0"/>
      </w:pPr>
      <w:r>
        <w:rPr>
          <w:rFonts w:ascii="Consolas" w:hAnsi="Consolas"/>
          <w:sz w:val="18"/>
        </w:rPr>
        <w:t>KIOSK_MODE=camera KIOSK_GALLERY=../ml/data/models/galeria.npz python -m kiosk</w:t>
      </w:r>
    </w:p>
    <w:p/>
    <w:p>
      <w:r>
        <w:rPr>
          <w:i w:val="0"/>
        </w:rPr>
        <w:t>Direcciones: quiosco http://localhost:5173/ · simulador /sim · caja /caja. Documentación técnica en el repositorio: README.md, docs/ESTADO.md y docs/ml/reconocimiento.md.</w:t>
      </w:r>
    </w:p>
    <w:sectPr w:rsidR="00FC693F" w:rsidRPr="0006063C" w:rsidSect="00034616">
      <w:footerReference w:type="default" r:id="rId26"/>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AutoCaja · Informe del sistema · página </w:t>
    </w:r>
    <w:r>
      <w:rPr>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b/>
      <w:bCs/>
      <w:color w:val="C8102E"/>
      <w:sz w:val="32"/>
      <w:szCs w:val="28"/>
      <w:rFonts w:asciiTheme="minorHAnsi" w:eastAsiaTheme="majorEastAsia" w:hAnsiTheme="minorHAnsi" w:cstheme="majorBidi" w:ascii="Calibri" w:hAnsi="Calibri"/>
    </w:rPr>
  </w:style>
  <w:style w:type="paragraph" w:styleId="Heading2">
    <w:name w:val="heading 2"/>
    <w:basedOn w:val="Normal"/>
    <w:next w:val="Normal"/>
    <w:link w:val="Heading2Char"/>
    <w:uiPriority w:val="9"/>
    <w:unhideWhenUsed/>
    <w:qFormat/>
    <w:rsid w:val="00FC693F"/>
    <w:pPr>
      <w:keepNext/>
      <w:keepLines/>
      <w:spacing w:before="200" w:after="120"/>
      <w:outlineLvl w:val="1"/>
    </w:pPr>
    <w:rPr>
      <w:b/>
      <w:bCs/>
      <w:color w:val="1A1A1A"/>
      <w:sz w:val="26"/>
      <w:szCs w:val="26"/>
      <w:rFonts w:asciiTheme="minorHAnsi" w:eastAsiaTheme="majorEastAsia" w:hAnsiTheme="minorHAnsi" w:cstheme="majorBidi" w:ascii="Calibri" w:hAnsi="Calibri"/>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