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O conceito de </w:t>
      </w:r>
      <w:r w:rsidDel="00000000" w:rsidR="00000000" w:rsidRPr="00000000">
        <w:rPr>
          <w:i w:val="1"/>
          <w:rtl w:val="0"/>
        </w:rPr>
        <w:t xml:space="preserve">technical debt</w:t>
      </w:r>
      <w:r w:rsidDel="00000000" w:rsidR="00000000" w:rsidRPr="00000000">
        <w:rPr>
          <w:rtl w:val="0"/>
        </w:rPr>
        <w:t xml:space="preserve">,</w:t>
      </w:r>
      <w:r w:rsidDel="00000000" w:rsidR="00000000" w:rsidRPr="00000000">
        <w:rPr>
          <w:rtl w:val="0"/>
        </w:rPr>
        <w:t xml:space="preserve"> ou dívida técnica, foi usado no artigo como uma metáfora para descrever decisões de desenvolvimento de software que priorizam a entrega rápida de funcionalidades em detrimento da qualidade técnica. Essas decisões, que são muitas vezes necessárias por motivos de prazos apertados ou mudanças de requisitos, acabam gerando um “endividamento” que precisa ser pago posteriormente, por meio de retrabalho, refatorações e aumento do custo de manutenção. Assim como em uma dívida normal, a dívida técnica acumula “juros”: quanto mais tempo ela permanece sem ser tratada, maior o esforço necessário para corrigi-la e maior o risco de o sistema tornar-se inflexível, instável ou difícil de evoluir.</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Gerenciar a dívida técnica, portanto, significa reconhecer, mensurar, monitorar e planejar ações para mitigá-la ao longo do ciclo de vida do software. O gerenciamento eficaz parte do reconhecimento de que nem toda dívida é negativa  em muitos casos, ela pode representar uma escolha estratégica consciente, feita para alcançar um objetivo de negócio de curto prazo. O desafio está em equilibrar esses compromissos técnicos com a sustentabilidade do projeto a longo prazo. Diversos autores descrevem um ciclo de vida da dívida técnica que inclui sua criação, a conscientização sobre sua existência, o ponto de inflexão (quando o custo de mantê-la supera seus benefícios) e o momento do “pagamento”, quando são realizadas ações corretivas, como refatorações ou reengenharia de partes do sistema.</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O artigo reforça que a identificação e o acompanhamento sistemático das dívidas técnicas são fundamentais para um gerenciamento efetivo. Recomenda-se que as equipes mantenham um inventário atualizado das dívidas, documentando sua localização, causa, impacto potencial e o custo estimado de correção. Essa prática favorece a priorização de ações corretivas com base em critérios tanto técnicos quanto de negócio, como valor agregado ao cliente e impacto em futuras entregas. Ferramentas de análise estática de código, métricas de qualidade, testes automatizados e indicadores de manutenção têm sido amplamente utilizadas para apoiar esse processo de detecção e monitoramento.</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Entre as estratégias mais difundidas para gerenciar a dívida técnica estão a refatoração contínua e incremental, a adoção de revisões de código orientadas à qualidade e o estabelecimento de metas explícitas de pagamento da dívida em planos de iteração ou sprints. Além disso, alguns modelos estratégicos, como o </w:t>
      </w:r>
      <w:r w:rsidDel="00000000" w:rsidR="00000000" w:rsidRPr="00000000">
        <w:rPr>
          <w:i w:val="1"/>
          <w:rtl w:val="0"/>
        </w:rPr>
        <w:t xml:space="preserve">Strategic Technical Debt Management Model (STDMM)</w:t>
      </w:r>
      <w:r w:rsidDel="00000000" w:rsidR="00000000" w:rsidRPr="00000000">
        <w:rPr>
          <w:rtl w:val="0"/>
        </w:rPr>
        <w:t xml:space="preserve">, propõem uma abordagem mais holística, que integra fatores sociais, organizacionais e técnicos na tomada de decisão sobre quando e como intervir. Essa perspectiva reconhece que a dívida técnica não é apenas um problema técnico, mas também gerencial, exigindo alinhamento entre desenvolvedores, arquitetos e gestores de produto.</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Os benefícios de um gerenciamento eficaz incluem maior manutenibilidade, legibilidade e previsibilidade dos sistemas, bem como uma comunicação mais transparente entre equipes técnicas e stakeholders de negócio. Por outro lado, a negligência na gestão da dívida técnica tende a gerar um acúmulo progressivo de complexidade, resultando em sistemas cada vez mais difíceis de modificar, escalar e testar. A longo prazo, isso pode comprometer a viabilidade econômica do software, levando à necessidade de reescrever partes substanciais do sistema.</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Pesquisas recentes sobre o tema indicam uma expansão do enfoque: além do código, a dívida técnica tem sido estudada em relação a processos, arquitetura, documentação e até aspectos organizacionais e culturais. Estudos empíricos mostram que fatores humanos, como rotatividade de equipe, falta de comunicação e pressões de mercado, desempenham papel decisivo na formação e no agravamento da dívida. Outras linhas de investigação propõem a aplicação de modelos financeiros, tratando a dívida técnica como um ativo mensurável, cujo “principal” e “juros” podem ser quantificados em termos de custo e risco.</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Em resumo, o gerenciamento da dívida técnica constitui um componente essencial da engenharia de software moderna. Mais do que eliminar completamente a dívida, o que é impraticável , o objetivo é desenvolver mecanismos que permitam às organizações lidar com ela de forma consciente, planejada e estratégica. A sustentabilidade dos sistemas depende dessa capacidade de equilibrar velocidade e qualidade, inovação e estabilidade. Assim, gerenciar a dívida técnica é, em última instância, um exercício de maturidade técnica e organizacional, indispensável para a evolução contínua dos produtos de software.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