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6"/>
        </w:rPr>
        <w:t>Arctic Tundra Microtopography Benchmark</w:t>
      </w:r>
    </w:p>
    <w:p>
      <w:pPr>
        <w:jc w:val="center"/>
      </w:pPr>
      <w:r>
        <w:rPr>
          <w:rFonts w:ascii="Arial" w:hAnsi="Arial"/>
          <w:b/>
          <w:sz w:val="30"/>
        </w:rPr>
        <w:t>Integrated Literature Review, Benchmark Study, and Article Development Plan</w:t>
      </w:r>
    </w:p>
    <w:p>
      <w:pPr>
        <w:pStyle w:val="SubtitlePlan"/>
        <w:jc w:val="center"/>
      </w:pPr>
      <w:r>
        <w:t>Working Research Plan — Version 1.0</w:t>
      </w:r>
    </w:p>
    <w:p/>
    <w:p>
      <w:pPr>
        <w:jc w:val="center"/>
      </w:pPr>
      <w:r>
        <w:t>Purpose: establish the state of the field before fixing the experimental design, then execute a reproducible large-scale benchmark of terrain-derivative methods for low-relief Arctic and subarctic tundra, with Quinhagak as a held-out applied case study.</w:t>
      </w:r>
    </w:p>
    <w:p/>
    <w:p>
      <w:pPr>
        <w:jc w:val="center"/>
      </w:pPr>
      <w:r>
        <w:rPr>
          <w:b/>
        </w:rPr>
        <w:t>Companion materials</w:t>
      </w:r>
      <w:r>
        <w:br/>
        <w:t>Arctic DEM Microtopography State-of-Field Dossier v0.2</w:t>
      </w:r>
      <w:r>
        <w:br/>
        <w:t>Arctic DEM Microtopography Evidence Matrix v0.2</w:t>
      </w:r>
    </w:p>
    <w:p>
      <w:r>
        <w:br w:type="page"/>
      </w:r>
    </w:p>
    <w:p>
      <w:pPr>
        <w:pStyle w:val="Heading1"/>
      </w:pPr>
      <w:r>
        <w:t>1. Executive Summary</w:t>
      </w:r>
    </w:p>
    <w:p>
      <w:r>
        <w:t>The project should proceed in two major stages. Stage I is a systematic, auditable meta-study of prior work on DEM-derived slope, terrain derivatives, microtopography, LiDAR uncertainty, spatial scale, Arctic tundra geomorphometry, and closely related low-relief environments. The purpose is not merely to collect citations, but to determine exactly what has already been benchmarked, which methods and scales are commonly used, where validation has been performed, how often authors report implementation details, and whether a true methodological gap remains.</w:t>
      </w:r>
    </w:p>
    <w:p>
      <w:r>
        <w:t>Only after the state-of-the-field review reaches saturation should the benchmark methodology be frozen. Stage II then evaluates terrain-gradient methods under controlled synthetic conditions, across geographically diverse public Arctic LiDAR datasets, and across contrasting data products and spatial scales. Quinhagak is reserved as an independent ecological application so that the method is not selected because it happens to fit the salmonberry case.</w:t>
      </w:r>
    </w:p>
    <w:p>
      <w:r>
        <w:t>The intended contribution is broader than a Horn-versus-central-difference comparison. The goal is to produce evidence-based guidance on when DEM-derived slope and related microtopographic measures are reliable in low-relief tundra as a function of operator, cell size, physical analysis scale, vertical uncertainty, landform geometry, and elevation-product type.</w:t>
      </w:r>
    </w:p>
    <w:p>
      <w:pPr>
        <w:pStyle w:val="Heading1"/>
      </w:pPr>
      <w:r>
        <w:t>2. Project Roadmap and Decision Gates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sz w:val="18"/>
              </w:rPr>
              <w:t>Phase</w:t>
            </w:r>
          </w:p>
        </w:tc>
        <w:tc>
          <w:tcPr>
            <w:tcW w:type="dxa" w:w="2484"/>
            <w:vAlign w:val="center"/>
          </w:tcPr>
          <w:p>
            <w:r>
              <w:rPr>
                <w:b/>
                <w:sz w:val="18"/>
              </w:rPr>
              <w:t>Primary objective</w:t>
            </w:r>
          </w:p>
        </w:tc>
        <w:tc>
          <w:tcPr>
            <w:tcW w:type="dxa" w:w="2484"/>
            <w:vAlign w:val="center"/>
          </w:tcPr>
          <w:p>
            <w:r>
              <w:rPr>
                <w:b/>
                <w:sz w:val="18"/>
              </w:rPr>
              <w:t>Principal deliverable</w:t>
            </w:r>
          </w:p>
        </w:tc>
        <w:tc>
          <w:tcPr>
            <w:tcW w:type="dxa" w:w="2484"/>
            <w:vAlign w:val="center"/>
          </w:tcPr>
          <w:p>
            <w:r>
              <w:rPr>
                <w:b/>
                <w:sz w:val="18"/>
              </w:rPr>
              <w:t>Decision gate</w:t>
            </w:r>
          </w:p>
        </w:tc>
      </w:tr>
      <w:tr>
        <w:tc>
          <w:tcPr>
            <w:tcW w:type="dxa" w:w="2484"/>
          </w:tcPr>
          <w:p>
            <w:r>
              <w:rPr>
                <w:sz w:val="17"/>
              </w:rPr>
              <w:t>I</w:t>
            </w:r>
          </w:p>
        </w:tc>
        <w:tc>
          <w:tcPr>
            <w:tcW w:type="dxa" w:w="2484"/>
          </w:tcPr>
          <w:p>
            <w:r>
              <w:rPr>
                <w:sz w:val="17"/>
              </w:rPr>
              <w:t>Exhaustive systematic literature review / meta-study</w:t>
            </w:r>
          </w:p>
        </w:tc>
        <w:tc>
          <w:tcPr>
            <w:tcW w:type="dxa" w:w="2484"/>
          </w:tcPr>
          <w:p>
            <w:r>
              <w:rPr>
                <w:sz w:val="17"/>
              </w:rPr>
              <w:t>Auditable evidence base, bibliography, access ledger, gap analysis</w:t>
            </w:r>
          </w:p>
        </w:tc>
        <w:tc>
          <w:tcPr>
            <w:tcW w:type="dxa" w:w="2484"/>
          </w:tcPr>
          <w:p>
            <w:r>
              <w:rPr>
                <w:sz w:val="17"/>
              </w:rPr>
              <w:t>Is the proposed benchmark genuinely novel and consequential?</w:t>
            </w:r>
          </w:p>
        </w:tc>
      </w:tr>
      <w:tr>
        <w:tc>
          <w:tcPr>
            <w:tcW w:type="dxa" w:w="2484"/>
          </w:tcPr>
          <w:p>
            <w:r>
              <w:rPr>
                <w:sz w:val="17"/>
              </w:rPr>
              <w:t>II</w:t>
            </w:r>
          </w:p>
        </w:tc>
        <w:tc>
          <w:tcPr>
            <w:tcW w:type="dxa" w:w="2484"/>
          </w:tcPr>
          <w:p>
            <w:r>
              <w:rPr>
                <w:sz w:val="17"/>
              </w:rPr>
              <w:t>Finalize research questions and preregister/freeze protocol</w:t>
            </w:r>
          </w:p>
        </w:tc>
        <w:tc>
          <w:tcPr>
            <w:tcW w:type="dxa" w:w="2484"/>
          </w:tcPr>
          <w:p>
            <w:r>
              <w:rPr>
                <w:sz w:val="17"/>
              </w:rPr>
              <w:t>Protocol v1.0 with fixed primary analyses</w:t>
            </w:r>
          </w:p>
        </w:tc>
        <w:tc>
          <w:tcPr>
            <w:tcW w:type="dxa" w:w="2484"/>
          </w:tcPr>
          <w:p>
            <w:r>
              <w:rPr>
                <w:sz w:val="17"/>
              </w:rPr>
              <w:t>What exact benchmark is justified by Phase I?</w:t>
            </w:r>
          </w:p>
        </w:tc>
      </w:tr>
      <w:tr>
        <w:tc>
          <w:tcPr>
            <w:tcW w:type="dxa" w:w="2484"/>
          </w:tcPr>
          <w:p>
            <w:r>
              <w:rPr>
                <w:sz w:val="17"/>
              </w:rPr>
              <w:t>III</w:t>
            </w:r>
          </w:p>
        </w:tc>
        <w:tc>
          <w:tcPr>
            <w:tcW w:type="dxa" w:w="2484"/>
          </w:tcPr>
          <w:p>
            <w:r>
              <w:rPr>
                <w:sz w:val="17"/>
              </w:rPr>
              <w:t>Build benchmark corpus and data provenance system</w:t>
            </w:r>
          </w:p>
        </w:tc>
        <w:tc>
          <w:tcPr>
            <w:tcW w:type="dxa" w:w="2484"/>
          </w:tcPr>
          <w:p>
            <w:r>
              <w:rPr>
                <w:sz w:val="17"/>
              </w:rPr>
              <w:t>Synthetic surfaces + stratified Arctic LiDAR corpus + holdout case</w:t>
            </w:r>
          </w:p>
        </w:tc>
        <w:tc>
          <w:tcPr>
            <w:tcW w:type="dxa" w:w="2484"/>
          </w:tcPr>
          <w:p>
            <w:r>
              <w:rPr>
                <w:sz w:val="17"/>
              </w:rPr>
              <w:t>Are datasets sufficiently comparable and representative?</w:t>
            </w:r>
          </w:p>
        </w:tc>
      </w:tr>
      <w:tr>
        <w:tc>
          <w:tcPr>
            <w:tcW w:type="dxa" w:w="2484"/>
          </w:tcPr>
          <w:p>
            <w:r>
              <w:rPr>
                <w:sz w:val="17"/>
              </w:rPr>
              <w:t>IV</w:t>
            </w:r>
          </w:p>
        </w:tc>
        <w:tc>
          <w:tcPr>
            <w:tcW w:type="dxa" w:w="2484"/>
          </w:tcPr>
          <w:p>
            <w:r>
              <w:rPr>
                <w:sz w:val="17"/>
              </w:rPr>
              <w:t>Develop and validate computational pipeline</w:t>
            </w:r>
          </w:p>
        </w:tc>
        <w:tc>
          <w:tcPr>
            <w:tcW w:type="dxa" w:w="2484"/>
          </w:tcPr>
          <w:p>
            <w:r>
              <w:rPr>
                <w:sz w:val="17"/>
              </w:rPr>
              <w:t>Tested reproducible code, environments, SLURM workflows</w:t>
            </w:r>
          </w:p>
        </w:tc>
        <w:tc>
          <w:tcPr>
            <w:tcW w:type="dxa" w:w="2484"/>
          </w:tcPr>
          <w:p>
            <w:r>
              <w:rPr>
                <w:sz w:val="17"/>
              </w:rPr>
              <w:t>Can every result be regenerated from raw inputs?</w:t>
            </w:r>
          </w:p>
        </w:tc>
      </w:tr>
      <w:tr>
        <w:tc>
          <w:tcPr>
            <w:tcW w:type="dxa" w:w="2484"/>
          </w:tcPr>
          <w:p>
            <w:r>
              <w:rPr>
                <w:sz w:val="17"/>
              </w:rPr>
              <w:t>V</w:t>
            </w:r>
          </w:p>
        </w:tc>
        <w:tc>
          <w:tcPr>
            <w:tcW w:type="dxa" w:w="2484"/>
          </w:tcPr>
          <w:p>
            <w:r>
              <w:rPr>
                <w:sz w:val="17"/>
              </w:rPr>
              <w:t>Synthetic benchmark</w:t>
            </w:r>
          </w:p>
        </w:tc>
        <w:tc>
          <w:tcPr>
            <w:tcW w:type="dxa" w:w="2484"/>
          </w:tcPr>
          <w:p>
            <w:r>
              <w:rPr>
                <w:sz w:val="17"/>
              </w:rPr>
              <w:t>Known-truth error surfaces and algorithm-performance maps</w:t>
            </w:r>
          </w:p>
        </w:tc>
        <w:tc>
          <w:tcPr>
            <w:tcW w:type="dxa" w:w="2484"/>
          </w:tcPr>
          <w:p>
            <w:r>
              <w:rPr>
                <w:sz w:val="17"/>
              </w:rPr>
              <w:t>Which conditions create meaningful algorithm failure?</w:t>
            </w:r>
          </w:p>
        </w:tc>
      </w:tr>
      <w:tr>
        <w:tc>
          <w:tcPr>
            <w:tcW w:type="dxa" w:w="2484"/>
          </w:tcPr>
          <w:p>
            <w:r>
              <w:rPr>
                <w:sz w:val="17"/>
              </w:rPr>
              <w:t>VI</w:t>
            </w:r>
          </w:p>
        </w:tc>
        <w:tc>
          <w:tcPr>
            <w:tcW w:type="dxa" w:w="2484"/>
          </w:tcPr>
          <w:p>
            <w:r>
              <w:rPr>
                <w:sz w:val="17"/>
              </w:rPr>
              <w:t>Real Arctic LiDAR benchmark</w:t>
            </w:r>
          </w:p>
        </w:tc>
        <w:tc>
          <w:tcPr>
            <w:tcW w:type="dxa" w:w="2484"/>
          </w:tcPr>
          <w:p>
            <w:r>
              <w:rPr>
                <w:sz w:val="17"/>
              </w:rPr>
              <w:t>Cross-landscape validation of operator/scale behavior</w:t>
            </w:r>
          </w:p>
        </w:tc>
        <w:tc>
          <w:tcPr>
            <w:tcW w:type="dxa" w:w="2484"/>
          </w:tcPr>
          <w:p>
            <w:r>
              <w:rPr>
                <w:sz w:val="17"/>
              </w:rPr>
              <w:t>Do synthetic findings generalize to real tundra?</w:t>
            </w:r>
          </w:p>
        </w:tc>
      </w:tr>
      <w:tr>
        <w:tc>
          <w:tcPr>
            <w:tcW w:type="dxa" w:w="2484"/>
          </w:tcPr>
          <w:p>
            <w:r>
              <w:rPr>
                <w:sz w:val="17"/>
              </w:rPr>
              <w:t>VII</w:t>
            </w:r>
          </w:p>
        </w:tc>
        <w:tc>
          <w:tcPr>
            <w:tcW w:type="dxa" w:w="2484"/>
          </w:tcPr>
          <w:p>
            <w:r>
              <w:rPr>
                <w:sz w:val="17"/>
              </w:rPr>
              <w:t>Cross-product / sensor-transfer analysis</w:t>
            </w:r>
          </w:p>
        </w:tc>
        <w:tc>
          <w:tcPr>
            <w:tcW w:type="dxa" w:w="2484"/>
          </w:tcPr>
          <w:p>
            <w:r>
              <w:rPr>
                <w:sz w:val="17"/>
              </w:rPr>
              <w:t>LiDAR vs ArcticDEM / IfSAR comparisons where appropriate</w:t>
            </w:r>
          </w:p>
        </w:tc>
        <w:tc>
          <w:tcPr>
            <w:tcW w:type="dxa" w:w="2484"/>
          </w:tcPr>
          <w:p>
            <w:r>
              <w:rPr>
                <w:sz w:val="17"/>
              </w:rPr>
              <w:t>Are product effects separable from operator effects?</w:t>
            </w:r>
          </w:p>
        </w:tc>
      </w:tr>
      <w:tr>
        <w:tc>
          <w:tcPr>
            <w:tcW w:type="dxa" w:w="2484"/>
          </w:tcPr>
          <w:p>
            <w:r>
              <w:rPr>
                <w:sz w:val="17"/>
              </w:rPr>
              <w:t>VIII</w:t>
            </w:r>
          </w:p>
        </w:tc>
        <w:tc>
          <w:tcPr>
            <w:tcW w:type="dxa" w:w="2484"/>
          </w:tcPr>
          <w:p>
            <w:r>
              <w:rPr>
                <w:sz w:val="17"/>
              </w:rPr>
              <w:t>Quinhagak held-out application</w:t>
            </w:r>
          </w:p>
        </w:tc>
        <w:tc>
          <w:tcPr>
            <w:tcW w:type="dxa" w:w="2484"/>
          </w:tcPr>
          <w:p>
            <w:r>
              <w:rPr>
                <w:sz w:val="17"/>
              </w:rPr>
              <w:t>Ecological/geomorphic case study</w:t>
            </w:r>
          </w:p>
        </w:tc>
        <w:tc>
          <w:tcPr>
            <w:tcW w:type="dxa" w:w="2484"/>
          </w:tcPr>
          <w:p>
            <w:r>
              <w:rPr>
                <w:sz w:val="17"/>
              </w:rPr>
              <w:t>Do methodological choices materially affect interpretation?</w:t>
            </w:r>
          </w:p>
        </w:tc>
      </w:tr>
      <w:tr>
        <w:tc>
          <w:tcPr>
            <w:tcW w:type="dxa" w:w="2484"/>
          </w:tcPr>
          <w:p>
            <w:r>
              <w:rPr>
                <w:sz w:val="17"/>
              </w:rPr>
              <w:t>IX</w:t>
            </w:r>
          </w:p>
        </w:tc>
        <w:tc>
          <w:tcPr>
            <w:tcW w:type="dxa" w:w="2484"/>
          </w:tcPr>
          <w:p>
            <w:r>
              <w:rPr>
                <w:sz w:val="17"/>
              </w:rPr>
              <w:t>Integrated statistical synthesis</w:t>
            </w:r>
          </w:p>
        </w:tc>
        <w:tc>
          <w:tcPr>
            <w:tcW w:type="dxa" w:w="2484"/>
          </w:tcPr>
          <w:p>
            <w:r>
              <w:rPr>
                <w:sz w:val="17"/>
              </w:rPr>
              <w:t>Hierarchical models, uncertainty estimates, conditional guidance</w:t>
            </w:r>
          </w:p>
        </w:tc>
        <w:tc>
          <w:tcPr>
            <w:tcW w:type="dxa" w:w="2484"/>
          </w:tcPr>
          <w:p>
            <w:r>
              <w:rPr>
                <w:sz w:val="17"/>
              </w:rPr>
              <w:t>Can recommendations be generalized without overclaiming?</w:t>
            </w:r>
          </w:p>
        </w:tc>
      </w:tr>
      <w:tr>
        <w:tc>
          <w:tcPr>
            <w:tcW w:type="dxa" w:w="2484"/>
          </w:tcPr>
          <w:p>
            <w:r>
              <w:rPr>
                <w:sz w:val="17"/>
              </w:rPr>
              <w:t>X</w:t>
            </w:r>
          </w:p>
        </w:tc>
        <w:tc>
          <w:tcPr>
            <w:tcW w:type="dxa" w:w="2484"/>
          </w:tcPr>
          <w:p>
            <w:r>
              <w:rPr>
                <w:sz w:val="17"/>
              </w:rPr>
              <w:t>Manuscript and publication strategy</w:t>
            </w:r>
          </w:p>
        </w:tc>
        <w:tc>
          <w:tcPr>
            <w:tcW w:type="dxa" w:w="2484"/>
          </w:tcPr>
          <w:p>
            <w:r>
              <w:rPr>
                <w:sz w:val="17"/>
              </w:rPr>
              <w:t>Submission-ready paper, benchmark release, reproducibility package</w:t>
            </w:r>
          </w:p>
        </w:tc>
        <w:tc>
          <w:tcPr>
            <w:tcW w:type="dxa" w:w="2484"/>
          </w:tcPr>
          <w:p>
            <w:r>
              <w:rPr>
                <w:sz w:val="17"/>
              </w:rPr>
              <w:t>Which top journal best matches the final scientific contribution?</w:t>
            </w:r>
          </w:p>
        </w:tc>
      </w:tr>
    </w:tbl>
    <w:p>
      <w:pPr>
        <w:pStyle w:val="Heading1"/>
      </w:pPr>
      <w:r>
        <w:t>3. Phase I — Exhaustive Systematic Literature Review and Meta-Study</w:t>
      </w:r>
    </w:p>
    <w:p>
      <w:r>
        <w:t>This phase must precede substantive method development. The purpose is to establish the methodological state of the field, identify direct and indirect precedents, quantify how terrain derivatives are actually used in Arctic research, and document negative-search evidence so later novelty claims are defensible.</w:t>
      </w:r>
    </w:p>
    <w:p>
      <w:pPr>
        <w:pStyle w:val="Heading2"/>
      </w:pPr>
      <w:r>
        <w:t>3.1 Review questions</w:t>
      </w:r>
    </w:p>
    <w:p>
      <w:pPr>
        <w:pStyle w:val="ListBullet"/>
      </w:pPr>
      <w:r>
        <w:t>Which raster slope and terrain-gradient algorithms have been proposed, compared, or validated?</w:t>
      </w:r>
    </w:p>
    <w:p>
      <w:pPr>
        <w:pStyle w:val="ListBullet"/>
      </w:pPr>
      <w:r>
        <w:t>Which methods have been tested specifically in flat or low-relief terrain?</w:t>
      </w:r>
    </w:p>
    <w:p>
      <w:pPr>
        <w:pStyle w:val="ListBullet"/>
      </w:pPr>
      <w:r>
        <w:t>Which studies evaluate sensitivity to DEM resolution, neighborhood size, physical analysis scale, smoothing, interpolation, vertical uncertainty, or raster orientation?</w:t>
      </w:r>
    </w:p>
    <w:p>
      <w:pPr>
        <w:pStyle w:val="ListBullet"/>
      </w:pPr>
      <w:r>
        <w:t>Which Arctic or subarctic studies derive slope, curvature, TPI, local relief, relative elevation, hydrologic derivatives, or microform classifications from LiDAR, UAS, ArcticDEM, IfSAR, or other DEM products?</w:t>
      </w:r>
    </w:p>
    <w:p>
      <w:pPr>
        <w:pStyle w:val="ListBullet"/>
      </w:pPr>
      <w:r>
        <w:t>How often do Arctic studies report the exact derivative operator, software implementation, neighborhood size, physical analysis scale, and preprocessing choices?</w:t>
      </w:r>
    </w:p>
    <w:p>
      <w:pPr>
        <w:pStyle w:val="ListBullet"/>
      </w:pPr>
      <w:r>
        <w:t>Which Arctic studies benchmark microtopographic methods against field measurements, hand-delineated features, point-cloud references, or analytical ground truth?</w:t>
      </w:r>
    </w:p>
    <w:p>
      <w:pPr>
        <w:pStyle w:val="ListBullet"/>
      </w:pPr>
      <w:r>
        <w:t>What prior studies most closely match a multi-operator, multiscale, ground-truthed benchmark for meter-scale Arctic tundra microtopography?</w:t>
      </w:r>
    </w:p>
    <w:p>
      <w:pPr>
        <w:pStyle w:val="ListBullet"/>
      </w:pPr>
      <w:r>
        <w:t>What remains unresolved after the existing benchmark, uncertainty, and Arctic-application literatures are considered together?</w:t>
      </w:r>
    </w:p>
    <w:p>
      <w:pPr>
        <w:pStyle w:val="Heading2"/>
      </w:pPr>
      <w:r>
        <w:t>3.2 Search coverage</w:t>
      </w:r>
    </w:p>
    <w:p>
      <w:r>
        <w:t>The search should span bibliographic indexes, discipline-specific indexes, publisher platforms, and citation networks. The review log should record the database or platform, date searched, exact query, filters, number of records retrieved, number screened, and number retained. Subscription databases should be searched through institutional access where available.</w:t>
      </w:r>
    </w:p>
    <w:p>
      <w:pPr>
        <w:pStyle w:val="ListBullet"/>
      </w:pPr>
      <w:r>
        <w:t>Multidisciplinary indexes: Web of Science, Scopus, Google Scholar, OpenAlex/Crossref-style discovery tools where useful.</w:t>
      </w:r>
    </w:p>
    <w:p>
      <w:pPr>
        <w:pStyle w:val="ListBullet"/>
      </w:pPr>
      <w:r>
        <w:t>Geoscience/geomorphology indexes: GeoRef and relevant geoscience journal platforms.</w:t>
      </w:r>
    </w:p>
    <w:p>
      <w:pPr>
        <w:pStyle w:val="ListBullet"/>
      </w:pPr>
      <w:r>
        <w:t>Engineering/remote-sensing indexes: IEEE Xplore and major photogrammetry/remote-sensing outlets.</w:t>
      </w:r>
    </w:p>
    <w:p>
      <w:pPr>
        <w:pStyle w:val="ListBullet"/>
      </w:pPr>
      <w:r>
        <w:t>Earth-system and cryosphere platforms: AGU/Wiley, Copernicus, Elsevier, Springer Nature, Taylor &amp; Francis, MDPI, and other relevant publishers.</w:t>
      </w:r>
    </w:p>
    <w:p>
      <w:pPr>
        <w:pStyle w:val="ListBullet"/>
      </w:pPr>
      <w:r>
        <w:t>Arctic/permafrost and ecological literature discovered through forward/backward citation chaining from anchor papers.</w:t>
      </w:r>
    </w:p>
    <w:p>
      <w:pPr>
        <w:pStyle w:val="ListBullet"/>
      </w:pPr>
      <w:r>
        <w:t>Grey literature only as contextual support for datasets or methods; the evidentiary core for the state-of-field argument remains peer reviewed.</w:t>
      </w:r>
    </w:p>
    <w:p>
      <w:pPr>
        <w:pStyle w:val="Heading2"/>
      </w:pPr>
      <w:r>
        <w:t>3.3 Search concept blocks</w:t>
      </w:r>
    </w:p>
    <w:p>
      <w:r>
        <w:t>Queries should combine multiple concept blocks rather than rely on a single phrase. Search strings will be adapted to each database syntax.</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Concept block</w:t>
            </w:r>
          </w:p>
        </w:tc>
        <w:tc>
          <w:tcPr>
            <w:tcW w:type="dxa" w:w="4968"/>
          </w:tcPr>
          <w:p>
            <w:r>
              <w:rPr>
                <w:b/>
              </w:rPr>
              <w:t>Illustrative terms</w:t>
            </w:r>
          </w:p>
        </w:tc>
      </w:tr>
      <w:tr>
        <w:tc>
          <w:tcPr>
            <w:tcW w:type="dxa" w:w="4968"/>
          </w:tcPr>
          <w:p>
            <w:r>
              <w:t>Terrain derivative</w:t>
            </w:r>
          </w:p>
        </w:tc>
        <w:tc>
          <w:tcPr>
            <w:tcW w:type="dxa" w:w="4968"/>
          </w:tcPr>
          <w:p>
            <w:r>
              <w:t>slope, gradient, aspect, curvature, terrain derivative, geomorphometry, finite difference, Horn, Evans, Zevenbergen-Thorne</w:t>
            </w:r>
          </w:p>
        </w:tc>
      </w:tr>
      <w:tr>
        <w:tc>
          <w:tcPr>
            <w:tcW w:type="dxa" w:w="4968"/>
          </w:tcPr>
          <w:p>
            <w:r>
              <w:t>Elevation data</w:t>
            </w:r>
          </w:p>
        </w:tc>
        <w:tc>
          <w:tcPr>
            <w:tcW w:type="dxa" w:w="4968"/>
          </w:tcPr>
          <w:p>
            <w:r>
              <w:t>DEM, DTM, DSM, LiDAR, laser scanning, photogrammetry, ArcticDEM, IfSAR, UAV/UAS DEM</w:t>
            </w:r>
          </w:p>
        </w:tc>
      </w:tr>
      <w:tr>
        <w:tc>
          <w:tcPr>
            <w:tcW w:type="dxa" w:w="4968"/>
          </w:tcPr>
          <w:p>
            <w:r>
              <w:t>Landscape</w:t>
            </w:r>
          </w:p>
        </w:tc>
        <w:tc>
          <w:tcPr>
            <w:tcW w:type="dxa" w:w="4968"/>
          </w:tcPr>
          <w:p>
            <w:r>
              <w:t>Arctic, tundra, permafrost, polygonal tundra, ice-wedge polygon, hummock, tussock, peatland, thermokarst, drained lake basin, wetland</w:t>
            </w:r>
          </w:p>
        </w:tc>
      </w:tr>
      <w:tr>
        <w:tc>
          <w:tcPr>
            <w:tcW w:type="dxa" w:w="4968"/>
          </w:tcPr>
          <w:p>
            <w:r>
              <w:t>Benchmark/validation</w:t>
            </w:r>
          </w:p>
        </w:tc>
        <w:tc>
          <w:tcPr>
            <w:tcW w:type="dxa" w:w="4968"/>
          </w:tcPr>
          <w:p>
            <w:r>
              <w:t>benchmark, compare, validation, accuracy, error, uncertainty, sensitivity, resolution, scale, neighborhood, window size, ground truth</w:t>
            </w:r>
          </w:p>
        </w:tc>
      </w:tr>
      <w:tr>
        <w:tc>
          <w:tcPr>
            <w:tcW w:type="dxa" w:w="4968"/>
          </w:tcPr>
          <w:p>
            <w:r>
              <w:t>Microtopography</w:t>
            </w:r>
          </w:p>
        </w:tc>
        <w:tc>
          <w:tcPr>
            <w:tcW w:type="dxa" w:w="4968"/>
          </w:tcPr>
          <w:p>
            <w:r>
              <w:t>microtopography, microrelief, low relief, fine-scale topography, mound, hummock, trough, rim, polygon, local relief</w:t>
            </w:r>
          </w:p>
        </w:tc>
      </w:tr>
    </w:tbl>
    <w:p>
      <w:pPr>
        <w:pStyle w:val="Heading2"/>
      </w:pPr>
      <w:r>
        <w:t>3.4 Screening and inclusion criteria</w:t>
      </w:r>
    </w:p>
    <w:p>
      <w:pPr>
        <w:pStyle w:val="ListBullet"/>
      </w:pPr>
      <w:r>
        <w:t>Peer-reviewed journal articles and, where methodologically important, peer-reviewed conference proceedings.</w:t>
      </w:r>
    </w:p>
    <w:p>
      <w:pPr>
        <w:pStyle w:val="ListBullet"/>
      </w:pPr>
      <w:r>
        <w:t>Directly relevant method papers that define or benchmark raster terrain-derivative operators.</w:t>
      </w:r>
    </w:p>
    <w:p>
      <w:pPr>
        <w:pStyle w:val="ListBullet"/>
      </w:pPr>
      <w:r>
        <w:t>Studies of DEM error, scale, resolution, interpolation, preprocessing, or uncertainty that materially affect local terrain derivatives.</w:t>
      </w:r>
    </w:p>
    <w:p>
      <w:pPr>
        <w:pStyle w:val="ListBullet"/>
      </w:pPr>
      <w:r>
        <w:t>Arctic/subarctic studies that use high-resolution elevation data to characterize microtopography or related ecological/cryospheric processes.</w:t>
      </w:r>
    </w:p>
    <w:p>
      <w:pPr>
        <w:pStyle w:val="ListBullet"/>
      </w:pPr>
      <w:r>
        <w:t>Low-relief non-Arctic analogues when they address the same measurement problem and materially inform method selection.</w:t>
      </w:r>
    </w:p>
    <w:p>
      <w:pPr>
        <w:pStyle w:val="ListBullet"/>
      </w:pPr>
      <w:r>
        <w:t>Studies must contain enough methodological detail to code at least the elevation source, spatial resolution, terrain metric, and analytical purpose; otherwise they are retained only as contextual citations.</w:t>
      </w:r>
    </w:p>
    <w:p>
      <w:pPr>
        <w:pStyle w:val="Heading2"/>
      </w:pPr>
      <w:r>
        <w:t>3.5 Evidence coding</w:t>
      </w:r>
    </w:p>
    <w:p>
      <w:r>
        <w:t>Every included paper should be coded in a structured evidence matrix. The matrix is not ancillary; it is the empirical dataset for the meta-study.</w:t>
      </w:r>
    </w:p>
    <w:p>
      <w:pPr>
        <w:pStyle w:val="ListBullet"/>
      </w:pPr>
      <w:r>
        <w:t>Full citation, DOI, journal, year, study region, environment/landform.</w:t>
      </w:r>
    </w:p>
    <w:p>
      <w:pPr>
        <w:pStyle w:val="ListBullet"/>
      </w:pPr>
      <w:r>
        <w:t>Elevation sensor/product, DEM type (DTM/DSM), point density where relevant, raster resolution, reported vertical accuracy.</w:t>
      </w:r>
    </w:p>
    <w:p>
      <w:pPr>
        <w:pStyle w:val="ListBullet"/>
      </w:pPr>
      <w:r>
        <w:t>Slope/terrain-derivative algorithm, software implementation, neighborhood/window, physical analysis distance, smoothing or filtering.</w:t>
      </w:r>
    </w:p>
    <w:p>
      <w:pPr>
        <w:pStyle w:val="ListBullet"/>
      </w:pPr>
      <w:r>
        <w:t>Validation/reference data, sample size, reported error metrics, and whether ground truth is analytical, field based, point-cloud based, or inferred.</w:t>
      </w:r>
    </w:p>
    <w:p>
      <w:pPr>
        <w:pStyle w:val="ListBullet"/>
      </w:pPr>
      <w:r>
        <w:t>Whether the study compares multiple operators, multiple resolutions, multiple scales, multiple DEM products, or preprocessing alternatives.</w:t>
      </w:r>
    </w:p>
    <w:p>
      <w:pPr>
        <w:pStyle w:val="ListBullet"/>
      </w:pPr>
      <w:r>
        <w:t>Environmental outcome modeled using terrain derivatives (hydrology, active layer, vegetation, snow, thermokarst, carbon, habitat, etc.).</w:t>
      </w:r>
    </w:p>
    <w:p>
      <w:pPr>
        <w:pStyle w:val="ListBullet"/>
      </w:pPr>
      <w:r>
        <w:t>Code/data availability and reproducibility information.</w:t>
      </w:r>
    </w:p>
    <w:p>
      <w:pPr>
        <w:pStyle w:val="ListBullet"/>
      </w:pPr>
      <w:r>
        <w:t>Full-text access status: full text obtained, partial/preview only, abstract/index only, or institutional retrieval required.</w:t>
      </w:r>
    </w:p>
    <w:p>
      <w:pPr>
        <w:pStyle w:val="ListBullet"/>
      </w:pPr>
      <w:r>
        <w:t>Reviewer notes on direct relevance to the proposed benchmark and any limitations in comparability.</w:t>
      </w:r>
    </w:p>
    <w:p>
      <w:pPr>
        <w:pStyle w:val="Heading2"/>
      </w:pPr>
      <w:r>
        <w:t>3.6 Full-text access ledger</w:t>
      </w:r>
    </w:p>
    <w:p>
      <w:r>
        <w:t>Access status must remain explicit throughout the review. No paper should be treated as methodologically verified if only an abstract or secondary citation has been seen. Where the full text is unavailable, the evidence matrix should distinguish claims supported by the abstract from claims that still require verification.</w:t>
      </w:r>
    </w:p>
    <w:p>
      <w:pPr>
        <w:pStyle w:val="Heading2"/>
      </w:pPr>
      <w:r>
        <w:t>3.7 Citation chaining and saturation</w:t>
      </w:r>
    </w:p>
    <w:p>
      <w:r>
        <w:t>Backward and forward citation chaining should be performed for the closest methodological precedents and the most influential Arctic microtopography studies. The search can be considered saturated only when new search iterations and citation chains repeatedly return already-screened studies or clearly peripheral material, and when no new directly comparable benchmark design is emerging.</w:t>
      </w:r>
    </w:p>
    <w:p>
      <w:pPr>
        <w:pStyle w:val="Heading2"/>
      </w:pPr>
      <w:r>
        <w:t>3.8 Quantitative meta-analysis versus systematic evidence synthesis</w:t>
      </w:r>
    </w:p>
    <w:p>
      <w:r>
        <w:t>A conventional pooled-effect meta-analysis should not be forced if studies report incomparable outcomes, algorithms, resolutions, and validation targets. The default product is a systematic meta-study and structured evidence synthesis. A quantitative meta-analysis will be added only for subsets of studies with sufficiently commensurable outcomes—for example, repeated comparisons of the same slope operators using comparable error metrics.</w:t>
      </w:r>
    </w:p>
    <w:p>
      <w:pPr>
        <w:pStyle w:val="Heading2"/>
      </w:pPr>
      <w:r>
        <w:t>3.9 Phase I outputs</w:t>
      </w:r>
    </w:p>
    <w:p>
      <w:pPr>
        <w:pStyle w:val="ListBullet"/>
      </w:pPr>
      <w:r>
        <w:t>PRISMA-style search and screening flow.</w:t>
      </w:r>
    </w:p>
    <w:p>
      <w:pPr>
        <w:pStyle w:val="ListBullet"/>
      </w:pPr>
      <w:r>
        <w:t>Complete search log with exact database queries and dates.</w:t>
      </w:r>
    </w:p>
    <w:p>
      <w:pPr>
        <w:pStyle w:val="ListBullet"/>
      </w:pPr>
      <w:r>
        <w:t>Updated evidence matrix and full-text-access ledger.</w:t>
      </w:r>
    </w:p>
    <w:p>
      <w:pPr>
        <w:pStyle w:val="ListBullet"/>
      </w:pPr>
      <w:r>
        <w:t>Annotated bibliography grouped by methodological role.</w:t>
      </w:r>
    </w:p>
    <w:p>
      <w:pPr>
        <w:pStyle w:val="ListBullet"/>
      </w:pPr>
      <w:r>
        <w:t>Narrative state-of-the-field review suitable for the article introduction and background.</w:t>
      </w:r>
    </w:p>
    <w:p>
      <w:pPr>
        <w:pStyle w:val="ListBullet"/>
      </w:pPr>
      <w:r>
        <w:t>Closest-prior-art table identifying what each precedent did and did not test.</w:t>
      </w:r>
    </w:p>
    <w:p>
      <w:pPr>
        <w:pStyle w:val="ListBullet"/>
      </w:pPr>
      <w:r>
        <w:t>Conservative novelty statement supported by the search record.</w:t>
      </w:r>
    </w:p>
    <w:p>
      <w:pPr>
        <w:pStyle w:val="ListBullet"/>
      </w:pPr>
      <w:r>
        <w:t>Journal-fit assessment based on where the closest methodological and Arctic-process papers are published.</w:t>
      </w:r>
    </w:p>
    <w:p>
      <w:pPr>
        <w:pStyle w:val="Heading2"/>
      </w:pPr>
      <w:r>
        <w:t>3.10 Decision Gate A — Is the proposed study still warranted?</w:t>
      </w:r>
    </w:p>
    <w:p>
      <w:r>
        <w:t>No benchmark protocol is frozen until Phase I is complete. If the review reveals an existing study that already performs a multi-operator, multiscale, ground-truthed Arctic tundra benchmark, the project must change rather than duplicate it. Possible pivots include sensor/product transferability, physical support scale, uncertainty propagation, western Alaska representation, or ecological consequences of method choice.</w:t>
      </w:r>
    </w:p>
    <w:p>
      <w:pPr>
        <w:pStyle w:val="Heading1"/>
      </w:pPr>
      <w:r>
        <w:t>4. Phase II — Research Question Refinement and Protocol Freeze</w:t>
      </w:r>
    </w:p>
    <w:p>
      <w:r>
        <w:t>The final benchmark questions must be derived from the evidence gaps identified in Phase I. The current questions are provisional and should not be treated as preregistered hypotheses.</w:t>
      </w:r>
    </w:p>
    <w:p>
      <w:pPr>
        <w:pStyle w:val="ListBullet"/>
      </w:pPr>
      <w:r>
        <w:t>How strongly do slope estimates in low-relief tundra depend on derivative operator?</w:t>
      </w:r>
    </w:p>
    <w:p>
      <w:pPr>
        <w:pStyle w:val="ListBullet"/>
      </w:pPr>
      <w:r>
        <w:t>How do cell size, physical analysis scale, microform width/relief, vertical uncertainty, and raster orientation interact with operator choice?</w:t>
      </w:r>
    </w:p>
    <w:p>
      <w:pPr>
        <w:pStyle w:val="ListBullet"/>
      </w:pPr>
      <w:r>
        <w:t>Which methods best preserve the magnitude and spatial position of meter-scale tundra gradients?</w:t>
      </w:r>
    </w:p>
    <w:p>
      <w:pPr>
        <w:pStyle w:val="ListBullet"/>
      </w:pPr>
      <w:r>
        <w:t>Do algorithm rankings or tradeoffs transfer across Arctic landform classes and geographic regions?</w:t>
      </w:r>
    </w:p>
    <w:p>
      <w:pPr>
        <w:pStyle w:val="ListBullet"/>
      </w:pPr>
      <w:r>
        <w:t>How much additional error is introduced when the same terrain is represented by coarser or non-LiDAR products such as ArcticDEM or Alaska IfSAR?</w:t>
      </w:r>
    </w:p>
    <w:p>
      <w:pPr>
        <w:pStyle w:val="ListBullet"/>
      </w:pPr>
      <w:r>
        <w:t>Do these methodological differences materially alter ecological interpretation in an independent western Alaska case study?</w:t>
      </w:r>
    </w:p>
    <w:p>
      <w:r>
        <w:t>At the end of Phase II, the project should have a frozen Protocol v1.0 specifying primary and secondary outcomes, algorithms, scales, datasets, exclusion criteria, statistical models, and sensitivity analyses. Changes after results are viewed should be versioned and explicitly labeled exploratory.</w:t>
      </w:r>
    </w:p>
    <w:p>
      <w:pPr>
        <w:pStyle w:val="Heading1"/>
      </w:pPr>
      <w:r>
        <w:t>5. Phase III — Benchmark Corpus and Data Architecture</w:t>
      </w:r>
    </w:p>
    <w:p>
      <w:pPr>
        <w:pStyle w:val="Heading2"/>
      </w:pPr>
      <w:r>
        <w:t>5.1 Synthetic ground-truth corpus</w:t>
      </w:r>
    </w:p>
    <w:p>
      <w:r>
        <w:t>Analytical surfaces provide the only setting in which the true gradient is known exactly. Synthetic forms should be chosen to approximate tundra-relevant geometry while remaining mathematically differentiable and fully parameterized.</w:t>
      </w:r>
    </w:p>
    <w:p>
      <w:pPr>
        <w:pStyle w:val="ListBullet"/>
      </w:pPr>
      <w:r>
        <w:t>Planar surfaces spanning very low slopes.</w:t>
      </w:r>
    </w:p>
    <w:p>
      <w:pPr>
        <w:pStyle w:val="ListBullet"/>
      </w:pPr>
      <w:r>
        <w:t>Gaussian/elliptical mounds and hummocks.</w:t>
      </w:r>
    </w:p>
    <w:p>
      <w:pPr>
        <w:pStyle w:val="ListBullet"/>
      </w:pPr>
      <w:r>
        <w:t>Annular or rim-like forms representing polygon shoulders/rims.</w:t>
      </w:r>
    </w:p>
    <w:p>
      <w:pPr>
        <w:pStyle w:val="ListBullet"/>
      </w:pPr>
      <w:r>
        <w:t>Negative Gaussians and troughs.</w:t>
      </w:r>
    </w:p>
    <w:p>
      <w:pPr>
        <w:pStyle w:val="ListBullet"/>
      </w:pPr>
      <w:r>
        <w:t>Composite hummocky surfaces and asymmetric forms.</w:t>
      </w:r>
    </w:p>
    <w:p>
      <w:pPr>
        <w:pStyle w:val="ListBullet"/>
      </w:pPr>
      <w:r>
        <w:t>Controlled variation in relief, width, anisotropy, orientation, background slope, cell size, and vertical noise.</w:t>
      </w:r>
    </w:p>
    <w:p>
      <w:pPr>
        <w:pStyle w:val="Heading2"/>
      </w:pPr>
      <w:r>
        <w:t>5.2 Real Arctic/subarctic LiDAR corpus</w:t>
      </w:r>
    </w:p>
    <w:p>
      <w:r>
        <w:t>The real-world benchmark should be stratified across independent acquisitions, geographic regions, and landform classes. The exact sample size should be set after the literature review and dataset inventory, but the design should prevent any one acquisition or region from dominating the inference.</w:t>
      </w:r>
    </w:p>
    <w:p>
      <w:pPr>
        <w:pStyle w:val="ListBullet"/>
      </w:pPr>
      <w:r>
        <w:t>North Slope polygonal tundra and drained-lake-basin terrain.</w:t>
      </w:r>
    </w:p>
    <w:p>
      <w:pPr>
        <w:pStyle w:val="ListBullet"/>
      </w:pPr>
      <w:r>
        <w:t>Wet sedge / planar tundra and coastal lowlands.</w:t>
      </w:r>
    </w:p>
    <w:p>
      <w:pPr>
        <w:pStyle w:val="ListBullet"/>
      </w:pPr>
      <w:r>
        <w:t>Hummock/tussock or mound-dominated microtopography.</w:t>
      </w:r>
    </w:p>
    <w:p>
      <w:pPr>
        <w:pStyle w:val="ListBullet"/>
      </w:pPr>
      <w:r>
        <w:t>Western Alaska low-relief tundra outside Quinhagak where public data permit.</w:t>
      </w:r>
    </w:p>
    <w:p>
      <w:pPr>
        <w:pStyle w:val="ListBullet"/>
      </w:pPr>
      <w:r>
        <w:t>Flat control surfaces used to quantify false slope/noise response.</w:t>
      </w:r>
    </w:p>
    <w:p>
      <w:pPr>
        <w:pStyle w:val="Heading2"/>
      </w:pPr>
      <w:r>
        <w:t>5.3 Secondary elevation products</w:t>
      </w:r>
    </w:p>
    <w:p>
      <w:r>
        <w:t>Where spatially coincident data exist, airborne LiDAR should serve as the high-resolution reference against which ArcticDEM and Alaska IfSAR are evaluated. This is a separate product-transfer question and should not be conflated with operator comparison.</w:t>
      </w:r>
    </w:p>
    <w:p>
      <w:pPr>
        <w:pStyle w:val="Heading2"/>
      </w:pPr>
      <w:r>
        <w:t>5.4 Quinhagak holdout</w:t>
      </w:r>
    </w:p>
    <w:p>
      <w:r>
        <w:t>Quinhagak remains excluded from method selection. Its 0.5 m NOAA LiDAR and mound/salmonberry context are reserved for the final application stage. This protects the benchmark from being optimized to one ecological outcome.</w:t>
      </w:r>
    </w:p>
    <w:p>
      <w:pPr>
        <w:pStyle w:val="Heading1"/>
      </w:pPr>
      <w:r>
        <w:t>6. Phase IV — Computational and Reproducibility Infrastructure</w:t>
      </w:r>
    </w:p>
    <w:p>
      <w:r>
        <w:t>SciNet and Globus make it feasible to run a parameter space that would be impractical on a workstation. The advantage should be used to improve experimental coverage, not simply to process a larger area without a clear design.</w:t>
      </w:r>
    </w:p>
    <w:p>
      <w:pPr>
        <w:pStyle w:val="ListBullet"/>
      </w:pPr>
      <w:r>
        <w:t>Version-controlled repository with separate modules for ingestion, DEM construction, derivatives, validation, statistics, and figures.</w:t>
      </w:r>
    </w:p>
    <w:p>
      <w:pPr>
        <w:pStyle w:val="ListBullet"/>
      </w:pPr>
      <w:r>
        <w:t>Pinned software environment (container or reproducible environment specification) and recorded package versions.</w:t>
      </w:r>
    </w:p>
    <w:p>
      <w:pPr>
        <w:pStyle w:val="ListBullet"/>
      </w:pPr>
      <w:r>
        <w:t>Globus-based staging of public source data; avoid unnecessary permanent duplication of externally archived datasets.</w:t>
      </w:r>
    </w:p>
    <w:p>
      <w:pPr>
        <w:pStyle w:val="ListBullet"/>
      </w:pPr>
      <w:r>
        <w:t>SLURM job arrays for tile × resolution × algorithm × scale × preprocessing combinations.</w:t>
      </w:r>
    </w:p>
    <w:p>
      <w:pPr>
        <w:pStyle w:val="ListBullet"/>
      </w:pPr>
      <w:r>
        <w:t>Machine-readable provenance for every output: source acquisition, processing parameters, algorithm/version, CRS, cell size, and checksum.</w:t>
      </w:r>
    </w:p>
    <w:p>
      <w:pPr>
        <w:pStyle w:val="ListBullet"/>
      </w:pPr>
      <w:r>
        <w:t>Development/debug tiles excluded from confirmatory inference.</w:t>
      </w:r>
    </w:p>
    <w:p>
      <w:pPr>
        <w:pStyle w:val="ListBullet"/>
      </w:pPr>
      <w:r>
        <w:t>Unit tests on simple analytical surfaces to ensure formulas and coordinate conventions are implemented correctly.</w:t>
      </w:r>
    </w:p>
    <w:p>
      <w:pPr>
        <w:pStyle w:val="Heading1"/>
      </w:pPr>
      <w:r>
        <w:t>7. Phase V — Experiment A: Synthetic Known-Truth Benchmark</w:t>
      </w:r>
    </w:p>
    <w:p>
      <w:r>
        <w:t>This experiment establishes mathematical behavior before real-world complexity is introduced. The final factor levels will be fixed after Phase I, but the design should vary terrain form, relief, feature width, cell size, grid orientation, vertical noise, and physical analysis scale.</w:t>
      </w:r>
    </w:p>
    <w:p>
      <w:r>
        <w:t>Candidate primary methods presently include second-order central difference, Horn, third-order finite difference, Evans/local quadratic regression, and Zevenbergen-Thorne, with one or more historical/simple baselines if the literature justifies them.</w:t>
      </w:r>
    </w:p>
    <w:p>
      <w:r>
        <w:t>Primary performance should be evaluated on gradient magnitude before conversion to slope degrees. Key outcomes should include RMSE, bias, MAE, peak-gradient attenuation, false slope on truly flat surfaces, spatial displacement of the maximum-gradient zone, edge broadening, and orientation bias.</w:t>
      </w:r>
    </w:p>
    <w:p>
      <w:pPr>
        <w:pStyle w:val="Heading1"/>
      </w:pPr>
      <w:r>
        <w:t>8. Phase VI — Experiment B: Real Arctic LiDAR Benchmark</w:t>
      </w:r>
    </w:p>
    <w:p>
      <w:r>
        <w:t>The real LiDAR experiment tests whether patterns observed on analytical surfaces persist across heterogeneous tundra morphology and real measurement error.</w:t>
      </w:r>
    </w:p>
    <w:p>
      <w:pPr>
        <w:pStyle w:val="ListBullet"/>
      </w:pPr>
      <w:r>
        <w:t>Apply the frozen operator/scale matrix to each benchmark tile.</w:t>
      </w:r>
    </w:p>
    <w:p>
      <w:pPr>
        <w:pStyle w:val="ListBullet"/>
      </w:pPr>
      <w:r>
        <w:t>Treat tile/acquisition—not individual pixels—as the principal independent sampling unit.</w:t>
      </w:r>
    </w:p>
    <w:p>
      <w:pPr>
        <w:pStyle w:val="ListBullet"/>
      </w:pPr>
      <w:r>
        <w:t>Use point-cloud-based local plane/quadratic references where appropriate, while clearly labeling them as reference estimates rather than absolute truth.</w:t>
      </w:r>
    </w:p>
    <w:p>
      <w:pPr>
        <w:pStyle w:val="ListBullet"/>
      </w:pPr>
      <w:r>
        <w:t>Where feasible, map known rims, troughs, mound flanks, or other microforms to measure feature-location and broadening errors.</w:t>
      </w:r>
    </w:p>
    <w:p>
      <w:pPr>
        <w:pStyle w:val="ListBullet"/>
      </w:pPr>
      <w:r>
        <w:t>Quantify algorithm stability across landform classes, acquisitions, and regions.</w:t>
      </w:r>
    </w:p>
    <w:p>
      <w:pPr>
        <w:pStyle w:val="ListBullet"/>
      </w:pPr>
      <w:r>
        <w:t>Test whether physical analysis distance explains behavior more consistently than nominal pixel-window size.</w:t>
      </w:r>
    </w:p>
    <w:p>
      <w:pPr>
        <w:pStyle w:val="Heading1"/>
      </w:pPr>
      <w:r>
        <w:t>9. Phase VII — Cross-Product and Scale Transferability</w:t>
      </w:r>
    </w:p>
    <w:p>
      <w:r>
        <w:t>Where data overlap, compare the high-resolution LiDAR representation with ArcticDEM and Alaska IfSAR. The scientific question is not merely whether coarser products have larger error; it is whether particular microforms or gradients cease to be reliably represented, and whether operator choice interacts with product resolution and measurement characteristics.</w:t>
      </w:r>
    </w:p>
    <w:p>
      <w:pPr>
        <w:pStyle w:val="ListBullet"/>
      </w:pPr>
      <w:r>
        <w:t>Separate sensor/product error from derivative-operator error.</w:t>
      </w:r>
    </w:p>
    <w:p>
      <w:pPr>
        <w:pStyle w:val="ListBullet"/>
      </w:pPr>
      <w:r>
        <w:t>Compare direct gridding at coarser resolution with aggregation/resampling from a finer LiDAR DTM where source points permit.</w:t>
      </w:r>
    </w:p>
    <w:p>
      <w:pPr>
        <w:pStyle w:val="ListBullet"/>
      </w:pPr>
      <w:r>
        <w:t>Estimate the feature-width-to-cell-size and relief-to-vertical-uncertainty regimes in which microtopography becomes unreliable.</w:t>
      </w:r>
    </w:p>
    <w:p>
      <w:pPr>
        <w:pStyle w:val="ListBullet"/>
      </w:pPr>
      <w:r>
        <w:t>Evaluate whether conclusions derived from LiDAR can be transferred to widely used ArcticDEM workflows.</w:t>
      </w:r>
    </w:p>
    <w:p>
      <w:pPr>
        <w:pStyle w:val="Heading1"/>
      </w:pPr>
      <w:r>
        <w:t>10. Phase VIII — Quinhagak Held-Out Case Study</w:t>
      </w:r>
    </w:p>
    <w:p>
      <w:r>
        <w:t>The Quinhagak analysis demonstrates why the benchmark matters. The benchmark-selected or benchmark-characterized methods are applied without re-optimizing them to the salmonberry data.</w:t>
      </w:r>
    </w:p>
    <w:p>
      <w:pPr>
        <w:pStyle w:val="ListBullet"/>
      </w:pPr>
      <w:r>
        <w:t>Generate the relevant terrain representations from the 0.5 m NOAA LiDAR.</w:t>
      </w:r>
    </w:p>
    <w:p>
      <w:pPr>
        <w:pStyle w:val="ListBullet"/>
      </w:pPr>
      <w:r>
        <w:t>Assess how operator/scale choices change delineation of small mound flanks, summits, and surrounding flat tundra.</w:t>
      </w:r>
    </w:p>
    <w:p>
      <w:pPr>
        <w:pStyle w:val="ListBullet"/>
      </w:pPr>
      <w:r>
        <w:t>Evaluate associations with mapped or field-observed salmonberry occurrence/density using an identical ecological model structure across terrain-method treatments.</w:t>
      </w:r>
    </w:p>
    <w:p>
      <w:pPr>
        <w:pStyle w:val="ListBullet"/>
      </w:pPr>
      <w:r>
        <w:t>Use spatially blocked validation rather than random pixel splits to reduce inflation from spatial autocorrelation.</w:t>
      </w:r>
    </w:p>
    <w:p>
      <w:pPr>
        <w:pStyle w:val="ListBullet"/>
      </w:pPr>
      <w:r>
        <w:t>Interpret this section as an application of the benchmark, not as the evidence used to select the 'best' terrain operator.</w:t>
      </w:r>
    </w:p>
    <w:p>
      <w:pPr>
        <w:pStyle w:val="Heading1"/>
      </w:pPr>
      <w:r>
        <w:t>11. Phase IX — Statistical Analysis and Evidence Synthesis</w:t>
      </w:r>
    </w:p>
    <w:p>
      <w:r>
        <w:t>The final statistical framework should emphasize interactions and uncertainty rather than an overall winner. A hierarchical analysis is likely appropriate for real data, with tiles nested within acquisitions/regions and algorithmic treatments paired within the same terrain.</w:t>
      </w:r>
    </w:p>
    <w:p>
      <w:pPr>
        <w:pStyle w:val="ListBullet"/>
      </w:pPr>
      <w:r>
        <w:t>Report effect sizes and uncertainty intervals in addition to significance tests.</w:t>
      </w:r>
    </w:p>
    <w:p>
      <w:pPr>
        <w:pStyle w:val="ListBullet"/>
      </w:pPr>
      <w:r>
        <w:t>Model interactions among algorithm, cell size, physical scale, terrain type, and error regime.</w:t>
      </w:r>
    </w:p>
    <w:p>
      <w:pPr>
        <w:pStyle w:val="ListBullet"/>
      </w:pPr>
      <w:r>
        <w:t>Avoid pixel-level pseudo-replication by summarizing or modeling appropriate spatial units.</w:t>
      </w:r>
    </w:p>
    <w:p>
      <w:pPr>
        <w:pStyle w:val="ListBullet"/>
      </w:pPr>
      <w:r>
        <w:t>Use prespecified primary outcomes and clearly label exploratory analyses.</w:t>
      </w:r>
    </w:p>
    <w:p>
      <w:pPr>
        <w:pStyle w:val="ListBullet"/>
      </w:pPr>
      <w:r>
        <w:t>Produce conditional performance maps or decision surfaces rather than a single arbitrary weighted ranking.</w:t>
      </w:r>
    </w:p>
    <w:p>
      <w:pPr>
        <w:pStyle w:val="Heading1"/>
      </w:pPr>
      <w:r>
        <w:t>12. Phase X — Reproducibility and Benchmark Release</w:t>
      </w:r>
    </w:p>
    <w:p>
      <w:r>
        <w:t>A major contribution should be the reproducible benchmark infrastructure itself. Public source data need not be duplicated when they can be referenced by stable identifiers.</w:t>
      </w:r>
    </w:p>
    <w:p>
      <w:pPr>
        <w:pStyle w:val="ListBullet"/>
      </w:pPr>
      <w:r>
        <w:t>Release code and configuration files sufficient to regenerate every derived product.</w:t>
      </w:r>
    </w:p>
    <w:p>
      <w:pPr>
        <w:pStyle w:val="ListBullet"/>
      </w:pPr>
      <w:r>
        <w:t>Publish dataset manifests, source identifiers/URLs, checksums, CRS information, and processing metadata.</w:t>
      </w:r>
    </w:p>
    <w:p>
      <w:pPr>
        <w:pStyle w:val="ListBullet"/>
      </w:pPr>
      <w:r>
        <w:t>Publish synthetic surfaces and their analytical truth fields.</w:t>
      </w:r>
    </w:p>
    <w:p>
      <w:pPr>
        <w:pStyle w:val="ListBullet"/>
      </w:pPr>
      <w:r>
        <w:t>Release summary benchmark outputs where licensing permits.</w:t>
      </w:r>
    </w:p>
    <w:p>
      <w:pPr>
        <w:pStyle w:val="ListBullet"/>
      </w:pPr>
      <w:r>
        <w:t>Archive a frozen code/data release with a DOI.</w:t>
      </w:r>
    </w:p>
    <w:p>
      <w:pPr>
        <w:pStyle w:val="ListBullet"/>
      </w:pPr>
      <w:r>
        <w:t>Provide a machine-readable table linking each manuscript result to the exact processing configuration that produced it.</w:t>
      </w:r>
    </w:p>
    <w:p>
      <w:pPr>
        <w:pStyle w:val="Heading1"/>
      </w:pPr>
      <w:r>
        <w:t>13. Phase XI — Manuscript Structure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Section</w:t>
            </w:r>
          </w:p>
        </w:tc>
        <w:tc>
          <w:tcPr>
            <w:tcW w:type="dxa" w:w="4968"/>
          </w:tcPr>
          <w:p>
            <w:r>
              <w:rPr>
                <w:b/>
              </w:rPr>
              <w:t>Purpose</w:t>
            </w:r>
          </w:p>
        </w:tc>
      </w:tr>
      <w:tr>
        <w:tc>
          <w:tcPr>
            <w:tcW w:type="dxa" w:w="4968"/>
          </w:tcPr>
          <w:p>
            <w:r>
              <w:t>Introduction</w:t>
            </w:r>
          </w:p>
        </w:tc>
        <w:tc>
          <w:tcPr>
            <w:tcW w:type="dxa" w:w="4968"/>
          </w:tcPr>
          <w:p>
            <w:r>
              <w:t>Why high-resolution Arctic terrain derivatives matter; why low relief is numerically difficult; what prior benchmarks and Arctic applications have established; exact gap.</w:t>
            </w:r>
          </w:p>
        </w:tc>
      </w:tr>
      <w:tr>
        <w:tc>
          <w:tcPr>
            <w:tcW w:type="dxa" w:w="4968"/>
          </w:tcPr>
          <w:p>
            <w:r>
              <w:t>Systematic state-of-field review</w:t>
            </w:r>
          </w:p>
        </w:tc>
        <w:tc>
          <w:tcPr>
            <w:tcW w:type="dxa" w:w="4968"/>
          </w:tcPr>
          <w:p>
            <w:r>
              <w:t>Search approach, evidence map, prevalence of methods/scales/reporting, closest precedents, and implications for benchmark design.</w:t>
            </w:r>
          </w:p>
        </w:tc>
      </w:tr>
      <w:tr>
        <w:tc>
          <w:tcPr>
            <w:tcW w:type="dxa" w:w="4968"/>
          </w:tcPr>
          <w:p>
            <w:r>
              <w:t>Methods</w:t>
            </w:r>
          </w:p>
        </w:tc>
        <w:tc>
          <w:tcPr>
            <w:tcW w:type="dxa" w:w="4968"/>
          </w:tcPr>
          <w:p>
            <w:r>
              <w:t>Benchmark corpus, algorithms, scale definitions, synthetic truth, real LiDAR validation, product comparisons, statistics, reproducibility.</w:t>
            </w:r>
          </w:p>
        </w:tc>
      </w:tr>
      <w:tr>
        <w:tc>
          <w:tcPr>
            <w:tcW w:type="dxa" w:w="4968"/>
          </w:tcPr>
          <w:p>
            <w:r>
              <w:t>Results I</w:t>
            </w:r>
          </w:p>
        </w:tc>
        <w:tc>
          <w:tcPr>
            <w:tcW w:type="dxa" w:w="4968"/>
          </w:tcPr>
          <w:p>
            <w:r>
              <w:t>Synthetic performance and error regimes.</w:t>
            </w:r>
          </w:p>
        </w:tc>
      </w:tr>
      <w:tr>
        <w:tc>
          <w:tcPr>
            <w:tcW w:type="dxa" w:w="4968"/>
          </w:tcPr>
          <w:p>
            <w:r>
              <w:t>Results II</w:t>
            </w:r>
          </w:p>
        </w:tc>
        <w:tc>
          <w:tcPr>
            <w:tcW w:type="dxa" w:w="4968"/>
          </w:tcPr>
          <w:p>
            <w:r>
              <w:t>Cross-landscape Arctic LiDAR performance.</w:t>
            </w:r>
          </w:p>
        </w:tc>
      </w:tr>
      <w:tr>
        <w:tc>
          <w:tcPr>
            <w:tcW w:type="dxa" w:w="4968"/>
          </w:tcPr>
          <w:p>
            <w:r>
              <w:t>Results III</w:t>
            </w:r>
          </w:p>
        </w:tc>
        <w:tc>
          <w:tcPr>
            <w:tcW w:type="dxa" w:w="4968"/>
          </w:tcPr>
          <w:p>
            <w:r>
              <w:t>Cross-product transferability, if strong enough for the main paper.</w:t>
            </w:r>
          </w:p>
        </w:tc>
      </w:tr>
      <w:tr>
        <w:tc>
          <w:tcPr>
            <w:tcW w:type="dxa" w:w="4968"/>
          </w:tcPr>
          <w:p>
            <w:r>
              <w:t>Results IV</w:t>
            </w:r>
          </w:p>
        </w:tc>
        <w:tc>
          <w:tcPr>
            <w:tcW w:type="dxa" w:w="4968"/>
          </w:tcPr>
          <w:p>
            <w:r>
              <w:t>Quinhagak held-out application.</w:t>
            </w:r>
          </w:p>
        </w:tc>
      </w:tr>
      <w:tr>
        <w:tc>
          <w:tcPr>
            <w:tcW w:type="dxa" w:w="4968"/>
          </w:tcPr>
          <w:p>
            <w:r>
              <w:t>Discussion</w:t>
            </w:r>
          </w:p>
        </w:tc>
        <w:tc>
          <w:tcPr>
            <w:tcW w:type="dxa" w:w="4968"/>
          </w:tcPr>
          <w:p>
            <w:r>
              <w:t>Conditional guidance, implications for Arctic remote sensing/GIS, limitations, reporting recommendations, transferability beyond tundra.</w:t>
            </w:r>
          </w:p>
        </w:tc>
      </w:tr>
      <w:tr>
        <w:tc>
          <w:tcPr>
            <w:tcW w:type="dxa" w:w="4968"/>
          </w:tcPr>
          <w:p>
            <w:r>
              <w:t>Conclusion</w:t>
            </w:r>
          </w:p>
        </w:tc>
        <w:tc>
          <w:tcPr>
            <w:tcW w:type="dxa" w:w="4968"/>
          </w:tcPr>
          <w:p>
            <w:r>
              <w:t>What researchers should report and how method choice should be matched to feature scale and data quality.</w:t>
            </w:r>
          </w:p>
        </w:tc>
      </w:tr>
    </w:tbl>
    <w:p>
      <w:pPr>
        <w:pStyle w:val="Heading1"/>
      </w:pPr>
      <w:r>
        <w:t>14. Phase XII — Journal Strategy</w:t>
      </w:r>
    </w:p>
    <w:p>
      <w:r>
        <w:t>Journal selection should occur after the state-of-field review and again after the principal results are known. The target should follow the scientific contribution rather than be chosen solely by impact factor.</w:t>
      </w:r>
    </w:p>
    <w:p>
      <w:pPr>
        <w:pStyle w:val="ListBullet"/>
      </w:pPr>
      <w:r>
        <w:t>Remote Sensing of Environment if the dominant contribution is the remote-sensing consequence of elevation-product, uncertainty, scale, and derivative choices across Arctic environments.</w:t>
      </w:r>
    </w:p>
    <w:p>
      <w:pPr>
        <w:pStyle w:val="ListBullet"/>
      </w:pPr>
      <w:r>
        <w:t>ISPRS Journal of Photogrammetry and Remote Sensing if the dominant contribution is algorithmic/DTM methodological benchmarking and reproducible terrain reconstruction.</w:t>
      </w:r>
    </w:p>
    <w:p>
      <w:pPr>
        <w:pStyle w:val="ListBullet"/>
      </w:pPr>
      <w:r>
        <w:t>JGR: Earth Surface or Earth Surface Processes and Landforms if the central contribution becomes geomorphic scale, landform representation, and periglacial surface processes.</w:t>
      </w:r>
    </w:p>
    <w:p>
      <w:pPr>
        <w:pStyle w:val="ListBullet"/>
      </w:pPr>
      <w:r>
        <w:t>The Cryosphere if permafrost/cryosphere process implications become the dominant scientific result.</w:t>
      </w:r>
    </w:p>
    <w:p>
      <w:pPr>
        <w:pStyle w:val="ListBullet"/>
      </w:pPr>
      <w:r>
        <w:t>A higher general geoscience target should be considered only if the study reveals a broadly consequential failure mode or systematic bias in widely used Arctic terrain products/workflows.</w:t>
      </w:r>
    </w:p>
    <w:p>
      <w:pPr>
        <w:pStyle w:val="Heading1"/>
      </w:pPr>
      <w:r>
        <w:t>15. Formal Decision Gates</w:t>
      </w:r>
    </w:p>
    <w:p>
      <w:r>
        <w:rPr>
          <w:b/>
        </w:rPr>
        <w:t xml:space="preserve">Gate A — Literature saturation: </w:t>
      </w:r>
      <w:r>
        <w:t>No methodology freeze until the review is demonstrably saturated and inaccessible close precedents have been pursued through institutional retrieval.</w:t>
      </w:r>
    </w:p>
    <w:p>
      <w:r>
        <w:rPr>
          <w:b/>
        </w:rPr>
        <w:t xml:space="preserve">Gate B — Novelty: </w:t>
      </w:r>
      <w:r>
        <w:t>Proceed only if the final benchmark answers a question not already resolved by prior work.</w:t>
      </w:r>
    </w:p>
    <w:p>
      <w:r>
        <w:rPr>
          <w:b/>
        </w:rPr>
        <w:t xml:space="preserve">Gate C — Dataset adequacy: </w:t>
      </w:r>
      <w:r>
        <w:t>Real benchmark corpus must contain sufficient geographic and landform diversity to support Arctic/subarctic inference.</w:t>
      </w:r>
    </w:p>
    <w:p>
      <w:r>
        <w:rPr>
          <w:b/>
        </w:rPr>
        <w:t xml:space="preserve">Gate D — Pipeline validation: </w:t>
      </w:r>
      <w:r>
        <w:t>No production run until analytical/unit tests verify every implementation.</w:t>
      </w:r>
    </w:p>
    <w:p>
      <w:r>
        <w:rPr>
          <w:b/>
        </w:rPr>
        <w:t xml:space="preserve">Gate E — Confirmatory analysis: </w:t>
      </w:r>
      <w:r>
        <w:t>Primary protocol frozen before inspecting confirmatory benchmark outcomes.</w:t>
      </w:r>
    </w:p>
    <w:p>
      <w:r>
        <w:rPr>
          <w:b/>
        </w:rPr>
        <w:t xml:space="preserve">Gate F — Quinhagak application: </w:t>
      </w:r>
      <w:r>
        <w:t>Quinhagak processed only after benchmark conclusions are fixed.</w:t>
      </w:r>
    </w:p>
    <w:p>
      <w:r>
        <w:rPr>
          <w:b/>
        </w:rPr>
        <w:t xml:space="preserve">Gate G — Journal selection: </w:t>
      </w:r>
      <w:r>
        <w:t>Choose first-choice journal after determining whether the final contribution is primarily remote sensing, photogrammetry/algorithmic, geomorphic, or cryospheric.</w:t>
      </w:r>
    </w:p>
    <w:p>
      <w:pPr>
        <w:pStyle w:val="Heading1"/>
      </w:pPr>
      <w:r>
        <w:t>16. Immediate Next Steps</w:t>
      </w:r>
    </w:p>
    <w:p>
      <w:pPr>
        <w:pStyle w:val="ListNumber"/>
      </w:pPr>
      <w:r>
        <w:t>Complete the exhaustive search update beyond the current v0.2 dossier: subscription-index searches, retrieval of missing full texts, and backward/forward citation chaining.</w:t>
      </w:r>
    </w:p>
    <w:p>
      <w:pPr>
        <w:pStyle w:val="ListNumber"/>
      </w:pPr>
      <w:r>
        <w:t>Expand the evidence matrix to capture implementation details consistently, especially slope operator, software, neighborhood size, physical support scale, preprocessing, resolution, and validation.</w:t>
      </w:r>
    </w:p>
    <w:p>
      <w:pPr>
        <w:pStyle w:val="ListNumber"/>
      </w:pPr>
      <w:r>
        <w:t>Produce a PRISMA-style screening record and a closest-prior-art comparison table.</w:t>
      </w:r>
    </w:p>
    <w:p>
      <w:pPr>
        <w:pStyle w:val="ListNumber"/>
      </w:pPr>
      <w:r>
        <w:t>Write the formal state-of-field synthesis and revise the novelty statement only after inaccessible close precedents are checked.</w:t>
      </w:r>
    </w:p>
    <w:p>
      <w:pPr>
        <w:pStyle w:val="ListNumber"/>
      </w:pPr>
      <w:r>
        <w:t>Use the completed review to decide which algorithms, scales, and products belong in the confirmatory benchmark; remove any factor that is weakly justified and add any method the literature shows we have missed.</w:t>
      </w:r>
    </w:p>
    <w:p>
      <w:pPr>
        <w:pStyle w:val="ListNumber"/>
      </w:pPr>
      <w:r>
        <w:t>Draft and freeze Protocol v1.0 before full-scale SciNet analysis.</w:t>
      </w:r>
    </w:p>
    <w:p>
      <w:pPr>
        <w:pStyle w:val="ListNumber"/>
      </w:pPr>
      <w:r>
        <w:t>Only then begin corpus construction and production benchmarking.</w:t>
      </w:r>
    </w:p>
    <w:p>
      <w:pPr>
        <w:pStyle w:val="Heading1"/>
      </w:pPr>
      <w:r>
        <w:t>17. Guiding Principle</w:t>
      </w:r>
    </w:p>
    <w:p>
      <w:r>
        <w:rPr>
          <w:b/>
        </w:rPr>
        <w:t>The project should not begin with a preferred algorithm and search for evidence that supports it. It should begin with a complete account of what the field has already tested, use that evidence to define the unresolved measurement problem, and then design the largest and most reproducible benchmark necessary to answer that problem.</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Arctic Tundra Microtopography Benchmark — Research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Plan">
    <w:name w:val="SubtitlePlan"/>
    <w:rPr>
      <w:rFonts w:ascii="Arial" w:hAnsi="Arial" w:eastAsia="Arial"/>
      <w:i/>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