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40" w:beforeAutospacing="0" w:afterAutospacing="0"/>
        <w:jc w:val="center"/>
      </w:pPr>
      <w:r>
        <w:rPr>
          <w:rFonts w:ascii="Arial" w:hAnsi="Arial" w:cs="Arial" w:eastAsia="Arial"/>
          <w:b w:val="1"/>
          <w:bCs w:val="1"/>
          <w:color w:val="1F4E79"/>
          <w:sz w:val="36"/>
          <w:szCs w:val="36"/>
        </w:rPr>
        <w:t>SWAPNIL NALAWADE</w:t>
      </w:r>
    </w:p>
    <w:p>
      <w:pPr>
        <w:spacing w:before="0" w:after="30" w:beforeAutospacing="0" w:afterAutospacing="0"/>
        <w:jc w:val="center"/>
      </w:pPr>
      <w:r>
        <w:rPr>
          <w:rFonts w:ascii="Arial" w:hAnsi="Arial" w:cs="Arial" w:eastAsia="Arial"/>
          <w:color w:val="404040"/>
          <w:sz w:val="18"/>
          <w:szCs w:val="18"/>
        </w:rPr>
        <w:t xml:space="preserve">Data Scientist  |  Machine Learning Engineer  |  Data Analyst</w:t>
      </w:r>
    </w:p>
    <w:p>
      <w:pPr>
        <w:spacing w:before="0" w:after="80" w:beforeAutospacing="0" w:afterAutospacing="0"/>
        <w:jc w:val="center"/>
      </w:pPr>
      <w:r>
        <w:rPr>
          <w:rFonts w:ascii="Arial" w:hAnsi="Arial" w:cs="Arial" w:eastAsia="Arial"/>
          <w:color w:val="404040"/>
          <w:sz w:val="17"/>
          <w:szCs w:val="17"/>
        </w:rPr>
        <w:t xml:space="preserve">Colchester, UK  |  +44 7587 661330  |  nswapnil133@gmail.com  |  </w:t>
      </w:r>
      <w:hyperlink xmlns:r="http://schemas.openxmlformats.org/officeDocument/2006/relationships" r:id="R2">
        <w:r>
          <w:rPr>
            <w:rFonts w:ascii="Arial" w:hAnsi="Arial" w:cs="Arial" w:eastAsia="Arial"/>
            <w:color w:val="0563C1"/>
            <w:sz w:val="17"/>
            <w:szCs w:val="17"/>
            <w:u w:val="single"/>
          </w:rPr>
          <w:t>LinkedIn</w:t>
        </w:r>
      </w:hyperlink>
      <w:r>
        <w:rPr>
          <w:rFonts w:ascii="Arial" w:hAnsi="Arial" w:cs="Arial" w:eastAsia="Arial"/>
          <w:color w:val="404040"/>
          <w:sz w:val="17"/>
          <w:szCs w:val="17"/>
        </w:rPr>
        <w:t xml:space="preserve">  |  </w:t>
      </w:r>
      <w:hyperlink xmlns:r="http://schemas.openxmlformats.org/officeDocument/2006/relationships" r:id="R3">
        <w:r>
          <w:rPr>
            <w:rFonts w:ascii="Arial" w:hAnsi="Arial" w:cs="Arial" w:eastAsia="Arial"/>
            <w:color w:val="0563C1"/>
            <w:sz w:val="17"/>
            <w:szCs w:val="17"/>
            <w:u w:val="single"/>
          </w:rPr>
          <w:t>GitHub</w:t>
        </w:r>
      </w:hyperlink>
    </w:p>
    <w:p>
      <w:pPr>
        <w:pBdr>
          <w:top w:val="none" w:sz="0" w:space="0" w:shadow="0" w:frame="0" w:color="auto"/>
          <w:left w:val="none" w:sz="0" w:space="0" w:shadow="0" w:frame="0" w:color="auto"/>
          <w:bottom w:val="single" w:sz="4" w:space="1" w:shadow="0" w:frame="0" w:color="1F4E79"/>
          <w:right w:val="none" w:sz="0" w:space="0" w:shadow="0" w:frame="0" w:color="auto"/>
          <w:between w:val="none" w:sz="0" w:space="0" w:shadow="0" w:frame="0" w:color="auto"/>
        </w:pBdr>
        <w:spacing w:before="140" w:after="50" w:beforeAutospacing="0" w:afterAutospacing="0"/>
      </w:pPr>
      <w:r>
        <w:rPr>
          <w:rFonts w:ascii="Arial" w:hAnsi="Arial" w:cs="Arial" w:eastAsia="Arial"/>
          <w:b w:val="1"/>
          <w:bCs w:val="1"/>
          <w:color w:val="1F4E79"/>
          <w:sz w:val="20"/>
          <w:szCs w:val="20"/>
        </w:rPr>
        <w:t>PROFESSIONAL SUMMARY</w:t>
      </w:r>
    </w:p>
    <w:p>
      <w:pPr>
        <w:spacing w:before="40" w:after="40" w:beforeAutospacing="0" w:afterAutospacing="0"/>
      </w:pPr>
      <w:r>
        <w:rPr>
          <w:rFonts w:ascii="Arial" w:hAnsi="Arial" w:cs="Arial" w:eastAsia="Arial"/>
          <w:color w:val="1A1A1A"/>
          <w:sz w:val="17"/>
          <w:szCs w:val="17"/>
        </w:rPr>
        <w:t xml:space="preserve">MSc Data Science (Distinction, University of Essex) with 8+ years of experience spanning business operations, marketing analytics, and data-driven decision making. Built hands-on analytical skills managing real campaign budgets </w:t>
      </w:r>
      <w:r>
        <w:rPr>
          <w:rFonts w:ascii="Arial" w:hAnsi="Arial" w:cs="Arial" w:eastAsia="Arial"/>
          <w:color w:val="1A1A1A"/>
          <w:sz w:val="17"/>
          <w:szCs w:val="17"/>
        </w:rPr>
        <w:t xml:space="preserve">tracking ad spend, conversions, and ROI across Google Ads and Meta, and presenting data insights using Excel dashboards and visualisations. Academic training at Essex has formalised this into machine learning, statistical modelling, NLP, and reinforcement learning </w:t>
      </w:r>
      <w:r>
        <w:rPr>
          <w:rFonts w:ascii="Arial" w:hAnsi="Arial" w:cs="Arial" w:eastAsia="Arial"/>
          <w:color w:val="1A1A1A"/>
          <w:sz w:val="17"/>
          <w:szCs w:val="17"/>
        </w:rPr>
        <w:t xml:space="preserve"> with project experience across Python, scikit-learn, CatBoost, BERT, and SQL. Seeking Data Scientist, Data Analyst, or ML Engineer roles where practical business analytics and strong technical foundations deliver measurable impact.</w:t>
      </w:r>
    </w:p>
    <w:p>
      <w:pPr>
        <w:pBdr>
          <w:top w:val="none" w:sz="0" w:space="0" w:shadow="0" w:frame="0" w:color="auto"/>
          <w:left w:val="none" w:sz="0" w:space="0" w:shadow="0" w:frame="0" w:color="auto"/>
          <w:bottom w:val="single" w:sz="4" w:space="1" w:shadow="0" w:frame="0" w:color="1F4E79"/>
          <w:right w:val="none" w:sz="0" w:space="0" w:shadow="0" w:frame="0" w:color="auto"/>
          <w:between w:val="none" w:sz="0" w:space="0" w:shadow="0" w:frame="0" w:color="auto"/>
        </w:pBdr>
        <w:spacing w:before="140" w:after="50" w:beforeAutospacing="0" w:afterAutospacing="0"/>
      </w:pPr>
      <w:r>
        <w:rPr>
          <w:rFonts w:ascii="Arial" w:hAnsi="Arial" w:cs="Arial" w:eastAsia="Arial"/>
          <w:b w:val="1"/>
          <w:bCs w:val="1"/>
          <w:color w:val="1F4E79"/>
          <w:sz w:val="20"/>
          <w:szCs w:val="20"/>
        </w:rPr>
        <w:t>TECHNICAL SKILLS</w:t>
      </w:r>
    </w:p>
    <w:p>
      <w:pPr>
        <w:spacing w:before="0" w:after="20" w:beforeAutospacing="0" w:afterAutospacing="0"/>
      </w:pPr>
    </w:p>
    <w:p>
      <w:pPr>
        <w:spacing w:before="24" w:after="24" w:beforeAutospacing="0" w:afterAutospacing="0"/>
      </w:pPr>
      <w:r>
        <w:rPr>
          <w:rFonts w:ascii="Arial" w:hAnsi="Arial" w:cs="Arial" w:eastAsia="Arial"/>
          <w:b w:val="1"/>
          <w:bCs w:val="1"/>
          <w:color w:val="1A1A1A"/>
          <w:sz w:val="17"/>
          <w:szCs w:val="17"/>
        </w:rPr>
        <w:t xml:space="preserve">Programming Languages: </w:t>
      </w:r>
      <w:r>
        <w:rPr>
          <w:rFonts w:ascii="Arial" w:hAnsi="Arial" w:cs="Arial" w:eastAsia="Arial"/>
          <w:color w:val="1A1A1A"/>
          <w:sz w:val="17"/>
          <w:szCs w:val="17"/>
        </w:rPr>
        <w:t>Python, SQL, R</w:t>
      </w:r>
    </w:p>
    <w:p>
      <w:pPr>
        <w:spacing w:before="24" w:after="24" w:beforeAutospacing="0" w:afterAutospacing="0"/>
      </w:pPr>
      <w:r>
        <w:rPr>
          <w:rFonts w:ascii="Arial" w:hAnsi="Arial" w:cs="Arial" w:eastAsia="Arial"/>
          <w:b w:val="1"/>
          <w:bCs w:val="1"/>
          <w:color w:val="1A1A1A"/>
          <w:sz w:val="17"/>
          <w:szCs w:val="17"/>
        </w:rPr>
        <w:t xml:space="preserve">Python Libraries: </w:t>
      </w:r>
      <w:r>
        <w:rPr>
          <w:rFonts w:ascii="Arial" w:hAnsi="Arial" w:cs="Arial" w:eastAsia="Arial"/>
          <w:color w:val="1A1A1A"/>
          <w:sz w:val="17"/>
          <w:szCs w:val="17"/>
        </w:rPr>
        <w:t>pandas, NumPy, scikit-learn, Matplotlib, Seaborn, HuggingFace Transformers, NetworkX</w:t>
      </w:r>
    </w:p>
    <w:p>
      <w:pPr>
        <w:spacing w:before="24" w:after="24" w:beforeAutospacing="0" w:afterAutospacing="0"/>
      </w:pPr>
      <w:r>
        <w:rPr>
          <w:rFonts w:ascii="Arial" w:hAnsi="Arial" w:cs="Arial" w:eastAsia="Arial"/>
          <w:b w:val="1"/>
          <w:bCs w:val="1"/>
          <w:color w:val="1A1A1A"/>
          <w:sz w:val="17"/>
          <w:szCs w:val="17"/>
        </w:rPr>
        <w:t xml:space="preserve">Machine Learning: </w:t>
      </w:r>
      <w:r>
        <w:rPr>
          <w:rFonts w:ascii="Arial" w:hAnsi="Arial" w:cs="Arial" w:eastAsia="Arial"/>
          <w:color w:val="1A1A1A"/>
          <w:sz w:val="17"/>
          <w:szCs w:val="17"/>
        </w:rPr>
        <w:t>Supervised Learning, Classification, Regression, Clustering, Ensemble Methods (Random Forest, Gradient Boosting), Feature Engineering, Model Evaluation, Hyperparameter Tuning, Cross-Validation</w:t>
      </w:r>
    </w:p>
    <w:p>
      <w:pPr>
        <w:spacing w:before="24" w:after="24" w:beforeAutospacing="0" w:afterAutospacing="0"/>
      </w:pPr>
      <w:r>
        <w:rPr>
          <w:rFonts w:ascii="Arial" w:hAnsi="Arial" w:cs="Arial" w:eastAsia="Arial"/>
          <w:b w:val="1"/>
          <w:bCs w:val="1"/>
          <w:color w:val="1A1A1A"/>
          <w:sz w:val="17"/>
          <w:szCs w:val="17"/>
        </w:rPr>
        <w:t xml:space="preserve">Natural Language Processing: </w:t>
      </w:r>
      <w:r>
        <w:rPr>
          <w:rFonts w:ascii="Arial" w:hAnsi="Arial" w:cs="Arial" w:eastAsia="Arial"/>
          <w:color w:val="1A1A1A"/>
          <w:sz w:val="17"/>
          <w:szCs w:val="17"/>
        </w:rPr>
        <w:t>TF-IDF, BERT Embeddings, Text Classification, Sentiment Analysis, HuggingFace Transformers</w:t>
      </w:r>
    </w:p>
    <w:p>
      <w:pPr>
        <w:spacing w:before="24" w:after="24" w:beforeAutospacing="0" w:afterAutospacing="0"/>
      </w:pPr>
      <w:r>
        <w:rPr>
          <w:rFonts w:ascii="Arial" w:hAnsi="Arial" w:cs="Arial" w:eastAsia="Arial"/>
          <w:b w:val="1"/>
          <w:bCs w:val="1"/>
          <w:color w:val="1A1A1A"/>
          <w:sz w:val="17"/>
          <w:szCs w:val="17"/>
        </w:rPr>
        <w:t xml:space="preserve">Reinforcement Learning: </w:t>
      </w:r>
      <w:r>
        <w:rPr>
          <w:rFonts w:ascii="Arial" w:hAnsi="Arial" w:cs="Arial" w:eastAsia="Arial"/>
          <w:color w:val="1A1A1A"/>
          <w:sz w:val="17"/>
          <w:szCs w:val="17"/>
        </w:rPr>
        <w:t>Q-Learning, SARSA, On-Policy vs Off-Policy Methods, Policy Evaluation</w:t>
      </w:r>
    </w:p>
    <w:p>
      <w:pPr>
        <w:spacing w:before="24" w:after="24" w:beforeAutospacing="0" w:afterAutospacing="0"/>
      </w:pPr>
      <w:r>
        <w:rPr>
          <w:rFonts w:ascii="Arial" w:hAnsi="Arial" w:cs="Arial" w:eastAsia="Arial"/>
          <w:b w:val="1"/>
          <w:bCs w:val="1"/>
          <w:color w:val="1A1A1A"/>
          <w:sz w:val="17"/>
          <w:szCs w:val="17"/>
        </w:rPr>
        <w:t xml:space="preserve">ML Frameworks &amp; Cloud: </w:t>
      </w:r>
      <w:r>
        <w:rPr>
          <w:rFonts w:ascii="Arial" w:hAnsi="Arial" w:cs="Arial" w:eastAsia="Arial"/>
          <w:color w:val="1A1A1A"/>
          <w:sz w:val="17"/>
          <w:szCs w:val="17"/>
        </w:rPr>
        <w:t>scikit-learn, CatBoost, Random Forest, SHAP, Google Colab (Google Cloud Platform), Git, GitHub, Jupyter Notebook</w:t>
      </w:r>
    </w:p>
    <w:p>
      <w:pPr>
        <w:spacing w:before="24" w:after="24" w:beforeAutospacing="0" w:afterAutospacing="0"/>
      </w:pPr>
      <w:r>
        <w:rPr>
          <w:rFonts w:ascii="Arial" w:hAnsi="Arial" w:cs="Arial" w:eastAsia="Arial"/>
          <w:b w:val="1"/>
          <w:bCs w:val="1"/>
          <w:color w:val="1A1A1A"/>
          <w:sz w:val="17"/>
          <w:szCs w:val="17"/>
        </w:rPr>
        <w:t xml:space="preserve">Data Analysis &amp; Visualisation: </w:t>
      </w:r>
      <w:r>
        <w:rPr>
          <w:rFonts w:ascii="Arial" w:hAnsi="Arial" w:cs="Arial" w:eastAsia="Arial"/>
          <w:color w:val="1A1A1A"/>
          <w:sz w:val="17"/>
          <w:szCs w:val="17"/>
        </w:rPr>
        <w:t>Exploratory Data Analysis (EDA), Statistical Modelling, Hypothesis Testing, Tableau, Power BI, Excel (Advanced)</w:t>
      </w:r>
    </w:p>
    <w:p>
      <w:pPr>
        <w:spacing w:before="24" w:after="24" w:beforeAutospacing="0" w:afterAutospacing="0"/>
      </w:pPr>
      <w:r>
        <w:rPr>
          <w:rFonts w:ascii="Arial" w:hAnsi="Arial" w:cs="Arial" w:eastAsia="Arial"/>
          <w:b w:val="1"/>
          <w:bCs w:val="1"/>
          <w:color w:val="1A1A1A"/>
          <w:sz w:val="17"/>
          <w:szCs w:val="17"/>
        </w:rPr>
        <w:t xml:space="preserve">Marketing Analytics: </w:t>
      </w:r>
      <w:r>
        <w:rPr>
          <w:rFonts w:ascii="Arial" w:hAnsi="Arial" w:cs="Arial" w:eastAsia="Arial"/>
          <w:color w:val="1A1A1A"/>
          <w:sz w:val="17"/>
          <w:szCs w:val="17"/>
        </w:rPr>
        <w:t>Google Analytics (GA4), Google Ads, Meta Ads Manager, SEMrush, A/B Testing, CTR / ROI Analysis, Revenue Attribution, CRM Systems</w:t>
      </w:r>
    </w:p>
    <w:p>
      <w:pPr>
        <w:pBdr>
          <w:top w:val="none" w:sz="0" w:space="0" w:shadow="0" w:frame="0" w:color="auto"/>
          <w:left w:val="none" w:sz="0" w:space="0" w:shadow="0" w:frame="0" w:color="auto"/>
          <w:bottom w:val="single" w:sz="4" w:space="1" w:shadow="0" w:frame="0" w:color="1F4E79"/>
          <w:right w:val="none" w:sz="0" w:space="0" w:shadow="0" w:frame="0" w:color="auto"/>
          <w:between w:val="none" w:sz="0" w:space="0" w:shadow="0" w:frame="0" w:color="auto"/>
        </w:pBdr>
        <w:spacing w:before="140" w:after="50" w:beforeAutospacing="0" w:afterAutospacing="0"/>
      </w:pPr>
      <w:r>
        <w:rPr>
          <w:rFonts w:ascii="Arial" w:hAnsi="Arial" w:cs="Arial" w:eastAsia="Arial"/>
          <w:b w:val="1"/>
          <w:bCs w:val="1"/>
          <w:color w:val="1F4E79"/>
          <w:sz w:val="20"/>
          <w:szCs w:val="20"/>
        </w:rPr>
        <w:t>EDUCATION</w:t>
      </w:r>
    </w:p>
    <w:p>
      <w:pPr>
        <w:spacing w:before="0" w:after="10" w:beforeAutospacing="0" w:afterAutospacing="0"/>
      </w:pPr>
    </w:p>
    <w:p>
      <w:pPr>
        <w:tabs>
          <w:tab w:val="right" w:pos="9360" w:leader="none"/>
        </w:tabs>
        <w:spacing w:before="90" w:after="20" w:beforeAutospacing="0" w:afterAutospacing="0"/>
      </w:pPr>
      <w:r>
        <w:rPr>
          <w:rFonts w:ascii="Arial" w:hAnsi="Arial" w:cs="Arial" w:eastAsia="Arial"/>
          <w:b w:val="1"/>
          <w:bCs w:val="1"/>
          <w:color w:val="1A1A1A"/>
          <w:sz w:val="18"/>
          <w:szCs w:val="18"/>
        </w:rPr>
        <w:t>MSc Data Science — Distinction</w:t>
      </w:r>
      <w:r>
        <w:rPr>
          <w:rFonts w:ascii="Arial" w:hAnsi="Arial" w:cs="Arial" w:eastAsia="Arial"/>
          <w:i w:val="1"/>
          <w:iCs w:val="1"/>
          <w:color w:val="404040"/>
          <w:sz w:val="16"/>
          <w:szCs w:val="16"/>
        </w:rPr>
        <w:t xml:space="preserve">  |  University of Essex  —  Colchester, UK</w:t>
        <w:tab/>
        <w:t>Sep 2024 – Sep 2025</w:t>
      </w:r>
    </w:p>
    <w:p>
      <w:pPr>
        <w:spacing w:before="0" w:after="20" w:beforeAutospacing="0" w:afterAutospacing="0"/>
      </w:pPr>
      <w:r>
        <w:rPr>
          <w:rFonts w:ascii="Arial" w:hAnsi="Arial" w:cs="Arial" w:eastAsia="Arial"/>
          <w:i w:val="1"/>
          <w:iCs w:val="1"/>
          <w:color w:val="404040"/>
          <w:sz w:val="16"/>
          <w:szCs w:val="16"/>
        </w:rPr>
        <w:t>Modules: Machine Learning, Applied Regression, Statistical Modelling, NLP, Network Analysis, Reinforcement Learning</w:t>
      </w:r>
    </w:p>
    <w:p>
      <w:pPr>
        <w:tabs>
          <w:tab w:val="right" w:pos="9360" w:leader="none"/>
        </w:tabs>
        <w:spacing w:before="90" w:after="20" w:beforeAutospacing="0" w:afterAutospacing="0"/>
      </w:pPr>
      <w:r>
        <w:rPr>
          <w:rFonts w:ascii="Arial" w:hAnsi="Arial" w:cs="Arial" w:eastAsia="Arial"/>
          <w:b w:val="1"/>
          <w:bCs w:val="1"/>
          <w:color w:val="1A1A1A"/>
          <w:sz w:val="18"/>
          <w:szCs w:val="18"/>
        </w:rPr>
        <w:t>BSc Information Technology</w:t>
      </w:r>
      <w:r>
        <w:rPr>
          <w:rFonts w:ascii="Arial" w:hAnsi="Arial" w:cs="Arial" w:eastAsia="Arial"/>
          <w:i w:val="1"/>
          <w:iCs w:val="1"/>
          <w:color w:val="404040"/>
          <w:sz w:val="16"/>
          <w:szCs w:val="16"/>
        </w:rPr>
        <w:t xml:space="preserve">  |  University of Mumbai  —  Mumbai, India</w:t>
        <w:tab/>
        <w:t>Completed May 2015</w:t>
      </w:r>
    </w:p>
    <w:p>
      <w:pPr>
        <w:pBdr>
          <w:top w:val="none" w:sz="0" w:space="0" w:shadow="0" w:frame="0" w:color="auto"/>
          <w:left w:val="none" w:sz="0" w:space="0" w:shadow="0" w:frame="0" w:color="auto"/>
          <w:bottom w:val="single" w:sz="4" w:space="1" w:shadow="0" w:frame="0" w:color="1F4E79"/>
          <w:right w:val="none" w:sz="0" w:space="0" w:shadow="0" w:frame="0" w:color="auto"/>
          <w:between w:val="none" w:sz="0" w:space="0" w:shadow="0" w:frame="0" w:color="auto"/>
        </w:pBdr>
        <w:spacing w:before="140" w:after="50" w:beforeAutospacing="0" w:afterAutospacing="0"/>
      </w:pPr>
      <w:r>
        <w:rPr>
          <w:rFonts w:ascii="Arial" w:hAnsi="Arial" w:cs="Arial" w:eastAsia="Arial"/>
          <w:b w:val="1"/>
          <w:bCs w:val="1"/>
          <w:color w:val="1F4E79"/>
          <w:sz w:val="20"/>
          <w:szCs w:val="20"/>
        </w:rPr>
        <w:t>PROFESSIONAL EXPERIENCE</w:t>
      </w:r>
    </w:p>
    <w:p>
      <w:pPr>
        <w:tabs>
          <w:tab w:val="right" w:pos="9360" w:leader="none"/>
        </w:tabs>
        <w:spacing w:before="110" w:after="20" w:beforeAutospacing="0" w:afterAutospacing="0"/>
      </w:pPr>
      <w:bookmarkStart w:id="0" w:name="_dx_frag_StartFragment"/>
      <w:bookmarkEnd w:id="0"/>
      <w:r>
        <w:rPr>
          <w:b w:val="1"/>
          <w:sz w:val="18"/>
          <w:szCs w:val="18"/>
        </w:rPr>
        <w:t>Marketing &amp; Operations Manager</w:t>
      </w:r>
      <w:r>
        <w:t xml:space="preserve"> </w:t>
      </w:r>
      <w:bookmarkStart w:id="1" w:name="_dx_frag_EndFragment"/>
      <w:bookmarkEnd w:id="1"/>
      <w:r>
        <w:rPr>
          <w:rFonts w:ascii="Arial" w:hAnsi="Arial" w:cs="Arial" w:eastAsia="Arial"/>
          <w:i w:val="1"/>
          <w:iCs w:val="1"/>
          <w:color w:val="404040"/>
          <w:sz w:val="16"/>
          <w:szCs w:val="16"/>
        </w:rPr>
        <w:t xml:space="preserve"> |  Kings United India  —  Mumbai, India</w:t>
        <w:tab/>
        <w:t>Jun 2019 – Aug 2024</w:t>
      </w:r>
    </w:p>
    <w:p>
      <w:pPr>
        <w:pStyle w:val="P9"/>
        <w:numPr>
          <w:ilvl w:val="0"/>
          <w:numId w:val="2"/>
        </w:numPr>
        <w:spacing w:before="22" w:after="22" w:beforeAutospacing="0" w:afterAutospacing="0"/>
      </w:pPr>
      <w:r>
        <w:rPr>
          <w:rFonts w:ascii="Arial" w:hAnsi="Arial" w:cs="Arial" w:eastAsia="Arial"/>
          <w:color w:val="1A1A1A"/>
          <w:sz w:val="17"/>
          <w:szCs w:val="17"/>
        </w:rPr>
        <w:t xml:space="preserve">Designed and executed a full-funnel paid media strategy via Google Ads and Meta Ads Manager, consistently achieving 3–3.5x ROAS </w:t>
      </w:r>
      <w:r>
        <w:rPr>
          <w:rFonts w:ascii="Arial" w:hAnsi="Arial" w:cs="Arial" w:eastAsia="Arial"/>
          <w:color w:val="1A1A1A"/>
          <w:sz w:val="17"/>
          <w:szCs w:val="17"/>
        </w:rPr>
        <w:t xml:space="preserve"> e.g. ₹1L ad spend generating ₹3–3.5L net revenue </w:t>
      </w:r>
      <w:r>
        <w:rPr>
          <w:rFonts w:ascii="Arial" w:hAnsi="Arial" w:cs="Arial" w:eastAsia="Arial"/>
          <w:color w:val="1A1A1A"/>
          <w:sz w:val="17"/>
          <w:szCs w:val="17"/>
        </w:rPr>
        <w:t xml:space="preserve"> through data-driven audience targeting and budget optimisation.</w:t>
      </w:r>
    </w:p>
    <w:p>
      <w:pPr>
        <w:pStyle w:val="P9"/>
        <w:numPr>
          <w:ilvl w:val="0"/>
          <w:numId w:val="2"/>
        </w:numPr>
        <w:spacing w:before="22" w:after="22" w:beforeAutospacing="0" w:afterAutospacing="0"/>
      </w:pPr>
      <w:r>
        <w:rPr>
          <w:rFonts w:ascii="Arial" w:hAnsi="Arial" w:cs="Arial" w:eastAsia="Arial"/>
          <w:color w:val="1A1A1A"/>
          <w:sz w:val="17"/>
          <w:szCs w:val="17"/>
        </w:rPr>
        <w:t>Built end-to-end CRM analytics workflows to track lead-to-enrolment conversion rates, call volumes, and sales pipeline performance, enabling weekly data-driven decisions.</w:t>
      </w:r>
    </w:p>
    <w:p>
      <w:pPr>
        <w:pStyle w:val="P9"/>
        <w:numPr>
          <w:ilvl w:val="0"/>
          <w:numId w:val="2"/>
        </w:numPr>
        <w:spacing w:before="22" w:after="22" w:beforeAutospacing="0" w:afterAutospacing="0"/>
      </w:pPr>
      <w:r>
        <w:rPr>
          <w:rFonts w:ascii="Arial" w:hAnsi="Arial" w:cs="Arial" w:eastAsia="Arial"/>
          <w:color w:val="1A1A1A"/>
          <w:sz w:val="17"/>
          <w:szCs w:val="17"/>
        </w:rPr>
        <w:t xml:space="preserve">Conducted monthly campaign performance analysis across paid and organic channels </w:t>
      </w:r>
      <w:r>
        <w:rPr>
          <w:rFonts w:ascii="Arial" w:hAnsi="Arial" w:cs="Arial" w:eastAsia="Arial"/>
          <w:color w:val="1A1A1A"/>
          <w:sz w:val="17"/>
          <w:szCs w:val="17"/>
        </w:rPr>
        <w:t>evaluating CTR, cost-per-lead, conversion rate, and revenue attribution to set next month's ad strategy.</w:t>
      </w:r>
    </w:p>
    <w:p>
      <w:pPr>
        <w:pStyle w:val="P9"/>
        <w:numPr>
          <w:ilvl w:val="0"/>
          <w:numId w:val="2"/>
        </w:numPr>
        <w:spacing w:before="22" w:after="22" w:beforeAutospacing="0" w:afterAutospacing="0"/>
      </w:pPr>
      <w:r>
        <w:rPr>
          <w:rFonts w:ascii="Arial" w:hAnsi="Arial" w:cs="Arial" w:eastAsia="Arial"/>
          <w:color w:val="1A1A1A"/>
          <w:sz w:val="17"/>
          <w:szCs w:val="17"/>
        </w:rPr>
        <w:t>Developed KPI dashboards and Excel reporting systems tracking enrolment, fee installments, revenue reconciliation, and operational expenses across all business units.</w:t>
      </w:r>
    </w:p>
    <w:p>
      <w:pPr>
        <w:pStyle w:val="P9"/>
        <w:numPr>
          <w:ilvl w:val="0"/>
          <w:numId w:val="2"/>
        </w:numPr>
        <w:spacing w:before="22" w:after="22" w:beforeAutospacing="0" w:afterAutospacing="0"/>
      </w:pPr>
      <w:r>
        <w:rPr>
          <w:rFonts w:ascii="Arial" w:hAnsi="Arial" w:cs="Arial" w:eastAsia="Arial"/>
          <w:color w:val="1A1A1A"/>
          <w:sz w:val="17"/>
          <w:szCs w:val="17"/>
        </w:rPr>
        <w:t xml:space="preserve">Coordinated cross-functional team across sales, admin, finance, and social media </w:t>
      </w:r>
      <w:r>
        <w:rPr>
          <w:rFonts w:ascii="Arial" w:hAnsi="Arial" w:cs="Arial" w:eastAsia="Arial"/>
          <w:color w:val="1A1A1A"/>
          <w:sz w:val="17"/>
          <w:szCs w:val="17"/>
        </w:rPr>
        <w:t>briefing monthly content strategy and tracking delivery against business targets.</w:t>
      </w:r>
    </w:p>
    <w:p>
      <w:pPr>
        <w:tabs>
          <w:tab w:val="right" w:pos="9360" w:leader="none"/>
        </w:tabs>
        <w:spacing w:before="110" w:after="20" w:beforeAutospacing="0" w:afterAutospacing="0"/>
      </w:pPr>
      <w:r>
        <w:rPr>
          <w:rFonts w:ascii="Arial" w:hAnsi="Arial" w:cs="Arial" w:eastAsia="Arial"/>
          <w:b w:val="1"/>
          <w:bCs w:val="1"/>
          <w:color w:val="1A1A1A"/>
          <w:sz w:val="18"/>
          <w:szCs w:val="18"/>
        </w:rPr>
        <w:t>Systems &amp; Data Support Engineer</w:t>
      </w:r>
      <w:r>
        <w:rPr>
          <w:rFonts w:ascii="Arial" w:hAnsi="Arial" w:cs="Arial" w:eastAsia="Arial"/>
          <w:i w:val="1"/>
          <w:iCs w:val="1"/>
          <w:color w:val="404040"/>
          <w:sz w:val="16"/>
          <w:szCs w:val="16"/>
        </w:rPr>
        <w:t xml:space="preserve">  |  Cirkle IT Solutions  —  Muscat, Oman</w:t>
        <w:tab/>
        <w:t>Mar 2017 – Feb 2019</w:t>
      </w:r>
      <w:r>
        <w:rPr>
          <w:rFonts w:ascii="Arial" w:hAnsi="Arial" w:cs="Arial" w:eastAsia="Arial"/>
          <w:i w:val="1"/>
          <w:iCs w:val="1"/>
          <w:color w:val="666666"/>
          <w:sz w:val="16"/>
          <w:szCs w:val="16"/>
        </w:rPr>
        <w:t>.</w:t>
      </w:r>
    </w:p>
    <w:p>
      <w:pPr>
        <w:pStyle w:val="P9"/>
        <w:numPr>
          <w:ilvl w:val="0"/>
          <w:numId w:val="2"/>
        </w:numPr>
        <w:spacing w:before="22" w:after="22" w:beforeAutospacing="0" w:afterAutospacing="0"/>
      </w:pPr>
      <w:r>
        <w:rPr>
          <w:rFonts w:ascii="Arial" w:hAnsi="Arial" w:cs="Arial" w:eastAsia="Arial"/>
          <w:color w:val="1A1A1A"/>
          <w:sz w:val="17"/>
          <w:szCs w:val="17"/>
        </w:rPr>
        <w:t>Conducted client discovery sessions including SWOT analysis and requirements gathering to map workflows to ERP modules across HR, payroll, inventory, finance, and student information systems.</w:t>
      </w:r>
    </w:p>
    <w:p>
      <w:pPr>
        <w:pStyle w:val="P9"/>
        <w:numPr>
          <w:ilvl w:val="0"/>
          <w:numId w:val="2"/>
        </w:numPr>
        <w:spacing w:before="22" w:after="22" w:beforeAutospacing="0" w:afterAutospacing="0"/>
      </w:pPr>
      <w:r>
        <w:rPr>
          <w:rFonts w:ascii="Arial" w:hAnsi="Arial" w:cs="Arial" w:eastAsia="Arial"/>
          <w:color w:val="1A1A1A"/>
          <w:sz w:val="17"/>
          <w:szCs w:val="17"/>
        </w:rPr>
        <w:t>Translated requirements into functional specifications supporting configuration of bespoke ERP systems across supply tracking, financial ledgers, HR, attendance, and billing modules.</w:t>
      </w:r>
    </w:p>
    <w:p>
      <w:pPr>
        <w:pStyle w:val="P9"/>
        <w:numPr>
          <w:ilvl w:val="0"/>
          <w:numId w:val="2"/>
        </w:numPr>
        <w:spacing w:before="22" w:after="22" w:beforeAutospacing="0" w:afterAutospacing="0"/>
      </w:pPr>
      <w:r>
        <w:rPr>
          <w:rFonts w:ascii="Arial" w:hAnsi="Arial" w:cs="Arial" w:eastAsia="Arial"/>
          <w:color w:val="1A1A1A"/>
          <w:sz w:val="17"/>
          <w:szCs w:val="17"/>
        </w:rPr>
        <w:t>Supported deployment of a parent-facing mobile app integrated with the school ERP</w:t>
      </w:r>
      <w:r>
        <w:rPr>
          <w:rFonts w:ascii="Arial" w:hAnsi="Arial" w:cs="Arial" w:eastAsia="Arial"/>
          <w:color w:val="1A1A1A"/>
          <w:sz w:val="17"/>
          <w:szCs w:val="17"/>
          <w:rtl w:val="0"/>
          <w:lang w:val="en-US" w:bidi="en-US" w:eastAsia="en-US"/>
        </w:rPr>
        <w:t xml:space="preserve"> </w:t>
      </w:r>
      <w:r>
        <w:rPr>
          <w:rFonts w:ascii="Arial" w:hAnsi="Arial" w:cs="Arial" w:eastAsia="Arial"/>
          <w:color w:val="1A1A1A"/>
          <w:sz w:val="17"/>
          <w:szCs w:val="17"/>
        </w:rPr>
        <w:t xml:space="preserve"> providing real-time student results, attendance, fees, and teacher communication.</w:t>
      </w:r>
    </w:p>
    <w:p>
      <w:pPr>
        <w:pStyle w:val="P9"/>
        <w:numPr>
          <w:ilvl w:val="0"/>
          <w:numId w:val="2"/>
        </w:numPr>
        <w:spacing w:before="22" w:after="22" w:beforeAutospacing="0" w:afterAutospacing="0"/>
      </w:pPr>
      <w:r>
        <w:rPr>
          <w:rFonts w:ascii="Arial" w:hAnsi="Arial" w:cs="Arial" w:eastAsia="Arial"/>
          <w:color w:val="1A1A1A"/>
          <w:sz w:val="17"/>
          <w:szCs w:val="17"/>
        </w:rPr>
        <w:t>Extracted and structured data from ERP modules to produce management audit reports and monthly operational reviews.</w:t>
      </w:r>
    </w:p>
    <w:p>
      <w:pPr>
        <w:tabs>
          <w:tab w:val="right" w:pos="9360" w:leader="none"/>
        </w:tabs>
        <w:spacing w:before="110" w:after="20" w:beforeAutospacing="0" w:afterAutospacing="0"/>
      </w:pPr>
      <w:r>
        <w:rPr>
          <w:rFonts w:ascii="Arial" w:hAnsi="Arial" w:cs="Arial" w:eastAsia="Arial"/>
          <w:b w:val="1"/>
          <w:bCs w:val="1"/>
          <w:color w:val="1A1A1A"/>
          <w:sz w:val="18"/>
          <w:szCs w:val="18"/>
        </w:rPr>
        <w:t>Operations &amp; Data Administrator</w:t>
      </w:r>
      <w:r>
        <w:rPr>
          <w:rFonts w:ascii="Arial" w:hAnsi="Arial" w:cs="Arial" w:eastAsia="Arial"/>
          <w:i w:val="1"/>
          <w:iCs w:val="1"/>
          <w:color w:val="404040"/>
          <w:sz w:val="16"/>
          <w:szCs w:val="16"/>
        </w:rPr>
        <w:t xml:space="preserve">  |  Imperial Lifestyle  —  Mumbai, India</w:t>
        <w:tab/>
        <w:t>Jun 2015 – Feb 2017</w:t>
      </w:r>
    </w:p>
    <w:p>
      <w:pPr>
        <w:pStyle w:val="P9"/>
        <w:numPr>
          <w:ilvl w:val="0"/>
          <w:numId w:val="2"/>
        </w:numPr>
        <w:spacing w:before="22" w:after="22" w:beforeAutospacing="0" w:afterAutospacing="0"/>
      </w:pPr>
      <w:r>
        <w:rPr>
          <w:rFonts w:ascii="Arial" w:hAnsi="Arial" w:cs="Arial" w:eastAsia="Arial"/>
          <w:color w:val="1A1A1A"/>
          <w:sz w:val="17"/>
          <w:szCs w:val="17"/>
        </w:rPr>
        <w:t>Maintained structured Excel records for expenses, petty cash, travel, and stationery — compiling monthly financial summaries for finance department reconciliation.</w:t>
      </w:r>
    </w:p>
    <w:p>
      <w:pPr>
        <w:pStyle w:val="P9"/>
        <w:numPr>
          <w:ilvl w:val="0"/>
          <w:numId w:val="2"/>
        </w:numPr>
        <w:spacing w:before="22" w:after="22" w:beforeAutospacing="0" w:afterAutospacing="0"/>
      </w:pPr>
      <w:r>
        <w:rPr>
          <w:rFonts w:ascii="Arial" w:hAnsi="Arial" w:cs="Arial" w:eastAsia="Arial"/>
          <w:color w:val="1A1A1A"/>
          <w:sz w:val="17"/>
          <w:szCs w:val="17"/>
        </w:rPr>
        <w:t>Tracked receivables and payroll data; designed standardised spreadsheet templates that improved accuracy and reduced manual effort in routine reporting.</w:t>
      </w:r>
    </w:p>
    <w:p>
      <w:pPr>
        <w:pBdr>
          <w:top w:val="none" w:sz="0" w:space="0" w:shadow="0" w:frame="0" w:color="auto"/>
          <w:left w:val="none" w:sz="0" w:space="0" w:shadow="0" w:frame="0" w:color="auto"/>
          <w:bottom w:val="single" w:sz="4" w:space="1" w:shadow="0" w:frame="0" w:color="1F4E79"/>
          <w:right w:val="none" w:sz="0" w:space="0" w:shadow="0" w:frame="0" w:color="auto"/>
          <w:between w:val="none" w:sz="0" w:space="0" w:shadow="0" w:frame="0" w:color="auto"/>
        </w:pBdr>
        <w:spacing w:before="140" w:after="50" w:beforeAutospacing="0" w:afterAutospacing="0"/>
      </w:pPr>
      <w:r>
        <w:rPr>
          <w:rFonts w:ascii="Arial" w:hAnsi="Arial" w:cs="Arial" w:eastAsia="Arial"/>
          <w:b w:val="1"/>
          <w:bCs w:val="1"/>
          <w:color w:val="1F4E79"/>
          <w:sz w:val="20"/>
          <w:szCs w:val="20"/>
        </w:rPr>
        <w:t>ACADEMIC PROJECTS</w:t>
      </w:r>
    </w:p>
    <w:p>
      <w:pPr>
        <w:tabs>
          <w:tab w:val="right" w:pos="9360" w:leader="none"/>
        </w:tabs>
        <w:spacing w:before="100" w:after="16" w:beforeAutospacing="0" w:afterAutospacing="0"/>
      </w:pPr>
      <w:r>
        <w:rPr>
          <w:rFonts w:ascii="Arial" w:hAnsi="Arial" w:cs="Arial" w:eastAsia="Arial"/>
          <w:b w:val="1"/>
          <w:bCs w:val="1"/>
          <w:color w:val="1A1A1A"/>
          <w:sz w:val="18"/>
          <w:szCs w:val="18"/>
        </w:rPr>
        <w:t>Campaign ROI &amp; Revenue Prediction — Dissertation</w:t>
      </w:r>
      <w:r>
        <w:rPr>
          <w:rFonts w:ascii="Arial" w:hAnsi="Arial" w:cs="Arial" w:eastAsia="Arial"/>
          <w:i w:val="1"/>
          <w:iCs w:val="1"/>
          <w:color w:val="404040"/>
          <w:sz w:val="16"/>
          <w:szCs w:val="16"/>
        </w:rPr>
        <w:tab/>
        <w:t>2025</w:t>
      </w:r>
    </w:p>
    <w:p>
      <w:pPr>
        <w:spacing w:before="0" w:after="22" w:beforeAutospacing="0" w:afterAutospacing="0"/>
      </w:pPr>
      <w:r>
        <w:rPr>
          <w:rFonts w:ascii="Arial" w:hAnsi="Arial" w:cs="Arial" w:eastAsia="Arial"/>
          <w:i w:val="1"/>
          <w:iCs w:val="1"/>
          <w:color w:val="404040"/>
          <w:sz w:val="16"/>
          <w:szCs w:val="16"/>
        </w:rPr>
        <w:t xml:space="preserve">Python  ·  SQL  ·  scikit-learn  ·  Random Forest  ·  Gradient Boosting  ·  Feature Engineering</w:t>
      </w:r>
    </w:p>
    <w:p>
      <w:pPr>
        <w:pStyle w:val="P9"/>
        <w:numPr>
          <w:ilvl w:val="0"/>
          <w:numId w:val="2"/>
        </w:numPr>
        <w:spacing w:before="22" w:after="22" w:beforeAutospacing="0" w:afterAutospacing="0"/>
      </w:pPr>
      <w:r>
        <w:rPr>
          <w:rFonts w:ascii="Arial" w:hAnsi="Arial" w:cs="Arial" w:eastAsia="Arial"/>
          <w:color w:val="1A1A1A"/>
          <w:sz w:val="17"/>
          <w:szCs w:val="17"/>
        </w:rPr>
        <w:t xml:space="preserve">Built an end-to-end ML pipeline comparing Linear Regression, Random Forest, and CatBoost to predict campaign-level Total Revenue from 300K advertising records; best model (CatBoost) achieved R² = 0.60 </w:t>
      </w:r>
      <w:r>
        <w:rPr>
          <w:rFonts w:ascii="Arial" w:hAnsi="Arial" w:cs="Arial" w:eastAsia="Arial"/>
          <w:color w:val="1A1A1A"/>
          <w:sz w:val="17"/>
          <w:szCs w:val="17"/>
        </w:rPr>
        <w:t>a near-doubling of predictive accuracy over ROI as a target.</w:t>
      </w:r>
    </w:p>
    <w:p>
      <w:pPr>
        <w:pStyle w:val="P9"/>
        <w:numPr>
          <w:ilvl w:val="0"/>
          <w:numId w:val="2"/>
        </w:numPr>
        <w:spacing w:before="22" w:after="22" w:beforeAutospacing="0" w:afterAutospacing="0"/>
      </w:pPr>
      <w:r>
        <w:rPr>
          <w:rFonts w:ascii="Arial" w:hAnsi="Arial" w:cs="Arial" w:eastAsia="Arial"/>
          <w:color w:val="1A1A1A"/>
          <w:sz w:val="17"/>
          <w:szCs w:val="17"/>
        </w:rPr>
        <w:t xml:space="preserve">Engineered CTR, CPC, and CPM efficiency features from raw ad data; applied SHAP analysis to identify CTR as the dominant revenue predictor </w:t>
      </w:r>
      <w:r>
        <w:rPr>
          <w:rFonts w:ascii="Arial" w:hAnsi="Arial" w:cs="Arial" w:eastAsia="Arial"/>
          <w:color w:val="1A1A1A"/>
          <w:sz w:val="17"/>
          <w:szCs w:val="17"/>
        </w:rPr>
        <w:t>findings grounded in marketing analytics literature and validated with 5-fold cross-validation.</w:t>
      </w:r>
    </w:p>
    <w:p>
      <w:pPr>
        <w:tabs>
          <w:tab w:val="right" w:pos="9360" w:leader="none"/>
        </w:tabs>
        <w:spacing w:before="100" w:after="16" w:beforeAutospacing="0" w:afterAutospacing="0"/>
      </w:pPr>
      <w:r>
        <w:rPr>
          <w:rFonts w:ascii="Arial" w:hAnsi="Arial" w:cs="Arial" w:eastAsia="Arial"/>
          <w:b w:val="1"/>
          <w:bCs w:val="1"/>
          <w:color w:val="1A1A1A"/>
          <w:sz w:val="18"/>
          <w:szCs w:val="18"/>
        </w:rPr>
        <w:t>Customer Review Sentiment Classification — NLP</w:t>
      </w:r>
      <w:r>
        <w:rPr>
          <w:rFonts w:ascii="Arial" w:hAnsi="Arial" w:cs="Arial" w:eastAsia="Arial"/>
          <w:i w:val="1"/>
          <w:iCs w:val="1"/>
          <w:color w:val="404040"/>
          <w:sz w:val="16"/>
          <w:szCs w:val="16"/>
        </w:rPr>
        <w:tab/>
        <w:t>2025</w:t>
      </w:r>
    </w:p>
    <w:p>
      <w:pPr>
        <w:spacing w:before="0" w:after="22" w:beforeAutospacing="0" w:afterAutospacing="0"/>
      </w:pPr>
      <w:r>
        <w:rPr>
          <w:rFonts w:ascii="Arial" w:hAnsi="Arial" w:cs="Arial" w:eastAsia="Arial"/>
          <w:i w:val="1"/>
          <w:iCs w:val="1"/>
          <w:color w:val="404040"/>
          <w:sz w:val="16"/>
          <w:szCs w:val="16"/>
        </w:rPr>
        <w:t xml:space="preserve">Python  ·  HuggingFace Transformers  ·  BERT  ·  TF-IDF  ·  scikit-learn  ·  Logistic Regression</w:t>
      </w:r>
    </w:p>
    <w:p>
      <w:pPr>
        <w:pStyle w:val="P9"/>
        <w:numPr>
          <w:ilvl w:val="0"/>
          <w:numId w:val="2"/>
        </w:numPr>
        <w:spacing w:before="22" w:after="22" w:beforeAutospacing="0" w:afterAutospacing="0"/>
      </w:pPr>
      <w:r>
        <w:rPr>
          <w:rFonts w:ascii="Arial" w:hAnsi="Arial" w:cs="Arial" w:eastAsia="Arial"/>
          <w:color w:val="1A1A1A"/>
          <w:sz w:val="17"/>
          <w:szCs w:val="17"/>
        </w:rPr>
        <w:t>Built NLP classification pipelines using TF-IDF and BERT embeddings; evaluated on imbalanced datasets using macro-F1 and weighted-F1; analysed class-level performance to improve model generalisation.</w:t>
      </w:r>
    </w:p>
    <w:p>
      <w:pPr>
        <w:tabs>
          <w:tab w:val="right" w:pos="9360" w:leader="none"/>
        </w:tabs>
        <w:spacing w:before="100" w:after="16" w:beforeAutospacing="0" w:afterAutospacing="0"/>
      </w:pPr>
      <w:r>
        <w:rPr>
          <w:rFonts w:ascii="Arial" w:hAnsi="Arial" w:cs="Arial" w:eastAsia="Arial"/>
          <w:b w:val="1"/>
          <w:bCs w:val="1"/>
          <w:color w:val="1A1A1A"/>
          <w:sz w:val="18"/>
          <w:szCs w:val="18"/>
        </w:rPr>
        <w:t>Customer Churn Prediction</w:t>
      </w:r>
      <w:r>
        <w:rPr>
          <w:rFonts w:ascii="Arial" w:hAnsi="Arial" w:cs="Arial" w:eastAsia="Arial"/>
          <w:i w:val="1"/>
          <w:iCs w:val="1"/>
          <w:color w:val="404040"/>
          <w:sz w:val="16"/>
          <w:szCs w:val="16"/>
        </w:rPr>
        <w:tab/>
        <w:t>2025</w:t>
      </w:r>
    </w:p>
    <w:p>
      <w:pPr>
        <w:spacing w:before="0" w:after="22" w:beforeAutospacing="0" w:afterAutospacing="0"/>
      </w:pPr>
      <w:r>
        <w:rPr>
          <w:rFonts w:ascii="Arial" w:hAnsi="Arial" w:cs="Arial" w:eastAsia="Arial"/>
          <w:i w:val="1"/>
          <w:iCs w:val="1"/>
          <w:color w:val="404040"/>
          <w:sz w:val="16"/>
          <w:szCs w:val="16"/>
        </w:rPr>
        <w:t xml:space="preserve">Python  ·  scikit-learn  ·  pandas  ·  Classification  ·  F1-Score</w:t>
      </w:r>
    </w:p>
    <w:p>
      <w:pPr>
        <w:pStyle w:val="P9"/>
        <w:numPr>
          <w:ilvl w:val="0"/>
          <w:numId w:val="2"/>
        </w:numPr>
        <w:spacing w:before="22" w:after="22" w:beforeAutospacing="0" w:afterAutospacing="0"/>
      </w:pPr>
      <w:r>
        <w:rPr>
          <w:rFonts w:ascii="Arial" w:hAnsi="Arial" w:cs="Arial" w:eastAsia="Arial"/>
          <w:color w:val="1A1A1A"/>
          <w:sz w:val="17"/>
          <w:szCs w:val="17"/>
        </w:rPr>
        <w:t xml:space="preserve">Built a supervised learning churn classification pipeline on 1,000-customer banking dataset </w:t>
      </w:r>
      <w:r>
        <w:rPr>
          <w:rFonts w:ascii="Arial" w:hAnsi="Arial" w:cs="Arial" w:eastAsia="Arial"/>
          <w:color w:val="1A1A1A"/>
          <w:sz w:val="17"/>
          <w:szCs w:val="17"/>
        </w:rPr>
        <w:t>merged 5 data sources, engineered 19 features, applied SMOTE to address 80/20 class imbalance, and evaluated using F1-score and Recall to prioritise identifying at-risk customers.</w:t>
      </w:r>
    </w:p>
    <w:p>
      <w:pPr>
        <w:tabs>
          <w:tab w:val="right" w:pos="9360" w:leader="none"/>
        </w:tabs>
        <w:spacing w:before="100" w:after="16" w:beforeAutospacing="0" w:afterAutospacing="0"/>
      </w:pPr>
      <w:r>
        <w:rPr>
          <w:rFonts w:ascii="Arial" w:hAnsi="Arial" w:cs="Arial" w:eastAsia="Arial"/>
          <w:b w:val="1"/>
          <w:bCs w:val="1"/>
          <w:color w:val="1A1A1A"/>
          <w:sz w:val="18"/>
          <w:szCs w:val="18"/>
        </w:rPr>
        <w:t>Monte Carlo Option Pricing Simulator</w:t>
      </w:r>
      <w:r>
        <w:rPr>
          <w:rFonts w:ascii="Arial" w:hAnsi="Arial" w:cs="Arial" w:eastAsia="Arial"/>
          <w:i w:val="1"/>
          <w:iCs w:val="1"/>
          <w:color w:val="404040"/>
          <w:sz w:val="16"/>
          <w:szCs w:val="16"/>
        </w:rPr>
        <w:tab/>
        <w:t>2025</w:t>
      </w:r>
    </w:p>
    <w:p>
      <w:pPr>
        <w:spacing w:before="0" w:after="22" w:beforeAutospacing="0" w:afterAutospacing="0"/>
      </w:pPr>
      <w:r>
        <w:rPr>
          <w:rFonts w:ascii="Arial" w:hAnsi="Arial" w:cs="Arial" w:eastAsia="Arial"/>
          <w:i w:val="1"/>
          <w:iCs w:val="1"/>
          <w:color w:val="404040"/>
          <w:sz w:val="16"/>
          <w:szCs w:val="16"/>
        </w:rPr>
        <w:t xml:space="preserve">Python  ·  NumPy  ·  Matplotlib  ·  Geometric Brownian Motion</w:t>
      </w:r>
    </w:p>
    <w:p>
      <w:pPr>
        <w:pStyle w:val="P9"/>
        <w:numPr>
          <w:ilvl w:val="0"/>
          <w:numId w:val="2"/>
        </w:numPr>
        <w:spacing w:before="22" w:after="22" w:beforeAutospacing="0" w:afterAutospacing="0"/>
      </w:pPr>
      <w:r>
        <w:rPr>
          <w:rFonts w:ascii="Arial" w:hAnsi="Arial" w:cs="Arial" w:eastAsia="Arial"/>
          <w:color w:val="1A1A1A"/>
          <w:sz w:val="17"/>
          <w:szCs w:val="17"/>
        </w:rPr>
        <w:t>Simulated thousands of price paths using Geometric Brownian Motion on AAPL and TSCO data to estimate European option fair value; compared volatility and pricing behaviour across US and UK markets.</w:t>
      </w:r>
    </w:p>
    <w:p>
      <w:pPr>
        <w:tabs>
          <w:tab w:val="right" w:pos="9360" w:leader="none"/>
        </w:tabs>
        <w:spacing w:before="100" w:after="16" w:beforeAutospacing="0" w:afterAutospacing="0"/>
      </w:pPr>
      <w:r>
        <w:rPr>
          <w:rFonts w:ascii="Arial" w:hAnsi="Arial" w:cs="Arial" w:eastAsia="Arial"/>
          <w:b w:val="1"/>
          <w:bCs w:val="1"/>
          <w:color w:val="1A1A1A"/>
          <w:sz w:val="18"/>
          <w:szCs w:val="18"/>
        </w:rPr>
        <w:t xml:space="preserve">Reinforcement Learning Game Agent  |  Social Network Graph Analytics  |  Graduation Rate Prediction</w:t>
      </w:r>
      <w:r>
        <w:rPr>
          <w:rFonts w:ascii="Arial" w:hAnsi="Arial" w:cs="Arial" w:eastAsia="Arial"/>
          <w:i w:val="1"/>
          <w:iCs w:val="1"/>
          <w:color w:val="404040"/>
          <w:sz w:val="16"/>
          <w:szCs w:val="16"/>
        </w:rPr>
        <w:tab/>
        <w:t>2024</w:t>
      </w:r>
    </w:p>
    <w:p>
      <w:pPr>
        <w:spacing w:before="0" w:after="22" w:beforeAutospacing="0" w:afterAutospacing="0"/>
      </w:pPr>
      <w:r>
        <w:rPr>
          <w:rFonts w:ascii="Arial" w:hAnsi="Arial" w:cs="Arial" w:eastAsia="Arial"/>
          <w:i w:val="1"/>
          <w:iCs w:val="1"/>
          <w:color w:val="404040"/>
          <w:sz w:val="16"/>
          <w:szCs w:val="16"/>
        </w:rPr>
        <w:t xml:space="preserve">Python · Q-Learning · SARSA  |  Python · NetworkX · Community Detection  |  R · Linear Regression · Hypothesis Testing</w:t>
      </w:r>
    </w:p>
    <w:p>
      <w:pPr>
        <w:pStyle w:val="P9"/>
        <w:numPr>
          <w:ilvl w:val="0"/>
          <w:numId w:val="2"/>
        </w:numPr>
        <w:spacing w:before="22" w:after="22" w:beforeAutospacing="0" w:afterAutospacing="0"/>
      </w:pPr>
      <w:r>
        <w:rPr>
          <w:rFonts w:ascii="Arial" w:hAnsi="Arial" w:cs="Arial" w:eastAsia="Arial"/>
          <w:color w:val="1A1A1A"/>
          <w:sz w:val="17"/>
          <w:szCs w:val="17"/>
        </w:rPr>
        <w:t>Implemented Q-Learning and SARSA agents comparing on-policy vs off-policy convergence. Analysed graph centrality, k-cores, and community detection. Built regression models with feature selection and diagnostics on real-world datasets.</w:t>
      </w:r>
    </w:p>
    <w:p>
      <w:pPr>
        <w:pBdr>
          <w:top w:val="none" w:sz="0" w:space="0" w:shadow="0" w:frame="0" w:color="auto"/>
          <w:left w:val="none" w:sz="0" w:space="0" w:shadow="0" w:frame="0" w:color="auto"/>
          <w:bottom w:val="single" w:sz="4" w:space="1" w:shadow="0" w:frame="0" w:color="1F4E79"/>
          <w:right w:val="none" w:sz="0" w:space="0" w:shadow="0" w:frame="0" w:color="auto"/>
          <w:between w:val="none" w:sz="0" w:space="0" w:shadow="0" w:frame="0" w:color="auto"/>
        </w:pBdr>
        <w:spacing w:before="140" w:after="50" w:beforeAutospacing="0" w:afterAutospacing="0"/>
      </w:pPr>
      <w:r>
        <w:rPr>
          <w:rFonts w:ascii="Arial" w:hAnsi="Arial" w:cs="Arial" w:eastAsia="Arial"/>
          <w:b w:val="1"/>
          <w:bCs w:val="1"/>
          <w:color w:val="1F4E79"/>
          <w:sz w:val="20"/>
          <w:szCs w:val="20"/>
        </w:rPr>
        <w:t>CERTIFICATIONS</w:t>
      </w:r>
    </w:p>
    <w:p>
      <w:pPr>
        <w:spacing w:before="0" w:after="10" w:beforeAutospacing="0" w:afterAutospacing="0"/>
      </w:pPr>
    </w:p>
    <w:p>
      <w:pPr>
        <w:tabs>
          <w:tab w:val="right" w:pos="9360" w:leader="none"/>
        </w:tabs>
        <w:spacing w:before="70" w:after="20" w:beforeAutospacing="0" w:afterAutospacing="0"/>
      </w:pPr>
      <w:r>
        <w:rPr>
          <w:rFonts w:ascii="Arial" w:hAnsi="Arial" w:cs="Arial" w:eastAsia="Arial"/>
          <w:b w:val="1"/>
          <w:bCs w:val="1"/>
          <w:color w:val="1A1A1A"/>
          <w:sz w:val="17"/>
          <w:szCs w:val="17"/>
        </w:rPr>
        <w:t xml:space="preserve">Customer Churn Prediction </w:t>
      </w:r>
      <w:r>
        <w:rPr>
          <w:rFonts w:ascii="Arial" w:hAnsi="Arial" w:cs="Arial" w:eastAsia="Arial"/>
          <w:b w:val="1"/>
          <w:bCs w:val="1"/>
          <w:color w:val="1A1A1A"/>
          <w:sz w:val="17"/>
          <w:szCs w:val="17"/>
        </w:rPr>
        <w:t xml:space="preserve"> </w:t>
      </w:r>
      <w:r>
        <w:rPr>
          <w:rFonts w:ascii="Arial" w:hAnsi="Arial" w:cs="Arial" w:eastAsia="Arial"/>
          <w:b w:val="1"/>
          <w:bCs w:val="1"/>
          <w:color w:val="1A1A1A"/>
          <w:sz w:val="17"/>
          <w:szCs w:val="17"/>
          <w:rtl w:val="0"/>
          <w:lang w:val="en-US" w:bidi="en-US" w:eastAsia="en-US"/>
        </w:rPr>
        <w:t>(</w:t>
      </w:r>
      <w:r>
        <w:rPr>
          <w:rFonts w:ascii="Arial" w:hAnsi="Arial" w:cs="Arial" w:eastAsia="Arial"/>
          <w:b w:val="1"/>
          <w:bCs w:val="1"/>
          <w:color w:val="1A1A1A"/>
          <w:sz w:val="17"/>
          <w:szCs w:val="17"/>
        </w:rPr>
        <w:t>Machine Learning</w:t>
      </w:r>
      <w:r>
        <w:rPr>
          <w:rFonts w:ascii="Arial" w:hAnsi="Arial" w:cs="Arial" w:eastAsia="Arial"/>
          <w:b w:val="1"/>
          <w:bCs w:val="1"/>
          <w:color w:val="1A1A1A"/>
          <w:sz w:val="17"/>
          <w:szCs w:val="17"/>
          <w:rtl w:val="0"/>
          <w:lang w:val="en-US" w:bidi="en-US" w:eastAsia="en-US"/>
        </w:rPr>
        <w:t>)</w:t>
      </w:r>
      <w:r>
        <w:rPr>
          <w:rFonts w:ascii="Arial" w:hAnsi="Arial" w:cs="Arial" w:eastAsia="Arial"/>
          <w:color w:val="404040"/>
          <w:sz w:val="17"/>
          <w:szCs w:val="17"/>
        </w:rPr>
        <w:t xml:space="preserve">  |  Lloyds Banking Group · Forage Virtual Experience</w:t>
      </w:r>
      <w:r>
        <w:rPr>
          <w:rFonts w:ascii="Arial" w:hAnsi="Arial" w:cs="Arial" w:eastAsia="Arial"/>
          <w:i w:val="1"/>
          <w:iCs w:val="1"/>
          <w:color w:val="404040"/>
          <w:sz w:val="16"/>
          <w:szCs w:val="16"/>
        </w:rPr>
        <w:tab/>
        <w:t>2025</w:t>
      </w:r>
    </w:p>
    <w:p>
      <w:pPr>
        <w:tabs>
          <w:tab w:val="right" w:pos="9360" w:leader="none"/>
        </w:tabs>
        <w:spacing w:before="70" w:after="20" w:beforeAutospacing="0" w:afterAutospacing="0"/>
      </w:pPr>
      <w:r>
        <w:rPr>
          <w:rFonts w:ascii="Arial" w:hAnsi="Arial" w:cs="Arial" w:eastAsia="Arial"/>
          <w:b w:val="1"/>
          <w:bCs w:val="1"/>
          <w:color w:val="1A1A1A"/>
          <w:sz w:val="17"/>
          <w:szCs w:val="17"/>
        </w:rPr>
        <w:t xml:space="preserve">Digital Marketing </w:t>
      </w:r>
      <w:r>
        <w:rPr>
          <w:rFonts w:ascii="Arial" w:hAnsi="Arial" w:cs="Arial" w:eastAsia="Arial"/>
          <w:b w:val="1"/>
          <w:bCs w:val="1"/>
          <w:color w:val="1A1A1A"/>
          <w:sz w:val="17"/>
          <w:szCs w:val="17"/>
        </w:rPr>
        <w:t xml:space="preserve"> Certified Practitioner</w:t>
      </w:r>
      <w:r>
        <w:rPr>
          <w:rFonts w:ascii="Arial" w:hAnsi="Arial" w:cs="Arial" w:eastAsia="Arial"/>
          <w:color w:val="404040"/>
          <w:sz w:val="17"/>
          <w:szCs w:val="17"/>
        </w:rPr>
        <w:t xml:space="preserve">  |</w:t>
      </w:r>
      <w:r>
        <w:rPr>
          <w:rFonts w:ascii="Arial" w:hAnsi="Arial" w:cs="Arial" w:eastAsia="Arial"/>
          <w:color w:val="404040"/>
          <w:sz w:val="17"/>
          <w:szCs w:val="17"/>
          <w:rtl w:val="0"/>
          <w:lang w:val="en-US" w:bidi="en-US" w:eastAsia="en-US"/>
        </w:rPr>
        <w:t xml:space="preserve"> L</w:t>
      </w:r>
      <w:r>
        <w:rPr>
          <w:rFonts w:ascii="Arial" w:hAnsi="Arial" w:cs="Arial" w:eastAsia="Arial"/>
          <w:color w:val="404040"/>
          <w:sz w:val="17"/>
          <w:szCs w:val="17"/>
          <w:rtl w:val="0"/>
          <w:lang w:val="en-US" w:bidi="en-US" w:eastAsia="en-US"/>
        </w:rPr>
        <w:t xml:space="preserve">IPS India </w:t>
      </w:r>
      <w:r>
        <w:rPr>
          <w:rFonts w:ascii="Arial" w:hAnsi="Arial" w:cs="Arial" w:eastAsia="Arial"/>
          <w:color w:val="404040"/>
          <w:sz w:val="17"/>
          <w:szCs w:val="17"/>
        </w:rPr>
        <w:t xml:space="preserve">  </w:t>
      </w:r>
      <w:r>
        <w:rPr>
          <w:rFonts w:ascii="Arial" w:hAnsi="Arial" w:cs="Arial" w:eastAsia="Arial"/>
          <w:color w:val="404040"/>
          <w:sz w:val="17"/>
          <w:szCs w:val="17"/>
          <w:rtl w:val="0"/>
          <w:lang w:val="en-US" w:bidi="en-US" w:eastAsia="en-US"/>
        </w:rPr>
        <w:t>Digital Marketing</w:t>
      </w:r>
      <w:r>
        <w:rPr>
          <w:rFonts w:ascii="Arial" w:hAnsi="Arial" w:cs="Arial" w:eastAsia="Arial"/>
          <w:color w:val="404040"/>
          <w:sz w:val="17"/>
          <w:szCs w:val="17"/>
        </w:rPr>
        <w:t xml:space="preserve"> Certification</w:t>
      </w:r>
      <w:r>
        <w:rPr>
          <w:rFonts w:ascii="Arial" w:hAnsi="Arial" w:cs="Arial" w:eastAsia="Arial"/>
          <w:i w:val="1"/>
          <w:iCs w:val="1"/>
          <w:color w:val="404040"/>
          <w:sz w:val="16"/>
          <w:szCs w:val="16"/>
        </w:rPr>
        <w:tab/>
        <w:t>2019</w:t>
      </w:r>
    </w:p>
    <w:p>
      <w:pPr>
        <w:spacing w:before="0" w:after="40" w:beforeAutospacing="0" w:afterAutospacing="0"/>
      </w:pPr>
    </w:p>
    <w:sectPr>
      <w:type w:val="nextPage"/>
      <w:pgMar w:left="1080" w:right="1080" w:top="720" w:bottom="720" w:header="708" w:footer="708" w:gutter="0"/>
      <w:pgNumType w:chapSep="period"/>
    </w:sectPr>
  </w:body>
</w:document>
</file>

<file path=word/numbering.xml><?xml version="1.0" encoding="utf-8"?>
<w:numbering xmlns:w="http://schemas.openxmlformats.org/wordprocessingml/2006/main">
  <w:abstractNum w:abstractNumId="0">
    <w:nsid w:val="29D1F20D"/>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51745A2A"/>
    <w:multiLevelType w:val="hybridMultilevel"/>
    <w:lvl w:ilvl="0">
      <w:start w:val="1"/>
      <w:numFmt w:val="bullet"/>
      <w:suff w:val="tab"/>
      <w:lvlText w:val="•"/>
      <w:lvlJc w:val="left"/>
      <w:pPr>
        <w:ind w:hanging="220" w:left="320"/>
      </w:pPr>
      <w:rPr/>
    </w:lvl>
    <w:lvl w:ilvl="1" w:tplc="3993CDD2">
      <w:start w:val="1"/>
      <w:numFmt w:val="decimal"/>
      <w:suff w:val="tab"/>
      <w:lvlText w:val="%1."/>
      <w:lvlJc w:val="left"/>
      <w:pPr/>
      <w:rPr/>
    </w:lvl>
    <w:lvl w:ilvl="2" w:tplc="7D82F68A">
      <w:start w:val="1"/>
      <w:numFmt w:val="decimal"/>
      <w:suff w:val="tab"/>
      <w:lvlText w:val="%1."/>
      <w:lvlJc w:val="left"/>
      <w:pPr/>
      <w:rPr/>
    </w:lvl>
    <w:lvl w:ilvl="3" w:tplc="33D34069">
      <w:start w:val="1"/>
      <w:numFmt w:val="decimal"/>
      <w:suff w:val="tab"/>
      <w:lvlText w:val="%1."/>
      <w:lvlJc w:val="left"/>
      <w:pPr/>
      <w:rPr/>
    </w:lvl>
    <w:lvl w:ilvl="4" w:tplc="1C083E3D">
      <w:start w:val="1"/>
      <w:numFmt w:val="decimal"/>
      <w:suff w:val="tab"/>
      <w:lvlText w:val="%1."/>
      <w:lvlJc w:val="left"/>
      <w:pPr/>
      <w:rPr/>
    </w:lvl>
    <w:lvl w:ilvl="5" w:tplc="1DF7CE42">
      <w:start w:val="1"/>
      <w:numFmt w:val="decimal"/>
      <w:suff w:val="tab"/>
      <w:lvlText w:val="%1."/>
      <w:lvlJc w:val="left"/>
      <w:pPr/>
      <w:rPr/>
    </w:lvl>
    <w:lvl w:ilvl="6" w:tplc="46B38892">
      <w:start w:val="1"/>
      <w:numFmt w:val="decimal"/>
      <w:suff w:val="tab"/>
      <w:lvlText w:val="%1."/>
      <w:lvlJc w:val="left"/>
      <w:pPr/>
      <w:rPr/>
    </w:lvl>
    <w:lvl w:ilvl="7" w:tplc="249E564C">
      <w:start w:val="1"/>
      <w:numFmt w:val="decimal"/>
      <w:suff w:val="tab"/>
      <w:lvlText w:val="%1."/>
      <w:lvlJc w:val="left"/>
      <w:pPr/>
      <w:rPr/>
    </w:lvl>
    <w:lvl w:ilvl="8" w:tplc="068059F3">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haracterSpacingControl w:val="compressPunctuation"/>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color w:val="1A1A1A"/>
        <w:sz w:val="17"/>
        <w:szCs w:val="17"/>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rPr>
      <w:color w:val="2E74B5"/>
      <w:sz w:val="32"/>
      <w:szCs w:val="32"/>
    </w:rPr>
  </w:style>
  <w:style w:type="paragraph" w:styleId="P3">
    <w:name w:val="Heading 2"/>
    <w:qFormat/>
    <w:pPr/>
    <w:rPr>
      <w:color w:val="2E74B5"/>
      <w:sz w:val="26"/>
      <w:szCs w:val="26"/>
    </w:rPr>
  </w:style>
  <w:style w:type="paragraph" w:styleId="P4">
    <w:name w:val="Heading 3"/>
    <w:qFormat/>
    <w:pPr/>
    <w:rPr>
      <w:color w:val="1F4D78"/>
      <w:sz w:val="24"/>
      <w:szCs w:val="24"/>
    </w:rPr>
  </w:style>
  <w:style w:type="paragraph" w:styleId="P5">
    <w:name w:val="Heading 4"/>
    <w:qFormat/>
    <w:pPr/>
    <w:rPr>
      <w:i w:val="1"/>
      <w:iCs w:val="1"/>
      <w:color w:val="2E74B5"/>
    </w:rPr>
  </w:style>
  <w:style w:type="paragraph" w:styleId="P6">
    <w:name w:val="Heading 5"/>
    <w:qFormat/>
    <w:pPr/>
    <w:rPr>
      <w:color w:val="2E74B5"/>
    </w:rPr>
  </w:style>
  <w:style w:type="paragraph" w:styleId="P7">
    <w:name w:val="Heading 6"/>
    <w:qFormat/>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2" Type="http://schemas.openxmlformats.org/officeDocument/2006/relationships/hyperlink" Target="https://www.linkedin.com/in/swapnil-nalawade-9b545816b/" TargetMode="External" /><Relationship Id="R3" Type="http://schemas.openxmlformats.org/officeDocument/2006/relationships/hyperlink" Target="https://github.com/NalawadeSwapnil"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API/23.1.4.0</Application>
  <AppVersion>23.1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2026-04-15T19:25:01Z</dcterms:created>
  <cp:lastModifiedBy>Hardik Nalawade</cp:lastModifiedBy>
  <dcterms:modified xsi:type="dcterms:W3CDTF">2026-04-16T08:58:33Z</dcterms:modified>
  <cp:revision>4</cp:revision>
</cp:coreProperties>
</file>