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2477B9"/>
          <w:sz w:val="24"/>
        </w:rPr>
        <w:t>BUSINESS ANALYST PORTFOLIO PROJECT</w:t>
      </w:r>
    </w:p>
    <w:p>
      <w:pPr>
        <w:pStyle w:val="Title"/>
        <w:spacing w:before="240"/>
      </w:pPr>
      <w:r>
        <w:t>Retail Sales Performance</w:t>
        <w:br/>
        <w:t>&amp; Profitability Analysis</w:t>
      </w:r>
    </w:p>
    <w:p>
      <w:r>
        <w:rPr>
          <w:color w:val="64748B"/>
          <w:sz w:val="28"/>
        </w:rPr>
        <w:t>Using SQL Server and Power BI to understand sales trends, profit drivers and loss-making products</w:t>
      </w:r>
    </w:p>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04477"/>
          </w:tcPr>
          <w:p>
            <w:pPr>
              <w:spacing w:after="0"/>
            </w:pPr>
            <w:r/>
            <w:r>
              <w:rPr>
                <w:rFonts w:ascii="Aptos" w:hAnsi="Aptos"/>
                <w:b/>
                <w:color w:val="FFFFFF"/>
                <w:sz w:val="18"/>
              </w:rPr>
              <w:t>Project type</w:t>
            </w:r>
          </w:p>
        </w:tc>
        <w:tc>
          <w:tcPr>
            <w:tcW w:type="dxa" w:w="3600"/>
            <w:vAlign w:val="center"/>
            <w:shd w:fill="104477"/>
          </w:tcPr>
          <w:p>
            <w:pPr>
              <w:spacing w:after="0"/>
            </w:pPr>
            <w:r/>
            <w:r>
              <w:rPr>
                <w:rFonts w:ascii="Aptos" w:hAnsi="Aptos"/>
                <w:b/>
                <w:color w:val="FFFFFF"/>
                <w:sz w:val="18"/>
              </w:rPr>
              <w:t>Tools</w:t>
            </w:r>
          </w:p>
        </w:tc>
        <w:tc>
          <w:tcPr>
            <w:tcW w:type="dxa" w:w="3600"/>
            <w:vAlign w:val="center"/>
            <w:shd w:fill="104477"/>
          </w:tcPr>
          <w:p>
            <w:pPr>
              <w:spacing w:after="0"/>
            </w:pPr>
            <w:r/>
            <w:r>
              <w:rPr>
                <w:rFonts w:ascii="Aptos" w:hAnsi="Aptos"/>
                <w:b/>
                <w:color w:val="FFFFFF"/>
                <w:sz w:val="18"/>
              </w:rPr>
              <w:t>Dataset</w:t>
            </w:r>
          </w:p>
        </w:tc>
      </w:tr>
      <w:tr>
        <w:tc>
          <w:tcPr>
            <w:tcW w:type="dxa" w:w="3024"/>
            <w:vAlign w:val="center"/>
            <w:shd w:fill="F2F6FA"/>
          </w:tcPr>
          <w:p>
            <w:pPr>
              <w:spacing w:after="0"/>
            </w:pPr>
            <w:r/>
            <w:r>
              <w:rPr>
                <w:rFonts w:ascii="Aptos" w:hAnsi="Aptos"/>
                <w:b/>
                <w:color w:val="104477"/>
                <w:sz w:val="17"/>
              </w:rPr>
              <w:t>Business analysis and data visualisation</w:t>
            </w:r>
          </w:p>
        </w:tc>
        <w:tc>
          <w:tcPr>
            <w:tcW w:type="dxa" w:w="3600"/>
            <w:vAlign w:val="center"/>
            <w:shd w:fill="F2F6FA"/>
          </w:tcPr>
          <w:p>
            <w:pPr>
              <w:spacing w:after="0"/>
            </w:pPr>
            <w:r/>
            <w:r>
              <w:rPr>
                <w:rFonts w:ascii="Aptos" w:hAnsi="Aptos"/>
                <w:b w:val="0"/>
                <w:color w:val="263746"/>
                <w:sz w:val="17"/>
              </w:rPr>
              <w:t>SQL Server Management Studio (SSMS), Power BI Desktop, DAX</w:t>
            </w:r>
          </w:p>
        </w:tc>
        <w:tc>
          <w:tcPr>
            <w:tcW w:type="dxa" w:w="3600"/>
            <w:vAlign w:val="center"/>
            <w:shd w:fill="F2F6FA"/>
          </w:tcPr>
          <w:p>
            <w:pPr>
              <w:spacing w:after="0"/>
            </w:pPr>
            <w:r/>
            <w:r>
              <w:rPr>
                <w:rFonts w:ascii="Aptos" w:hAnsi="Aptos"/>
                <w:b w:val="0"/>
                <w:color w:val="263746"/>
                <w:sz w:val="17"/>
              </w:rPr>
              <w:t>Sample Superstore-style retail transactions; 9,994 records</w:t>
            </w:r>
          </w:p>
        </w:tc>
      </w:tr>
    </w:tbl>
    <w:p>
      <w:pPr>
        <w:spacing w:before="300"/>
      </w:pPr>
      <w:r>
        <w:rPr>
          <w:i/>
          <w:color w:val="64748B"/>
          <w:sz w:val="18"/>
        </w:rPr>
        <w:t>Prepared as a portfolio case study. Findings are descriptive and should be validated against business context before operational decisions are made.</w:t>
      </w:r>
    </w:p>
    <w:p>
      <w:r>
        <w:br w:type="page"/>
      </w:r>
    </w:p>
    <w:p>
      <w:pPr>
        <w:pStyle w:val="Heading1"/>
      </w:pPr>
      <w:r>
        <w:t>Contents</w:t>
      </w:r>
    </w:p>
    <w:p>
      <w:pPr>
        <w:pStyle w:val="ListBullet"/>
        <w:spacing w:after="40"/>
      </w:pPr>
      <w:r>
        <w:t>1. Executive Summary</w:t>
      </w:r>
    </w:p>
    <w:p>
      <w:pPr>
        <w:pStyle w:val="ListBullet"/>
        <w:spacing w:after="40"/>
      </w:pPr>
      <w:r>
        <w:t>2. Business Problem and Objectives</w:t>
      </w:r>
    </w:p>
    <w:p>
      <w:pPr>
        <w:pStyle w:val="ListBullet"/>
        <w:spacing w:after="40"/>
      </w:pPr>
      <w:r>
        <w:t>3. Dataset and Scope</w:t>
      </w:r>
    </w:p>
    <w:p>
      <w:pPr>
        <w:pStyle w:val="ListBullet"/>
        <w:spacing w:after="40"/>
      </w:pPr>
      <w:r>
        <w:t>4. Methodology</w:t>
      </w:r>
    </w:p>
    <w:p>
      <w:pPr>
        <w:pStyle w:val="ListBullet"/>
        <w:spacing w:after="40"/>
      </w:pPr>
      <w:r>
        <w:t>5. Key Performance Indicators</w:t>
      </w:r>
    </w:p>
    <w:p>
      <w:pPr>
        <w:pStyle w:val="ListBullet"/>
        <w:spacing w:after="40"/>
      </w:pPr>
      <w:r>
        <w:t>6. Key Findings</w:t>
      </w:r>
    </w:p>
    <w:p>
      <w:pPr>
        <w:pStyle w:val="ListBullet"/>
        <w:spacing w:after="40"/>
      </w:pPr>
      <w:r>
        <w:t>7. Business Recommendations</w:t>
      </w:r>
    </w:p>
    <w:p>
      <w:pPr>
        <w:pStyle w:val="ListBullet"/>
        <w:spacing w:after="40"/>
      </w:pPr>
      <w:r>
        <w:t>8. Dashboard Design</w:t>
      </w:r>
    </w:p>
    <w:p>
      <w:pPr>
        <w:pStyle w:val="ListBullet"/>
        <w:spacing w:after="40"/>
      </w:pPr>
      <w:r>
        <w:t>9. Data Quality and Limitations</w:t>
      </w:r>
    </w:p>
    <w:p>
      <w:pPr>
        <w:pStyle w:val="ListBullet"/>
        <w:spacing w:after="40"/>
      </w:pPr>
      <w:r>
        <w:t>10. Conclusion</w:t>
      </w:r>
    </w:p>
    <w:p>
      <w:pPr>
        <w:pStyle w:val="ListBullet"/>
        <w:spacing w:after="40"/>
      </w:pPr>
      <w:r>
        <w:t>Appendix A: Example SQL Queries</w:t>
      </w:r>
    </w:p>
    <w:p>
      <w:r>
        <w:br w:type="page"/>
      </w:r>
    </w:p>
    <w:p>
      <w:pPr>
        <w:pStyle w:val="Heading1"/>
      </w:pPr>
      <w:r>
        <w:t>1. Executive Summary</w:t>
      </w:r>
    </w:p>
    <w:p>
      <w:r>
        <w:t>This project analyses retail transaction data to understand sales performance and profitability across time, regions, product categories, sub-categories and discount levels. SQL Server was used to validate the data and calculate business metrics, while Power BI presents the results in an interactive two-page dashboard.</w:t>
      </w:r>
    </w:p>
    <w:p>
      <w:r>
        <w:t>The dataset contains 9,994 transaction records, approximately 2.30 million in sales and 286,397.02 in profit. The overall profit margin is approximately 12.47%. The analysis highlights that strong sales do not always translate into strong profitability: Tables recorded the largest sub-category loss, while Bookcases and Supplies also reported negative total profit.</w:t>
      </w:r>
    </w:p>
    <w:p>
      <w:r>
        <w:t>The dashboard supports further investigation into loss-making products, discount practices and regional performance. The analysis is descriptive: it identifies patterns and areas for investigation rather than proving the causes of losses.</w:t>
      </w:r>
    </w:p>
    <w:p>
      <w:pPr>
        <w:pStyle w:val="Heading2"/>
      </w:pPr>
      <w:r>
        <w:t>Project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04477"/>
          </w:tcPr>
          <w:p>
            <w:pPr>
              <w:spacing w:after="0"/>
            </w:pPr>
            <w:r/>
            <w:r>
              <w:rPr>
                <w:rFonts w:ascii="Aptos" w:hAnsi="Aptos"/>
                <w:b/>
                <w:color w:val="FFFFFF"/>
                <w:sz w:val="18"/>
              </w:rPr>
              <w:t>Metric</w:t>
            </w:r>
          </w:p>
        </w:tc>
        <w:tc>
          <w:tcPr>
            <w:tcW w:type="dxa" w:w="2088"/>
            <w:vAlign w:val="center"/>
            <w:shd w:fill="104477"/>
          </w:tcPr>
          <w:p>
            <w:pPr>
              <w:spacing w:after="0"/>
            </w:pPr>
            <w:r/>
            <w:r>
              <w:rPr>
                <w:rFonts w:ascii="Aptos" w:hAnsi="Aptos"/>
                <w:b/>
                <w:color w:val="FFFFFF"/>
                <w:sz w:val="18"/>
              </w:rPr>
              <w:t>Result</w:t>
            </w:r>
          </w:p>
        </w:tc>
        <w:tc>
          <w:tcPr>
            <w:tcW w:type="dxa" w:w="5328"/>
            <w:vAlign w:val="center"/>
            <w:shd w:fill="104477"/>
          </w:tcPr>
          <w:p>
            <w:pPr>
              <w:spacing w:after="0"/>
            </w:pPr>
            <w:r/>
            <w:r>
              <w:rPr>
                <w:rFonts w:ascii="Aptos" w:hAnsi="Aptos"/>
                <w:b/>
                <w:color w:val="FFFFFF"/>
                <w:sz w:val="18"/>
              </w:rPr>
              <w:t>Interpretation</w:t>
            </w:r>
          </w:p>
        </w:tc>
      </w:tr>
      <w:tr>
        <w:tc>
          <w:tcPr>
            <w:tcW w:type="dxa" w:w="2376"/>
            <w:vAlign w:val="center"/>
            <w:shd w:fill="F2F6FA"/>
          </w:tcPr>
          <w:p>
            <w:pPr>
              <w:spacing w:after="0"/>
            </w:pPr>
            <w:r/>
            <w:r>
              <w:rPr>
                <w:rFonts w:ascii="Aptos" w:hAnsi="Aptos"/>
                <w:b/>
                <w:color w:val="104477"/>
                <w:sz w:val="17"/>
              </w:rPr>
              <w:t>Transaction records</w:t>
            </w:r>
          </w:p>
        </w:tc>
        <w:tc>
          <w:tcPr>
            <w:tcW w:type="dxa" w:w="2088"/>
            <w:vAlign w:val="center"/>
            <w:shd w:fill="F2F6FA"/>
          </w:tcPr>
          <w:p>
            <w:pPr>
              <w:spacing w:after="0"/>
            </w:pPr>
            <w:r/>
            <w:r>
              <w:rPr>
                <w:rFonts w:ascii="Aptos" w:hAnsi="Aptos"/>
                <w:b w:val="0"/>
                <w:color w:val="263746"/>
                <w:sz w:val="17"/>
              </w:rPr>
              <w:t>9,994</w:t>
            </w:r>
          </w:p>
        </w:tc>
        <w:tc>
          <w:tcPr>
            <w:tcW w:type="dxa" w:w="5328"/>
            <w:vAlign w:val="center"/>
            <w:shd w:fill="F2F6FA"/>
          </w:tcPr>
          <w:p>
            <w:pPr>
              <w:spacing w:after="0"/>
            </w:pPr>
            <w:r/>
            <w:r>
              <w:rPr>
                <w:rFonts w:ascii="Aptos" w:hAnsi="Aptos"/>
                <w:b w:val="0"/>
                <w:color w:val="263746"/>
                <w:sz w:val="17"/>
              </w:rPr>
              <w:t>Rows available for analysis</w:t>
            </w:r>
          </w:p>
        </w:tc>
      </w:tr>
      <w:tr>
        <w:tc>
          <w:tcPr>
            <w:tcW w:type="dxa" w:w="2376"/>
            <w:vAlign w:val="center"/>
          </w:tcPr>
          <w:p>
            <w:pPr>
              <w:spacing w:after="0"/>
            </w:pPr>
            <w:r/>
            <w:r>
              <w:rPr>
                <w:rFonts w:ascii="Aptos" w:hAnsi="Aptos"/>
                <w:b/>
                <w:color w:val="104477"/>
                <w:sz w:val="17"/>
              </w:rPr>
              <w:t>Distinct orders</w:t>
            </w:r>
          </w:p>
        </w:tc>
        <w:tc>
          <w:tcPr>
            <w:tcW w:type="dxa" w:w="2088"/>
            <w:vAlign w:val="center"/>
          </w:tcPr>
          <w:p>
            <w:pPr>
              <w:spacing w:after="0"/>
            </w:pPr>
            <w:r/>
            <w:r>
              <w:rPr>
                <w:rFonts w:ascii="Aptos" w:hAnsi="Aptos"/>
                <w:b w:val="0"/>
                <w:color w:val="263746"/>
                <w:sz w:val="17"/>
              </w:rPr>
              <w:t>5,009</w:t>
            </w:r>
          </w:p>
        </w:tc>
        <w:tc>
          <w:tcPr>
            <w:tcW w:type="dxa" w:w="5328"/>
            <w:vAlign w:val="center"/>
          </w:tcPr>
          <w:p>
            <w:pPr>
              <w:spacing w:after="0"/>
            </w:pPr>
            <w:r/>
            <w:r>
              <w:rPr>
                <w:rFonts w:ascii="Aptos" w:hAnsi="Aptos"/>
                <w:b w:val="0"/>
                <w:color w:val="263746"/>
                <w:sz w:val="17"/>
              </w:rPr>
              <w:t>Unique order IDs</w:t>
            </w:r>
          </w:p>
        </w:tc>
      </w:tr>
      <w:tr>
        <w:tc>
          <w:tcPr>
            <w:tcW w:type="dxa" w:w="2376"/>
            <w:vAlign w:val="center"/>
            <w:shd w:fill="F2F6FA"/>
          </w:tcPr>
          <w:p>
            <w:pPr>
              <w:spacing w:after="0"/>
            </w:pPr>
            <w:r/>
            <w:r>
              <w:rPr>
                <w:rFonts w:ascii="Aptos" w:hAnsi="Aptos"/>
                <w:b/>
                <w:color w:val="104477"/>
                <w:sz w:val="17"/>
              </w:rPr>
              <w:t>Unique customers</w:t>
            </w:r>
          </w:p>
        </w:tc>
        <w:tc>
          <w:tcPr>
            <w:tcW w:type="dxa" w:w="2088"/>
            <w:vAlign w:val="center"/>
            <w:shd w:fill="F2F6FA"/>
          </w:tcPr>
          <w:p>
            <w:pPr>
              <w:spacing w:after="0"/>
            </w:pPr>
            <w:r/>
            <w:r>
              <w:rPr>
                <w:rFonts w:ascii="Aptos" w:hAnsi="Aptos"/>
                <w:b w:val="0"/>
                <w:color w:val="263746"/>
                <w:sz w:val="17"/>
              </w:rPr>
              <w:t>793</w:t>
            </w:r>
          </w:p>
        </w:tc>
        <w:tc>
          <w:tcPr>
            <w:tcW w:type="dxa" w:w="5328"/>
            <w:vAlign w:val="center"/>
            <w:shd w:fill="F2F6FA"/>
          </w:tcPr>
          <w:p>
            <w:pPr>
              <w:spacing w:after="0"/>
            </w:pPr>
            <w:r/>
            <w:r>
              <w:rPr>
                <w:rFonts w:ascii="Aptos" w:hAnsi="Aptos"/>
                <w:b w:val="0"/>
                <w:color w:val="263746"/>
                <w:sz w:val="17"/>
              </w:rPr>
              <w:t>Distinct customer IDs</w:t>
            </w:r>
          </w:p>
        </w:tc>
      </w:tr>
      <w:tr>
        <w:tc>
          <w:tcPr>
            <w:tcW w:type="dxa" w:w="2376"/>
            <w:vAlign w:val="center"/>
          </w:tcPr>
          <w:p>
            <w:pPr>
              <w:spacing w:after="0"/>
            </w:pPr>
            <w:r/>
            <w:r>
              <w:rPr>
                <w:rFonts w:ascii="Aptos" w:hAnsi="Aptos"/>
                <w:b/>
                <w:color w:val="104477"/>
                <w:sz w:val="17"/>
              </w:rPr>
              <w:t>Total sales</w:t>
            </w:r>
          </w:p>
        </w:tc>
        <w:tc>
          <w:tcPr>
            <w:tcW w:type="dxa" w:w="2088"/>
            <w:vAlign w:val="center"/>
          </w:tcPr>
          <w:p>
            <w:pPr>
              <w:spacing w:after="0"/>
            </w:pPr>
            <w:r/>
            <w:r>
              <w:rPr>
                <w:rFonts w:ascii="Aptos" w:hAnsi="Aptos"/>
                <w:b w:val="0"/>
                <w:color w:val="263746"/>
                <w:sz w:val="17"/>
              </w:rPr>
              <w:t>2,297,200.87</w:t>
            </w:r>
          </w:p>
        </w:tc>
        <w:tc>
          <w:tcPr>
            <w:tcW w:type="dxa" w:w="5328"/>
            <w:vAlign w:val="center"/>
          </w:tcPr>
          <w:p>
            <w:pPr>
              <w:spacing w:after="0"/>
            </w:pPr>
            <w:r/>
            <w:r>
              <w:rPr>
                <w:rFonts w:ascii="Aptos" w:hAnsi="Aptos"/>
                <w:b w:val="0"/>
                <w:color w:val="263746"/>
                <w:sz w:val="17"/>
              </w:rPr>
              <w:t>Total recorded sales</w:t>
            </w:r>
          </w:p>
        </w:tc>
      </w:tr>
      <w:tr>
        <w:tc>
          <w:tcPr>
            <w:tcW w:type="dxa" w:w="2376"/>
            <w:vAlign w:val="center"/>
            <w:shd w:fill="F2F6FA"/>
          </w:tcPr>
          <w:p>
            <w:pPr>
              <w:spacing w:after="0"/>
            </w:pPr>
            <w:r/>
            <w:r>
              <w:rPr>
                <w:rFonts w:ascii="Aptos" w:hAnsi="Aptos"/>
                <w:b/>
                <w:color w:val="104477"/>
                <w:sz w:val="17"/>
              </w:rPr>
              <w:t>Total profit</w:t>
            </w:r>
          </w:p>
        </w:tc>
        <w:tc>
          <w:tcPr>
            <w:tcW w:type="dxa" w:w="2088"/>
            <w:vAlign w:val="center"/>
            <w:shd w:fill="F2F6FA"/>
          </w:tcPr>
          <w:p>
            <w:pPr>
              <w:spacing w:after="0"/>
            </w:pPr>
            <w:r/>
            <w:r>
              <w:rPr>
                <w:rFonts w:ascii="Aptos" w:hAnsi="Aptos"/>
                <w:b w:val="0"/>
                <w:color w:val="263746"/>
                <w:sz w:val="17"/>
              </w:rPr>
              <w:t>286,397.02</w:t>
            </w:r>
          </w:p>
        </w:tc>
        <w:tc>
          <w:tcPr>
            <w:tcW w:type="dxa" w:w="5328"/>
            <w:vAlign w:val="center"/>
            <w:shd w:fill="F2F6FA"/>
          </w:tcPr>
          <w:p>
            <w:pPr>
              <w:spacing w:after="0"/>
            </w:pPr>
            <w:r/>
            <w:r>
              <w:rPr>
                <w:rFonts w:ascii="Aptos" w:hAnsi="Aptos"/>
                <w:b w:val="0"/>
                <w:color w:val="263746"/>
                <w:sz w:val="17"/>
              </w:rPr>
              <w:t>Total recorded profit</w:t>
            </w:r>
          </w:p>
        </w:tc>
      </w:tr>
      <w:tr>
        <w:tc>
          <w:tcPr>
            <w:tcW w:type="dxa" w:w="2376"/>
            <w:vAlign w:val="center"/>
          </w:tcPr>
          <w:p>
            <w:pPr>
              <w:spacing w:after="0"/>
            </w:pPr>
            <w:r/>
            <w:r>
              <w:rPr>
                <w:rFonts w:ascii="Aptos" w:hAnsi="Aptos"/>
                <w:b/>
                <w:color w:val="104477"/>
                <w:sz w:val="17"/>
              </w:rPr>
              <w:t>Units sold</w:t>
            </w:r>
          </w:p>
        </w:tc>
        <w:tc>
          <w:tcPr>
            <w:tcW w:type="dxa" w:w="2088"/>
            <w:vAlign w:val="center"/>
          </w:tcPr>
          <w:p>
            <w:pPr>
              <w:spacing w:after="0"/>
            </w:pPr>
            <w:r/>
            <w:r>
              <w:rPr>
                <w:rFonts w:ascii="Aptos" w:hAnsi="Aptos"/>
                <w:b w:val="0"/>
                <w:color w:val="263746"/>
                <w:sz w:val="17"/>
              </w:rPr>
              <w:t>37,873</w:t>
            </w:r>
          </w:p>
        </w:tc>
        <w:tc>
          <w:tcPr>
            <w:tcW w:type="dxa" w:w="5328"/>
            <w:vAlign w:val="center"/>
          </w:tcPr>
          <w:p>
            <w:pPr>
              <w:spacing w:after="0"/>
            </w:pPr>
            <w:r/>
            <w:r>
              <w:rPr>
                <w:rFonts w:ascii="Aptos" w:hAnsi="Aptos"/>
                <w:b w:val="0"/>
                <w:color w:val="263746"/>
                <w:sz w:val="17"/>
              </w:rPr>
              <w:t>Total quantity</w:t>
            </w:r>
          </w:p>
        </w:tc>
      </w:tr>
      <w:tr>
        <w:tc>
          <w:tcPr>
            <w:tcW w:type="dxa" w:w="2376"/>
            <w:vAlign w:val="center"/>
            <w:shd w:fill="F2F6FA"/>
          </w:tcPr>
          <w:p>
            <w:pPr>
              <w:spacing w:after="0"/>
            </w:pPr>
            <w:r/>
            <w:r>
              <w:rPr>
                <w:rFonts w:ascii="Aptos" w:hAnsi="Aptos"/>
                <w:b/>
                <w:color w:val="104477"/>
                <w:sz w:val="17"/>
              </w:rPr>
              <w:t>Average discount</w:t>
            </w:r>
          </w:p>
        </w:tc>
        <w:tc>
          <w:tcPr>
            <w:tcW w:type="dxa" w:w="2088"/>
            <w:vAlign w:val="center"/>
            <w:shd w:fill="F2F6FA"/>
          </w:tcPr>
          <w:p>
            <w:pPr>
              <w:spacing w:after="0"/>
            </w:pPr>
            <w:r/>
            <w:r>
              <w:rPr>
                <w:rFonts w:ascii="Aptos" w:hAnsi="Aptos"/>
                <w:b w:val="0"/>
                <w:color w:val="263746"/>
                <w:sz w:val="17"/>
              </w:rPr>
              <w:t>15.62%</w:t>
            </w:r>
          </w:p>
        </w:tc>
        <w:tc>
          <w:tcPr>
            <w:tcW w:type="dxa" w:w="5328"/>
            <w:vAlign w:val="center"/>
            <w:shd w:fill="F2F6FA"/>
          </w:tcPr>
          <w:p>
            <w:pPr>
              <w:spacing w:after="0"/>
            </w:pPr>
            <w:r/>
            <w:r>
              <w:rPr>
                <w:rFonts w:ascii="Aptos" w:hAnsi="Aptos"/>
                <w:b w:val="0"/>
                <w:color w:val="263746"/>
                <w:sz w:val="17"/>
              </w:rPr>
              <w:t>Mean discount across transaction rows</w:t>
            </w:r>
          </w:p>
        </w:tc>
      </w:tr>
      <w:tr>
        <w:tc>
          <w:tcPr>
            <w:tcW w:type="dxa" w:w="2376"/>
            <w:vAlign w:val="center"/>
          </w:tcPr>
          <w:p>
            <w:pPr>
              <w:spacing w:after="0"/>
            </w:pPr>
            <w:r/>
            <w:r>
              <w:rPr>
                <w:rFonts w:ascii="Aptos" w:hAnsi="Aptos"/>
                <w:b/>
                <w:color w:val="104477"/>
                <w:sz w:val="17"/>
              </w:rPr>
              <w:t>Profit margin</w:t>
            </w:r>
          </w:p>
        </w:tc>
        <w:tc>
          <w:tcPr>
            <w:tcW w:type="dxa" w:w="2088"/>
            <w:vAlign w:val="center"/>
          </w:tcPr>
          <w:p>
            <w:pPr>
              <w:spacing w:after="0"/>
            </w:pPr>
            <w:r/>
            <w:r>
              <w:rPr>
                <w:rFonts w:ascii="Aptos" w:hAnsi="Aptos"/>
                <w:b w:val="0"/>
                <w:color w:val="263746"/>
                <w:sz w:val="17"/>
              </w:rPr>
              <w:t>12.47%</w:t>
            </w:r>
          </w:p>
        </w:tc>
        <w:tc>
          <w:tcPr>
            <w:tcW w:type="dxa" w:w="5328"/>
            <w:vAlign w:val="center"/>
          </w:tcPr>
          <w:p>
            <w:pPr>
              <w:spacing w:after="0"/>
            </w:pPr>
            <w:r/>
            <w:r>
              <w:rPr>
                <w:rFonts w:ascii="Aptos" w:hAnsi="Aptos"/>
                <w:b w:val="0"/>
                <w:color w:val="263746"/>
                <w:sz w:val="17"/>
              </w:rPr>
              <w:t>Total profit divided by total sales</w:t>
            </w:r>
          </w:p>
        </w:tc>
      </w:tr>
    </w:tbl>
    <w:p>
      <w:pPr>
        <w:pStyle w:val="Heading1"/>
      </w:pPr>
      <w:r>
        <w:t>2. Business Problem and Objectives</w:t>
      </w:r>
    </w:p>
    <w:p>
      <w:pPr>
        <w:pStyle w:val="Heading2"/>
      </w:pPr>
      <w:r>
        <w:t>Business problem</w:t>
      </w:r>
    </w:p>
    <w:p>
      <w:r>
        <w:t>A retail business needs a clearer view of where sales are being generated and whether those sales are profitable. Without a consistent view across regions, product groups and discount levels, decision-makers may overlook products that sell but lose money, or assume that high sales automatically mean strong performance.</w:t>
      </w:r>
    </w:p>
    <w:p>
      <w:pPr>
        <w:pStyle w:val="Heading2"/>
      </w:pPr>
      <w:r>
        <w:t>Project objective</w:t>
      </w:r>
    </w:p>
    <w:p>
      <w:r>
        <w:t>Use SQL-based analysis and a Power BI dashboard to summarise retail performance, identify profit and loss patterns, and translate the findings into practical questions and recommendations for management.</w:t>
      </w:r>
    </w:p>
    <w:p>
      <w:pPr>
        <w:pStyle w:val="Heading2"/>
      </w:pPr>
      <w:r>
        <w:t>Business questions</w:t>
      </w:r>
    </w:p>
    <w:p>
      <w:pPr>
        <w:pStyle w:val="ListBullet"/>
        <w:spacing w:after="40"/>
      </w:pPr>
      <w:r>
        <w:t>How do sales change over time?</w:t>
      </w:r>
    </w:p>
    <w:p>
      <w:pPr>
        <w:pStyle w:val="ListBullet"/>
        <w:spacing w:after="40"/>
      </w:pPr>
      <w:r>
        <w:t>Which regions generate the highest sales and profit?</w:t>
      </w:r>
    </w:p>
    <w:p>
      <w:pPr>
        <w:pStyle w:val="ListBullet"/>
        <w:spacing w:after="40"/>
      </w:pPr>
      <w:r>
        <w:t>Which product categories and sub-categories contribute most to profit?</w:t>
      </w:r>
    </w:p>
    <w:p>
      <w:pPr>
        <w:pStyle w:val="ListBullet"/>
        <w:spacing w:after="40"/>
      </w:pPr>
      <w:r>
        <w:t>Which products have negative total profit?</w:t>
      </w:r>
    </w:p>
    <w:p>
      <w:pPr>
        <w:pStyle w:val="ListBullet"/>
        <w:spacing w:after="40"/>
      </w:pPr>
      <w:r>
        <w:t>How does profitability vary across discount levels?</w:t>
      </w:r>
    </w:p>
    <w:p>
      <w:pPr>
        <w:pStyle w:val="Heading1"/>
      </w:pPr>
      <w:r>
        <w:t>3. Dataset and Scope</w:t>
      </w:r>
    </w:p>
    <w:p>
      <w:r>
        <w:t>The project uses a Sample Superstore-style CSV dataset imported into SQL Server as dbo.DataSet in the RetailSales database. The table contains 9,994 rows and 20 columns covering orders, customers, shipping, product categories, sales, quantity, discount and profit.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04477"/>
          </w:tcPr>
          <w:p>
            <w:pPr>
              <w:spacing w:after="0"/>
            </w:pPr>
            <w:r/>
            <w:r>
              <w:rPr>
                <w:rFonts w:ascii="Aptos" w:hAnsi="Aptos"/>
                <w:b/>
                <w:color w:val="FFFFFF"/>
                <w:sz w:val="18"/>
              </w:rPr>
              <w:t>Field</w:t>
            </w:r>
          </w:p>
        </w:tc>
        <w:tc>
          <w:tcPr>
            <w:tcW w:type="dxa" w:w="7200"/>
            <w:vAlign w:val="center"/>
            <w:shd w:fill="104477"/>
          </w:tcPr>
          <w:p>
            <w:pPr>
              <w:spacing w:after="0"/>
            </w:pPr>
            <w:r/>
            <w:r>
              <w:rPr>
                <w:rFonts w:ascii="Aptos" w:hAnsi="Aptos"/>
                <w:b/>
                <w:color w:val="FFFFFF"/>
                <w:sz w:val="18"/>
              </w:rPr>
              <w:t>Purpose</w:t>
            </w:r>
          </w:p>
        </w:tc>
      </w:tr>
      <w:tr>
        <w:tc>
          <w:tcPr>
            <w:tcW w:type="dxa" w:w="2592"/>
            <w:vAlign w:val="center"/>
            <w:shd w:fill="F2F6FA"/>
          </w:tcPr>
          <w:p>
            <w:pPr>
              <w:spacing w:after="0"/>
            </w:pPr>
            <w:r/>
            <w:r>
              <w:rPr>
                <w:rFonts w:ascii="Aptos" w:hAnsi="Aptos"/>
                <w:b/>
                <w:color w:val="104477"/>
                <w:sz w:val="17"/>
              </w:rPr>
              <w:t>Order_Date</w:t>
            </w:r>
          </w:p>
        </w:tc>
        <w:tc>
          <w:tcPr>
            <w:tcW w:type="dxa" w:w="7200"/>
            <w:vAlign w:val="center"/>
            <w:shd w:fill="F2F6FA"/>
          </w:tcPr>
          <w:p>
            <w:pPr>
              <w:spacing w:after="0"/>
            </w:pPr>
            <w:r/>
            <w:r>
              <w:rPr>
                <w:rFonts w:ascii="Aptos" w:hAnsi="Aptos"/>
                <w:b w:val="0"/>
                <w:color w:val="263746"/>
                <w:sz w:val="17"/>
              </w:rPr>
              <w:t>Analyse the sales trend over time.</w:t>
            </w:r>
          </w:p>
        </w:tc>
      </w:tr>
      <w:tr>
        <w:tc>
          <w:tcPr>
            <w:tcW w:type="dxa" w:w="2592"/>
            <w:vAlign w:val="center"/>
          </w:tcPr>
          <w:p>
            <w:pPr>
              <w:spacing w:after="0"/>
            </w:pPr>
            <w:r/>
            <w:r>
              <w:rPr>
                <w:rFonts w:ascii="Aptos" w:hAnsi="Aptos"/>
                <w:b/>
                <w:color w:val="104477"/>
                <w:sz w:val="17"/>
              </w:rPr>
              <w:t>Order_ID</w:t>
            </w:r>
          </w:p>
        </w:tc>
        <w:tc>
          <w:tcPr>
            <w:tcW w:type="dxa" w:w="7200"/>
            <w:vAlign w:val="center"/>
          </w:tcPr>
          <w:p>
            <w:pPr>
              <w:spacing w:after="0"/>
            </w:pPr>
            <w:r/>
            <w:r>
              <w:rPr>
                <w:rFonts w:ascii="Aptos" w:hAnsi="Aptos"/>
                <w:b w:val="0"/>
                <w:color w:val="263746"/>
                <w:sz w:val="17"/>
              </w:rPr>
              <w:t>Count distinct orders.</w:t>
            </w:r>
          </w:p>
        </w:tc>
      </w:tr>
      <w:tr>
        <w:tc>
          <w:tcPr>
            <w:tcW w:type="dxa" w:w="2592"/>
            <w:vAlign w:val="center"/>
            <w:shd w:fill="F2F6FA"/>
          </w:tcPr>
          <w:p>
            <w:pPr>
              <w:spacing w:after="0"/>
            </w:pPr>
            <w:r/>
            <w:r>
              <w:rPr>
                <w:rFonts w:ascii="Aptos" w:hAnsi="Aptos"/>
                <w:b/>
                <w:color w:val="104477"/>
                <w:sz w:val="17"/>
              </w:rPr>
              <w:t>Customer_ID</w:t>
            </w:r>
          </w:p>
        </w:tc>
        <w:tc>
          <w:tcPr>
            <w:tcW w:type="dxa" w:w="7200"/>
            <w:vAlign w:val="center"/>
            <w:shd w:fill="F2F6FA"/>
          </w:tcPr>
          <w:p>
            <w:pPr>
              <w:spacing w:after="0"/>
            </w:pPr>
            <w:r/>
            <w:r>
              <w:rPr>
                <w:rFonts w:ascii="Aptos" w:hAnsi="Aptos"/>
                <w:b w:val="0"/>
                <w:color w:val="263746"/>
                <w:sz w:val="17"/>
              </w:rPr>
              <w:t>Count unique customers.</w:t>
            </w:r>
          </w:p>
        </w:tc>
      </w:tr>
      <w:tr>
        <w:tc>
          <w:tcPr>
            <w:tcW w:type="dxa" w:w="2592"/>
            <w:vAlign w:val="center"/>
          </w:tcPr>
          <w:p>
            <w:pPr>
              <w:spacing w:after="0"/>
            </w:pPr>
            <w:r/>
            <w:r>
              <w:rPr>
                <w:rFonts w:ascii="Aptos" w:hAnsi="Aptos"/>
                <w:b/>
                <w:color w:val="104477"/>
                <w:sz w:val="17"/>
              </w:rPr>
              <w:t>Region</w:t>
            </w:r>
          </w:p>
        </w:tc>
        <w:tc>
          <w:tcPr>
            <w:tcW w:type="dxa" w:w="7200"/>
            <w:vAlign w:val="center"/>
          </w:tcPr>
          <w:p>
            <w:pPr>
              <w:spacing w:after="0"/>
            </w:pPr>
            <w:r/>
            <w:r>
              <w:rPr>
                <w:rFonts w:ascii="Aptos" w:hAnsi="Aptos"/>
                <w:b w:val="0"/>
                <w:color w:val="263746"/>
                <w:sz w:val="17"/>
              </w:rPr>
              <w:t>Compare regional sales and profit.</w:t>
            </w:r>
          </w:p>
        </w:tc>
      </w:tr>
      <w:tr>
        <w:tc>
          <w:tcPr>
            <w:tcW w:type="dxa" w:w="2592"/>
            <w:vAlign w:val="center"/>
            <w:shd w:fill="F2F6FA"/>
          </w:tcPr>
          <w:p>
            <w:pPr>
              <w:spacing w:after="0"/>
            </w:pPr>
            <w:r/>
            <w:r>
              <w:rPr>
                <w:rFonts w:ascii="Aptos" w:hAnsi="Aptos"/>
                <w:b/>
                <w:color w:val="104477"/>
                <w:sz w:val="17"/>
              </w:rPr>
              <w:t>Category / Sub_Category</w:t>
            </w:r>
          </w:p>
        </w:tc>
        <w:tc>
          <w:tcPr>
            <w:tcW w:type="dxa" w:w="7200"/>
            <w:vAlign w:val="center"/>
            <w:shd w:fill="F2F6FA"/>
          </w:tcPr>
          <w:p>
            <w:pPr>
              <w:spacing w:after="0"/>
            </w:pPr>
            <w:r/>
            <w:r>
              <w:rPr>
                <w:rFonts w:ascii="Aptos" w:hAnsi="Aptos"/>
                <w:b w:val="0"/>
                <w:color w:val="263746"/>
                <w:sz w:val="17"/>
              </w:rPr>
              <w:t>Compare product-group performance.</w:t>
            </w:r>
          </w:p>
        </w:tc>
      </w:tr>
      <w:tr>
        <w:tc>
          <w:tcPr>
            <w:tcW w:type="dxa" w:w="2592"/>
            <w:vAlign w:val="center"/>
          </w:tcPr>
          <w:p>
            <w:pPr>
              <w:spacing w:after="0"/>
            </w:pPr>
            <w:r/>
            <w:r>
              <w:rPr>
                <w:rFonts w:ascii="Aptos" w:hAnsi="Aptos"/>
                <w:b/>
                <w:color w:val="104477"/>
                <w:sz w:val="17"/>
              </w:rPr>
              <w:t>Product_Name</w:t>
            </w:r>
          </w:p>
        </w:tc>
        <w:tc>
          <w:tcPr>
            <w:tcW w:type="dxa" w:w="7200"/>
            <w:vAlign w:val="center"/>
          </w:tcPr>
          <w:p>
            <w:pPr>
              <w:spacing w:after="0"/>
            </w:pPr>
            <w:r/>
            <w:r>
              <w:rPr>
                <w:rFonts w:ascii="Aptos" w:hAnsi="Aptos"/>
                <w:b w:val="0"/>
                <w:color w:val="263746"/>
                <w:sz w:val="17"/>
              </w:rPr>
              <w:t>Identify loss-making products.</w:t>
            </w:r>
          </w:p>
        </w:tc>
      </w:tr>
      <w:tr>
        <w:tc>
          <w:tcPr>
            <w:tcW w:type="dxa" w:w="2592"/>
            <w:vAlign w:val="center"/>
            <w:shd w:fill="F2F6FA"/>
          </w:tcPr>
          <w:p>
            <w:pPr>
              <w:spacing w:after="0"/>
            </w:pPr>
            <w:r/>
            <w:r>
              <w:rPr>
                <w:rFonts w:ascii="Aptos" w:hAnsi="Aptos"/>
                <w:b/>
                <w:color w:val="104477"/>
                <w:sz w:val="17"/>
              </w:rPr>
              <w:t>Sales / Profit</w:t>
            </w:r>
          </w:p>
        </w:tc>
        <w:tc>
          <w:tcPr>
            <w:tcW w:type="dxa" w:w="7200"/>
            <w:vAlign w:val="center"/>
            <w:shd w:fill="F2F6FA"/>
          </w:tcPr>
          <w:p>
            <w:pPr>
              <w:spacing w:after="0"/>
            </w:pPr>
            <w:r/>
            <w:r>
              <w:rPr>
                <w:rFonts w:ascii="Aptos" w:hAnsi="Aptos"/>
                <w:b w:val="0"/>
                <w:color w:val="263746"/>
                <w:sz w:val="17"/>
              </w:rPr>
              <w:t>Calculate revenue and profitability.</w:t>
            </w:r>
          </w:p>
        </w:tc>
      </w:tr>
      <w:tr>
        <w:tc>
          <w:tcPr>
            <w:tcW w:type="dxa" w:w="2592"/>
            <w:vAlign w:val="center"/>
          </w:tcPr>
          <w:p>
            <w:pPr>
              <w:spacing w:after="0"/>
            </w:pPr>
            <w:r/>
            <w:r>
              <w:rPr>
                <w:rFonts w:ascii="Aptos" w:hAnsi="Aptos"/>
                <w:b/>
                <w:color w:val="104477"/>
                <w:sz w:val="17"/>
              </w:rPr>
              <w:t>Quantity / Discount</w:t>
            </w:r>
          </w:p>
        </w:tc>
        <w:tc>
          <w:tcPr>
            <w:tcW w:type="dxa" w:w="7200"/>
            <w:vAlign w:val="center"/>
          </w:tcPr>
          <w:p>
            <w:pPr>
              <w:spacing w:after="0"/>
            </w:pPr>
            <w:r/>
            <w:r>
              <w:rPr>
                <w:rFonts w:ascii="Aptos" w:hAnsi="Aptos"/>
                <w:b w:val="0"/>
                <w:color w:val="263746"/>
                <w:sz w:val="17"/>
              </w:rPr>
              <w:t>Analyse units sold and discount patterns.</w:t>
            </w:r>
          </w:p>
        </w:tc>
      </w:tr>
    </w:tbl>
    <w:p>
      <w:pPr>
        <w:pStyle w:val="Heading2"/>
      </w:pPr>
      <w:r>
        <w:t>Scope boundaries</w:t>
      </w:r>
    </w:p>
    <w:p>
      <w:pPr>
        <w:pStyle w:val="ListBullet"/>
        <w:spacing w:after="40"/>
      </w:pPr>
      <w:r>
        <w:t>The project focuses on descriptive analysis and visual reporting.</w:t>
      </w:r>
    </w:p>
    <w:p>
      <w:pPr>
        <w:pStyle w:val="ListBullet"/>
        <w:spacing w:after="40"/>
      </w:pPr>
      <w:r>
        <w:t>No predictive modelling or machine-learning model is included.</w:t>
      </w:r>
    </w:p>
    <w:p>
      <w:pPr>
        <w:pStyle w:val="ListBullet"/>
        <w:spacing w:after="40"/>
      </w:pPr>
      <w:r>
        <w:t>The analysis uses available fields and does not include costs or operational details absent from the dataset.</w:t>
      </w:r>
    </w:p>
    <w:p>
      <w:pPr>
        <w:pStyle w:val="Heading1"/>
      </w:pPr>
      <w:r>
        <w:t>4. Methodology</w:t>
      </w:r>
    </w:p>
    <w:p>
      <w:pPr>
        <w:pStyle w:val="ListNumber"/>
        <w:spacing w:after="80"/>
      </w:pPr>
      <w:r>
        <w:rPr>
          <w:b/>
        </w:rPr>
        <w:t xml:space="preserve">Data import: </w:t>
      </w:r>
      <w:r>
        <w:t>Imported the CSV into SQL Server as dbo.DataSet in the RetailSales database.</w:t>
      </w:r>
    </w:p>
    <w:p>
      <w:pPr>
        <w:pStyle w:val="ListNumber"/>
        <w:spacing w:after="80"/>
      </w:pPr>
      <w:r>
        <w:rPr>
          <w:b/>
        </w:rPr>
        <w:t xml:space="preserve">Data-quality checks: </w:t>
      </w:r>
      <w:r>
        <w:t>Checked row counts, distinct row IDs, missing/blank values in key fields and convertibility of numeric-looking fields.</w:t>
      </w:r>
    </w:p>
    <w:p>
      <w:pPr>
        <w:pStyle w:val="ListNumber"/>
        <w:spacing w:after="80"/>
      </w:pPr>
      <w:r>
        <w:rPr>
          <w:b/>
        </w:rPr>
        <w:t xml:space="preserve">Data validation: </w:t>
      </w:r>
      <w:r>
        <w:t>Sales, Profit, Quantity and Discount were stored as text in the initial SQL import; TRY_CONVERT checks returned no conversion failures for reviewed values.</w:t>
      </w:r>
    </w:p>
    <w:p>
      <w:pPr>
        <w:pStyle w:val="ListNumber"/>
        <w:spacing w:after="80"/>
      </w:pPr>
      <w:r>
        <w:rPr>
          <w:b/>
        </w:rPr>
        <w:t xml:space="preserve">SQL analysis: </w:t>
      </w:r>
      <w:r>
        <w:t>Calculated overall KPIs and grouped results by category, sub-category, region, discount and product.</w:t>
      </w:r>
    </w:p>
    <w:p>
      <w:pPr>
        <w:pStyle w:val="ListNumber"/>
        <w:spacing w:after="80"/>
      </w:pPr>
      <w:r>
        <w:rPr>
          <w:b/>
        </w:rPr>
        <w:t xml:space="preserve">Power BI preparation: </w:t>
      </w:r>
      <w:r>
        <w:t>Loaded the data into Power BI and set appropriate numeric data types.</w:t>
      </w:r>
    </w:p>
    <w:p>
      <w:pPr>
        <w:pStyle w:val="ListNumber"/>
        <w:spacing w:after="80"/>
      </w:pPr>
      <w:r>
        <w:rPr>
          <w:b/>
        </w:rPr>
        <w:t xml:space="preserve">DAX measures: </w:t>
      </w:r>
      <w:r>
        <w:t>Created Total Sales, Total Profit, Profit Margin, Total Orders, Total Customers and Total Units Sold.</w:t>
      </w:r>
    </w:p>
    <w:p>
      <w:pPr>
        <w:pStyle w:val="ListNumber"/>
        <w:spacing w:after="80"/>
      </w:pPr>
      <w:r>
        <w:rPr>
          <w:b/>
        </w:rPr>
        <w:t xml:space="preserve">Dashboard development: </w:t>
      </w:r>
      <w:r>
        <w:t>Built Sales Overview and Product &amp; Profitability pages.</w:t>
      </w:r>
    </w:p>
    <w:p>
      <w:pPr>
        <w:pStyle w:val="Heading1"/>
      </w:pPr>
      <w:r>
        <w:t>5.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04477"/>
          </w:tcPr>
          <w:p>
            <w:pPr>
              <w:spacing w:after="0"/>
            </w:pPr>
            <w:r/>
            <w:r>
              <w:rPr>
                <w:rFonts w:ascii="Aptos" w:hAnsi="Aptos"/>
                <w:b/>
                <w:color w:val="FFFFFF"/>
                <w:sz w:val="18"/>
              </w:rPr>
              <w:t>KPI</w:t>
            </w:r>
          </w:p>
        </w:tc>
        <w:tc>
          <w:tcPr>
            <w:tcW w:type="dxa" w:w="7200"/>
            <w:vAlign w:val="center"/>
            <w:shd w:fill="104477"/>
          </w:tcPr>
          <w:p>
            <w:pPr>
              <w:spacing w:after="0"/>
            </w:pPr>
            <w:r/>
            <w:r>
              <w:rPr>
                <w:rFonts w:ascii="Aptos" w:hAnsi="Aptos"/>
                <w:b/>
                <w:color w:val="FFFFFF"/>
                <w:sz w:val="18"/>
              </w:rPr>
              <w:t>Definition</w:t>
            </w:r>
          </w:p>
        </w:tc>
      </w:tr>
      <w:tr>
        <w:tc>
          <w:tcPr>
            <w:tcW w:type="dxa" w:w="2592"/>
            <w:vAlign w:val="center"/>
            <w:shd w:fill="F2F6FA"/>
          </w:tcPr>
          <w:p>
            <w:pPr>
              <w:spacing w:after="0"/>
            </w:pPr>
            <w:r/>
            <w:r>
              <w:rPr>
                <w:rFonts w:ascii="Aptos" w:hAnsi="Aptos"/>
                <w:b/>
                <w:color w:val="104477"/>
                <w:sz w:val="17"/>
              </w:rPr>
              <w:t>Total Sales</w:t>
            </w:r>
          </w:p>
        </w:tc>
        <w:tc>
          <w:tcPr>
            <w:tcW w:type="dxa" w:w="7200"/>
            <w:vAlign w:val="center"/>
            <w:shd w:fill="F2F6FA"/>
          </w:tcPr>
          <w:p>
            <w:pPr>
              <w:spacing w:after="0"/>
            </w:pPr>
            <w:r/>
            <w:r>
              <w:rPr>
                <w:rFonts w:ascii="Aptos" w:hAnsi="Aptos"/>
                <w:b w:val="0"/>
                <w:color w:val="263746"/>
                <w:sz w:val="17"/>
              </w:rPr>
              <w:t>Sum of Sales values.</w:t>
            </w:r>
          </w:p>
        </w:tc>
      </w:tr>
      <w:tr>
        <w:tc>
          <w:tcPr>
            <w:tcW w:type="dxa" w:w="2592"/>
            <w:vAlign w:val="center"/>
          </w:tcPr>
          <w:p>
            <w:pPr>
              <w:spacing w:after="0"/>
            </w:pPr>
            <w:r/>
            <w:r>
              <w:rPr>
                <w:rFonts w:ascii="Aptos" w:hAnsi="Aptos"/>
                <w:b/>
                <w:color w:val="104477"/>
                <w:sz w:val="17"/>
              </w:rPr>
              <w:t>Total Profit</w:t>
            </w:r>
          </w:p>
        </w:tc>
        <w:tc>
          <w:tcPr>
            <w:tcW w:type="dxa" w:w="7200"/>
            <w:vAlign w:val="center"/>
          </w:tcPr>
          <w:p>
            <w:pPr>
              <w:spacing w:after="0"/>
            </w:pPr>
            <w:r/>
            <w:r>
              <w:rPr>
                <w:rFonts w:ascii="Aptos" w:hAnsi="Aptos"/>
                <w:b w:val="0"/>
                <w:color w:val="263746"/>
                <w:sz w:val="17"/>
              </w:rPr>
              <w:t>Sum of Profit values.</w:t>
            </w:r>
          </w:p>
        </w:tc>
      </w:tr>
      <w:tr>
        <w:tc>
          <w:tcPr>
            <w:tcW w:type="dxa" w:w="2592"/>
            <w:vAlign w:val="center"/>
            <w:shd w:fill="F2F6FA"/>
          </w:tcPr>
          <w:p>
            <w:pPr>
              <w:spacing w:after="0"/>
            </w:pPr>
            <w:r/>
            <w:r>
              <w:rPr>
                <w:rFonts w:ascii="Aptos" w:hAnsi="Aptos"/>
                <w:b/>
                <w:color w:val="104477"/>
                <w:sz w:val="17"/>
              </w:rPr>
              <w:t>Profit Margin</w:t>
            </w:r>
          </w:p>
        </w:tc>
        <w:tc>
          <w:tcPr>
            <w:tcW w:type="dxa" w:w="7200"/>
            <w:vAlign w:val="center"/>
            <w:shd w:fill="F2F6FA"/>
          </w:tcPr>
          <w:p>
            <w:pPr>
              <w:spacing w:after="0"/>
            </w:pPr>
            <w:r/>
            <w:r>
              <w:rPr>
                <w:rFonts w:ascii="Aptos" w:hAnsi="Aptos"/>
                <w:b w:val="0"/>
                <w:color w:val="263746"/>
                <w:sz w:val="17"/>
              </w:rPr>
              <w:t>Total Profit divided by Total Sales.</w:t>
            </w:r>
          </w:p>
        </w:tc>
      </w:tr>
      <w:tr>
        <w:tc>
          <w:tcPr>
            <w:tcW w:type="dxa" w:w="2592"/>
            <w:vAlign w:val="center"/>
          </w:tcPr>
          <w:p>
            <w:pPr>
              <w:spacing w:after="0"/>
            </w:pPr>
            <w:r/>
            <w:r>
              <w:rPr>
                <w:rFonts w:ascii="Aptos" w:hAnsi="Aptos"/>
                <w:b/>
                <w:color w:val="104477"/>
                <w:sz w:val="17"/>
              </w:rPr>
              <w:t>Total Orders</w:t>
            </w:r>
          </w:p>
        </w:tc>
        <w:tc>
          <w:tcPr>
            <w:tcW w:type="dxa" w:w="7200"/>
            <w:vAlign w:val="center"/>
          </w:tcPr>
          <w:p>
            <w:pPr>
              <w:spacing w:after="0"/>
            </w:pPr>
            <w:r/>
            <w:r>
              <w:rPr>
                <w:rFonts w:ascii="Aptos" w:hAnsi="Aptos"/>
                <w:b w:val="0"/>
                <w:color w:val="263746"/>
                <w:sz w:val="17"/>
              </w:rPr>
              <w:t>Distinct count of Order_ID.</w:t>
            </w:r>
          </w:p>
        </w:tc>
      </w:tr>
      <w:tr>
        <w:tc>
          <w:tcPr>
            <w:tcW w:type="dxa" w:w="2592"/>
            <w:vAlign w:val="center"/>
            <w:shd w:fill="F2F6FA"/>
          </w:tcPr>
          <w:p>
            <w:pPr>
              <w:spacing w:after="0"/>
            </w:pPr>
            <w:r/>
            <w:r>
              <w:rPr>
                <w:rFonts w:ascii="Aptos" w:hAnsi="Aptos"/>
                <w:b/>
                <w:color w:val="104477"/>
                <w:sz w:val="17"/>
              </w:rPr>
              <w:t>Total Customers</w:t>
            </w:r>
          </w:p>
        </w:tc>
        <w:tc>
          <w:tcPr>
            <w:tcW w:type="dxa" w:w="7200"/>
            <w:vAlign w:val="center"/>
            <w:shd w:fill="F2F6FA"/>
          </w:tcPr>
          <w:p>
            <w:pPr>
              <w:spacing w:after="0"/>
            </w:pPr>
            <w:r/>
            <w:r>
              <w:rPr>
                <w:rFonts w:ascii="Aptos" w:hAnsi="Aptos"/>
                <w:b w:val="0"/>
                <w:color w:val="263746"/>
                <w:sz w:val="17"/>
              </w:rPr>
              <w:t>Distinct count of Customer_ID.</w:t>
            </w:r>
          </w:p>
        </w:tc>
      </w:tr>
      <w:tr>
        <w:tc>
          <w:tcPr>
            <w:tcW w:type="dxa" w:w="2592"/>
            <w:vAlign w:val="center"/>
          </w:tcPr>
          <w:p>
            <w:pPr>
              <w:spacing w:after="0"/>
            </w:pPr>
            <w:r/>
            <w:r>
              <w:rPr>
                <w:rFonts w:ascii="Aptos" w:hAnsi="Aptos"/>
                <w:b/>
                <w:color w:val="104477"/>
                <w:sz w:val="17"/>
              </w:rPr>
              <w:t>Total Units Sold</w:t>
            </w:r>
          </w:p>
        </w:tc>
        <w:tc>
          <w:tcPr>
            <w:tcW w:type="dxa" w:w="7200"/>
            <w:vAlign w:val="center"/>
          </w:tcPr>
          <w:p>
            <w:pPr>
              <w:spacing w:after="0"/>
            </w:pPr>
            <w:r/>
            <w:r>
              <w:rPr>
                <w:rFonts w:ascii="Aptos" w:hAnsi="Aptos"/>
                <w:b w:val="0"/>
                <w:color w:val="263746"/>
                <w:sz w:val="17"/>
              </w:rPr>
              <w:t>Sum of Quantity.</w:t>
            </w:r>
          </w:p>
        </w:tc>
      </w:tr>
    </w:tbl>
    <w:p>
      <w:r>
        <w:t>Profit Margin = Total Profit ÷ Total Sales. With the observed totals, the overall profit margin is approximately 12.47%.</w:t>
      </w:r>
    </w:p>
    <w:p>
      <w:pPr>
        <w:pStyle w:val="Heading1"/>
      </w:pPr>
      <w:r>
        <w:t>6. Key Findings</w:t>
      </w:r>
    </w:p>
    <w:p>
      <w:pPr>
        <w:pStyle w:val="Heading2"/>
      </w:pPr>
      <w:r>
        <w:t>6.1 Overall performance</w:t>
      </w:r>
    </w:p>
    <w:p>
      <w:r>
        <w:t>The dataset records total sales of 2,297,200.87 and total profit of 286,397.02, giving an overall profit margin of approximately 12.47%. It contains 5,009 distinct orders, 793 unique customers and 37,873 units sold.</w:t>
      </w:r>
    </w:p>
    <w:p>
      <w:pPr>
        <w:pStyle w:val="Heading2"/>
      </w:pPr>
      <w:r>
        <w:t>6.2 Category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104477"/>
          </w:tcPr>
          <w:p>
            <w:pPr>
              <w:spacing w:after="0"/>
            </w:pPr>
            <w:r/>
            <w:r>
              <w:rPr>
                <w:rFonts w:ascii="Aptos" w:hAnsi="Aptos"/>
                <w:b/>
                <w:color w:val="FFFFFF"/>
                <w:sz w:val="18"/>
              </w:rPr>
              <w:t>Category</w:t>
            </w:r>
          </w:p>
        </w:tc>
        <w:tc>
          <w:tcPr>
            <w:tcW w:type="dxa" w:w="1872"/>
            <w:vAlign w:val="center"/>
            <w:shd w:fill="104477"/>
          </w:tcPr>
          <w:p>
            <w:pPr>
              <w:spacing w:after="0"/>
            </w:pPr>
            <w:r/>
            <w:r>
              <w:rPr>
                <w:rFonts w:ascii="Aptos" w:hAnsi="Aptos"/>
                <w:b/>
                <w:color w:val="FFFFFF"/>
                <w:sz w:val="18"/>
              </w:rPr>
              <w:t>Total Profit</w:t>
            </w:r>
          </w:p>
        </w:tc>
        <w:tc>
          <w:tcPr>
            <w:tcW w:type="dxa" w:w="1584"/>
            <w:vAlign w:val="center"/>
            <w:shd w:fill="104477"/>
          </w:tcPr>
          <w:p>
            <w:pPr>
              <w:spacing w:after="0"/>
            </w:pPr>
            <w:r/>
            <w:r>
              <w:rPr>
                <w:rFonts w:ascii="Aptos" w:hAnsi="Aptos"/>
                <w:b/>
                <w:color w:val="FFFFFF"/>
                <w:sz w:val="18"/>
              </w:rPr>
              <w:t>Profit Margin</w:t>
            </w:r>
          </w:p>
        </w:tc>
        <w:tc>
          <w:tcPr>
            <w:tcW w:type="dxa" w:w="4464"/>
            <w:vAlign w:val="center"/>
            <w:shd w:fill="104477"/>
          </w:tcPr>
          <w:p>
            <w:pPr>
              <w:spacing w:after="0"/>
            </w:pPr>
            <w:r/>
            <w:r>
              <w:rPr>
                <w:rFonts w:ascii="Aptos" w:hAnsi="Aptos"/>
                <w:b/>
                <w:color w:val="FFFFFF"/>
                <w:sz w:val="18"/>
              </w:rPr>
              <w:t>Observation</w:t>
            </w:r>
          </w:p>
        </w:tc>
      </w:tr>
      <w:tr>
        <w:tc>
          <w:tcPr>
            <w:tcW w:type="dxa" w:w="1872"/>
            <w:vAlign w:val="center"/>
            <w:shd w:fill="F2F6FA"/>
          </w:tcPr>
          <w:p>
            <w:pPr>
              <w:spacing w:after="0"/>
            </w:pPr>
            <w:r/>
            <w:r>
              <w:rPr>
                <w:rFonts w:ascii="Aptos" w:hAnsi="Aptos"/>
                <w:b/>
                <w:color w:val="104477"/>
                <w:sz w:val="17"/>
              </w:rPr>
              <w:t>Technology</w:t>
            </w:r>
          </w:p>
        </w:tc>
        <w:tc>
          <w:tcPr>
            <w:tcW w:type="dxa" w:w="1872"/>
            <w:vAlign w:val="center"/>
            <w:shd w:fill="F2F6FA"/>
          </w:tcPr>
          <w:p>
            <w:pPr>
              <w:spacing w:after="0"/>
            </w:pPr>
            <w:r/>
            <w:r>
              <w:rPr>
                <w:rFonts w:ascii="Aptos" w:hAnsi="Aptos"/>
                <w:b w:val="0"/>
                <w:color w:val="263746"/>
                <w:sz w:val="17"/>
              </w:rPr>
              <w:t>145,454.95</w:t>
            </w:r>
          </w:p>
        </w:tc>
        <w:tc>
          <w:tcPr>
            <w:tcW w:type="dxa" w:w="1584"/>
            <w:vAlign w:val="center"/>
            <w:shd w:fill="F2F6FA"/>
          </w:tcPr>
          <w:p>
            <w:pPr>
              <w:spacing w:after="0"/>
            </w:pPr>
            <w:r/>
            <w:r>
              <w:rPr>
                <w:rFonts w:ascii="Aptos" w:hAnsi="Aptos"/>
                <w:b w:val="0"/>
                <w:color w:val="263746"/>
                <w:sz w:val="17"/>
              </w:rPr>
              <w:t>17.40%</w:t>
            </w:r>
          </w:p>
        </w:tc>
        <w:tc>
          <w:tcPr>
            <w:tcW w:type="dxa" w:w="4464"/>
            <w:vAlign w:val="center"/>
            <w:shd w:fill="F2F6FA"/>
          </w:tcPr>
          <w:p>
            <w:pPr>
              <w:spacing w:after="0"/>
            </w:pPr>
            <w:r/>
            <w:r>
              <w:rPr>
                <w:rFonts w:ascii="Aptos" w:hAnsi="Aptos"/>
                <w:b w:val="0"/>
                <w:color w:val="263746"/>
                <w:sz w:val="17"/>
              </w:rPr>
              <w:t>Highest total profit among the three categories.</w:t>
            </w:r>
          </w:p>
        </w:tc>
      </w:tr>
      <w:tr>
        <w:tc>
          <w:tcPr>
            <w:tcW w:type="dxa" w:w="1872"/>
            <w:vAlign w:val="center"/>
          </w:tcPr>
          <w:p>
            <w:pPr>
              <w:spacing w:after="0"/>
            </w:pPr>
            <w:r/>
            <w:r>
              <w:rPr>
                <w:rFonts w:ascii="Aptos" w:hAnsi="Aptos"/>
                <w:b/>
                <w:color w:val="104477"/>
                <w:sz w:val="17"/>
              </w:rPr>
              <w:t>Office Supplies</w:t>
            </w:r>
          </w:p>
        </w:tc>
        <w:tc>
          <w:tcPr>
            <w:tcW w:type="dxa" w:w="1872"/>
            <w:vAlign w:val="center"/>
          </w:tcPr>
          <w:p>
            <w:pPr>
              <w:spacing w:after="0"/>
            </w:pPr>
            <w:r/>
            <w:r>
              <w:rPr>
                <w:rFonts w:ascii="Aptos" w:hAnsi="Aptos"/>
                <w:b w:val="0"/>
                <w:color w:val="263746"/>
                <w:sz w:val="17"/>
              </w:rPr>
              <w:t>122,490.80</w:t>
            </w:r>
          </w:p>
        </w:tc>
        <w:tc>
          <w:tcPr>
            <w:tcW w:type="dxa" w:w="1584"/>
            <w:vAlign w:val="center"/>
          </w:tcPr>
          <w:p>
            <w:pPr>
              <w:spacing w:after="0"/>
            </w:pPr>
            <w:r/>
            <w:r>
              <w:rPr>
                <w:rFonts w:ascii="Aptos" w:hAnsi="Aptos"/>
                <w:b w:val="0"/>
                <w:color w:val="263746"/>
                <w:sz w:val="17"/>
              </w:rPr>
              <w:t>17.04%</w:t>
            </w:r>
          </w:p>
        </w:tc>
        <w:tc>
          <w:tcPr>
            <w:tcW w:type="dxa" w:w="4464"/>
            <w:vAlign w:val="center"/>
          </w:tcPr>
          <w:p>
            <w:pPr>
              <w:spacing w:after="0"/>
            </w:pPr>
            <w:r/>
            <w:r>
              <w:rPr>
                <w:rFonts w:ascii="Aptos" w:hAnsi="Aptos"/>
                <w:b w:val="0"/>
                <w:color w:val="263746"/>
                <w:sz w:val="17"/>
              </w:rPr>
              <w:t>Strong profit contribution; largest count of loss-making records.</w:t>
            </w:r>
          </w:p>
        </w:tc>
      </w:tr>
      <w:tr>
        <w:tc>
          <w:tcPr>
            <w:tcW w:type="dxa" w:w="1872"/>
            <w:vAlign w:val="center"/>
            <w:shd w:fill="F2F6FA"/>
          </w:tcPr>
          <w:p>
            <w:pPr>
              <w:spacing w:after="0"/>
            </w:pPr>
            <w:r/>
            <w:r>
              <w:rPr>
                <w:rFonts w:ascii="Aptos" w:hAnsi="Aptos"/>
                <w:b/>
                <w:color w:val="104477"/>
                <w:sz w:val="17"/>
              </w:rPr>
              <w:t>Furniture</w:t>
            </w:r>
          </w:p>
        </w:tc>
        <w:tc>
          <w:tcPr>
            <w:tcW w:type="dxa" w:w="1872"/>
            <w:vAlign w:val="center"/>
            <w:shd w:fill="F2F6FA"/>
          </w:tcPr>
          <w:p>
            <w:pPr>
              <w:spacing w:after="0"/>
            </w:pPr>
            <w:r/>
            <w:r>
              <w:rPr>
                <w:rFonts w:ascii="Aptos" w:hAnsi="Aptos"/>
                <w:b w:val="0"/>
                <w:color w:val="263746"/>
                <w:sz w:val="17"/>
              </w:rPr>
              <w:t>18,451.27</w:t>
            </w:r>
          </w:p>
        </w:tc>
        <w:tc>
          <w:tcPr>
            <w:tcW w:type="dxa" w:w="1584"/>
            <w:vAlign w:val="center"/>
            <w:shd w:fill="F2F6FA"/>
          </w:tcPr>
          <w:p>
            <w:pPr>
              <w:spacing w:after="0"/>
            </w:pPr>
            <w:r/>
            <w:r>
              <w:rPr>
                <w:rFonts w:ascii="Aptos" w:hAnsi="Aptos"/>
                <w:b w:val="0"/>
                <w:color w:val="263746"/>
                <w:sz w:val="17"/>
              </w:rPr>
              <w:t>2.49%</w:t>
            </w:r>
          </w:p>
        </w:tc>
        <w:tc>
          <w:tcPr>
            <w:tcW w:type="dxa" w:w="4464"/>
            <w:vAlign w:val="center"/>
            <w:shd w:fill="F2F6FA"/>
          </w:tcPr>
          <w:p>
            <w:pPr>
              <w:spacing w:after="0"/>
            </w:pPr>
            <w:r/>
            <w:r>
              <w:rPr>
                <w:rFonts w:ascii="Aptos" w:hAnsi="Aptos"/>
                <w:b w:val="0"/>
                <w:color w:val="263746"/>
                <w:sz w:val="17"/>
              </w:rPr>
              <w:t>Much lower margin than Technology and Office Supplies.</w:t>
            </w:r>
          </w:p>
        </w:tc>
      </w:tr>
    </w:tbl>
    <w:p>
      <w:r>
        <w:t>Interpretation: Furniture warrants closer investigation because its margin is substantially lower than the other categories. This does not mean every Furniture product is unprofitable; sub-category and product-level analysis is needed.</w:t>
      </w:r>
    </w:p>
    <w:p>
      <w:pPr>
        <w:pStyle w:val="Heading2"/>
      </w:pPr>
      <w:r>
        <w:t>6.3 Sub-category profitability</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04477"/>
          </w:tcPr>
          <w:p>
            <w:pPr>
              <w:spacing w:after="0"/>
            </w:pPr>
            <w:r/>
            <w:r>
              <w:rPr>
                <w:rFonts w:ascii="Aptos" w:hAnsi="Aptos"/>
                <w:b/>
                <w:color w:val="FFFFFF"/>
                <w:sz w:val="18"/>
              </w:rPr>
              <w:t>Sub-category</w:t>
            </w:r>
          </w:p>
        </w:tc>
        <w:tc>
          <w:tcPr>
            <w:tcW w:type="dxa" w:w="1872"/>
            <w:vAlign w:val="center"/>
            <w:shd w:fill="104477"/>
          </w:tcPr>
          <w:p>
            <w:pPr>
              <w:spacing w:after="0"/>
            </w:pPr>
            <w:r/>
            <w:r>
              <w:rPr>
                <w:rFonts w:ascii="Aptos" w:hAnsi="Aptos"/>
                <w:b/>
                <w:color w:val="FFFFFF"/>
                <w:sz w:val="18"/>
              </w:rPr>
              <w:t>Total Profit</w:t>
            </w:r>
          </w:p>
        </w:tc>
        <w:tc>
          <w:tcPr>
            <w:tcW w:type="dxa" w:w="5904"/>
            <w:vAlign w:val="center"/>
            <w:shd w:fill="104477"/>
          </w:tcPr>
          <w:p>
            <w:pPr>
              <w:spacing w:after="0"/>
            </w:pPr>
            <w:r/>
            <w:r>
              <w:rPr>
                <w:rFonts w:ascii="Aptos" w:hAnsi="Aptos"/>
                <w:b/>
                <w:color w:val="FFFFFF"/>
                <w:sz w:val="18"/>
              </w:rPr>
              <w:t>Business interpretation</w:t>
            </w:r>
          </w:p>
        </w:tc>
      </w:tr>
      <w:tr>
        <w:tc>
          <w:tcPr>
            <w:tcW w:type="dxa" w:w="1944"/>
            <w:vAlign w:val="center"/>
            <w:shd w:fill="F2F6FA"/>
          </w:tcPr>
          <w:p>
            <w:pPr>
              <w:spacing w:after="0"/>
            </w:pPr>
            <w:r/>
            <w:r>
              <w:rPr>
                <w:rFonts w:ascii="Aptos" w:hAnsi="Aptos"/>
                <w:b/>
                <w:color w:val="104477"/>
                <w:sz w:val="17"/>
              </w:rPr>
              <w:t>Tables</w:t>
            </w:r>
          </w:p>
        </w:tc>
        <w:tc>
          <w:tcPr>
            <w:tcW w:type="dxa" w:w="1872"/>
            <w:vAlign w:val="center"/>
            <w:shd w:fill="F2F6FA"/>
          </w:tcPr>
          <w:p>
            <w:pPr>
              <w:spacing w:after="0"/>
            </w:pPr>
            <w:r/>
            <w:r>
              <w:rPr>
                <w:rFonts w:ascii="Aptos" w:hAnsi="Aptos"/>
                <w:b w:val="0"/>
                <w:color w:val="263746"/>
                <w:sz w:val="17"/>
              </w:rPr>
              <w:t>-17,725.48</w:t>
            </w:r>
          </w:p>
        </w:tc>
        <w:tc>
          <w:tcPr>
            <w:tcW w:type="dxa" w:w="5904"/>
            <w:vAlign w:val="center"/>
            <w:shd w:fill="F2F6FA"/>
          </w:tcPr>
          <w:p>
            <w:pPr>
              <w:spacing w:after="0"/>
            </w:pPr>
            <w:r/>
            <w:r>
              <w:rPr>
                <w:rFonts w:ascii="Aptos" w:hAnsi="Aptos"/>
                <w:b w:val="0"/>
                <w:color w:val="263746"/>
                <w:sz w:val="17"/>
              </w:rPr>
              <w:t>Largest sub-category loss; investigate pricing, discounts, costs and product mix.</w:t>
            </w:r>
          </w:p>
        </w:tc>
      </w:tr>
      <w:tr>
        <w:tc>
          <w:tcPr>
            <w:tcW w:type="dxa" w:w="1944"/>
            <w:vAlign w:val="center"/>
          </w:tcPr>
          <w:p>
            <w:pPr>
              <w:spacing w:after="0"/>
            </w:pPr>
            <w:r/>
            <w:r>
              <w:rPr>
                <w:rFonts w:ascii="Aptos" w:hAnsi="Aptos"/>
                <w:b/>
                <w:color w:val="104477"/>
                <w:sz w:val="17"/>
              </w:rPr>
              <w:t>Bookcases</w:t>
            </w:r>
          </w:p>
        </w:tc>
        <w:tc>
          <w:tcPr>
            <w:tcW w:type="dxa" w:w="1872"/>
            <w:vAlign w:val="center"/>
          </w:tcPr>
          <w:p>
            <w:pPr>
              <w:spacing w:after="0"/>
            </w:pPr>
            <w:r/>
            <w:r>
              <w:rPr>
                <w:rFonts w:ascii="Aptos" w:hAnsi="Aptos"/>
                <w:b w:val="0"/>
                <w:color w:val="263746"/>
                <w:sz w:val="17"/>
              </w:rPr>
              <w:t>-3,472.56</w:t>
            </w:r>
          </w:p>
        </w:tc>
        <w:tc>
          <w:tcPr>
            <w:tcW w:type="dxa" w:w="5904"/>
            <w:vAlign w:val="center"/>
          </w:tcPr>
          <w:p>
            <w:pPr>
              <w:spacing w:after="0"/>
            </w:pPr>
            <w:r/>
            <w:r>
              <w:rPr>
                <w:rFonts w:ascii="Aptos" w:hAnsi="Aptos"/>
                <w:b w:val="0"/>
                <w:color w:val="263746"/>
                <w:sz w:val="17"/>
              </w:rPr>
              <w:t>Loss-making overall; review product-level performance.</w:t>
            </w:r>
          </w:p>
        </w:tc>
      </w:tr>
      <w:tr>
        <w:tc>
          <w:tcPr>
            <w:tcW w:type="dxa" w:w="1944"/>
            <w:vAlign w:val="center"/>
            <w:shd w:fill="F2F6FA"/>
          </w:tcPr>
          <w:p>
            <w:pPr>
              <w:spacing w:after="0"/>
            </w:pPr>
            <w:r/>
            <w:r>
              <w:rPr>
                <w:rFonts w:ascii="Aptos" w:hAnsi="Aptos"/>
                <w:b/>
                <w:color w:val="104477"/>
                <w:sz w:val="17"/>
              </w:rPr>
              <w:t>Supplies</w:t>
            </w:r>
          </w:p>
        </w:tc>
        <w:tc>
          <w:tcPr>
            <w:tcW w:type="dxa" w:w="1872"/>
            <w:vAlign w:val="center"/>
            <w:shd w:fill="F2F6FA"/>
          </w:tcPr>
          <w:p>
            <w:pPr>
              <w:spacing w:after="0"/>
            </w:pPr>
            <w:r/>
            <w:r>
              <w:rPr>
                <w:rFonts w:ascii="Aptos" w:hAnsi="Aptos"/>
                <w:b w:val="0"/>
                <w:color w:val="263746"/>
                <w:sz w:val="17"/>
              </w:rPr>
              <w:t>-1,189.10</w:t>
            </w:r>
          </w:p>
        </w:tc>
        <w:tc>
          <w:tcPr>
            <w:tcW w:type="dxa" w:w="5904"/>
            <w:vAlign w:val="center"/>
            <w:shd w:fill="F2F6FA"/>
          </w:tcPr>
          <w:p>
            <w:pPr>
              <w:spacing w:after="0"/>
            </w:pPr>
            <w:r/>
            <w:r>
              <w:rPr>
                <w:rFonts w:ascii="Aptos" w:hAnsi="Aptos"/>
                <w:b w:val="0"/>
                <w:color w:val="263746"/>
                <w:sz w:val="17"/>
              </w:rPr>
              <w:t>Loss-making overall, although individual products may vary.</w:t>
            </w:r>
          </w:p>
        </w:tc>
      </w:tr>
      <w:tr>
        <w:tc>
          <w:tcPr>
            <w:tcW w:type="dxa" w:w="1944"/>
            <w:vAlign w:val="center"/>
          </w:tcPr>
          <w:p>
            <w:pPr>
              <w:spacing w:after="0"/>
            </w:pPr>
            <w:r/>
            <w:r>
              <w:rPr>
                <w:rFonts w:ascii="Aptos" w:hAnsi="Aptos"/>
                <w:b/>
                <w:color w:val="104477"/>
                <w:sz w:val="17"/>
              </w:rPr>
              <w:t>Copiers</w:t>
            </w:r>
          </w:p>
        </w:tc>
        <w:tc>
          <w:tcPr>
            <w:tcW w:type="dxa" w:w="1872"/>
            <w:vAlign w:val="center"/>
          </w:tcPr>
          <w:p>
            <w:pPr>
              <w:spacing w:after="0"/>
            </w:pPr>
            <w:r/>
            <w:r>
              <w:rPr>
                <w:rFonts w:ascii="Aptos" w:hAnsi="Aptos"/>
                <w:b w:val="0"/>
                <w:color w:val="263746"/>
                <w:sz w:val="17"/>
              </w:rPr>
              <w:t>55,617.82</w:t>
            </w:r>
          </w:p>
        </w:tc>
        <w:tc>
          <w:tcPr>
            <w:tcW w:type="dxa" w:w="5904"/>
            <w:vAlign w:val="center"/>
          </w:tcPr>
          <w:p>
            <w:pPr>
              <w:spacing w:after="0"/>
            </w:pPr>
            <w:r/>
            <w:r>
              <w:rPr>
                <w:rFonts w:ascii="Aptos" w:hAnsi="Aptos"/>
                <w:b w:val="0"/>
                <w:color w:val="263746"/>
                <w:sz w:val="17"/>
              </w:rPr>
              <w:t>Strong positive profit contribution.</w:t>
            </w:r>
          </w:p>
        </w:tc>
      </w:tr>
      <w:tr>
        <w:tc>
          <w:tcPr>
            <w:tcW w:type="dxa" w:w="1944"/>
            <w:vAlign w:val="center"/>
            <w:shd w:fill="F2F6FA"/>
          </w:tcPr>
          <w:p>
            <w:pPr>
              <w:spacing w:after="0"/>
            </w:pPr>
            <w:r/>
            <w:r>
              <w:rPr>
                <w:rFonts w:ascii="Aptos" w:hAnsi="Aptos"/>
                <w:b/>
                <w:color w:val="104477"/>
                <w:sz w:val="17"/>
              </w:rPr>
              <w:t>Paper</w:t>
            </w:r>
          </w:p>
        </w:tc>
        <w:tc>
          <w:tcPr>
            <w:tcW w:type="dxa" w:w="1872"/>
            <w:vAlign w:val="center"/>
            <w:shd w:fill="F2F6FA"/>
          </w:tcPr>
          <w:p>
            <w:pPr>
              <w:spacing w:after="0"/>
            </w:pPr>
            <w:r/>
            <w:r>
              <w:rPr>
                <w:rFonts w:ascii="Aptos" w:hAnsi="Aptos"/>
                <w:b w:val="0"/>
                <w:color w:val="263746"/>
                <w:sz w:val="17"/>
              </w:rPr>
              <w:t>34,053.57</w:t>
            </w:r>
          </w:p>
        </w:tc>
        <w:tc>
          <w:tcPr>
            <w:tcW w:type="dxa" w:w="5904"/>
            <w:vAlign w:val="center"/>
            <w:shd w:fill="F2F6FA"/>
          </w:tcPr>
          <w:p>
            <w:pPr>
              <w:spacing w:after="0"/>
            </w:pPr>
            <w:r/>
            <w:r>
              <w:rPr>
                <w:rFonts w:ascii="Aptos" w:hAnsi="Aptos"/>
                <w:b w:val="0"/>
                <w:color w:val="263746"/>
                <w:sz w:val="17"/>
              </w:rPr>
              <w:t>Strong profit margin reported at approximately 43.39%.</w:t>
            </w:r>
          </w:p>
        </w:tc>
      </w:tr>
    </w:tbl>
    <w:p>
      <w:pPr>
        <w:pStyle w:val="Heading2"/>
      </w:pPr>
      <w:r>
        <w:t>6.4 Regional performance</w:t>
      </w:r>
    </w:p>
    <w:p>
      <w:r>
        <w:t>The regional analysis showed West with the highest sales and a reported profit margin of approximately 14.94%, followed by East at approximately 13.48%. South recorded approximately 11.93%, while Central had the lowest reported margin at approximately 7.92%.</w:t>
      </w:r>
    </w:p>
    <w:p>
      <w:r>
        <w:t>These differences suggest that regional performance should be reviewed using both sales and profit, rather than sales alone. Central is a reasonable candidate for further investigation into product mix, discounting and transaction-level profitability.</w:t>
      </w:r>
    </w:p>
    <w:p>
      <w:pPr>
        <w:pStyle w:val="Heading2"/>
      </w:pPr>
      <w:r>
        <w:t>6.5 Discount patterns</w:t>
      </w:r>
    </w:p>
    <w:p>
      <w:r>
        <w:t>Profitability varied by discount level. For Tables, reported margin was positive at 0% discount (about 18.55%), negative at 20% (about -0.67%) and much lower at 50% (about -63%). Bookcases also showed negative margins at higher discount levels, including approximately -12.98% at 30% and -58.23% at 50%. Supplies at 20% discount showed a negative margin of approximately -19.24% in the analysed grouping.</w:t>
      </w:r>
    </w:p>
    <w:p>
      <w:r>
        <w:t>These are observed associations, not evidence that discounts alone caused losses. Transaction volume, product mix, cost and other factors may also affect results. Very negative margins at some high discount levels should be interpreted alongside the number of records in each group.</w:t>
      </w:r>
    </w:p>
    <w:p>
      <w:pPr>
        <w:pStyle w:val="Heading2"/>
      </w:pPr>
      <w:r>
        <w:t>6.6 Loss-making products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0"/>
            <w:vAlign w:val="center"/>
            <w:shd w:fill="104477"/>
          </w:tcPr>
          <w:p>
            <w:pPr>
              <w:spacing w:after="0"/>
            </w:pPr>
            <w:r/>
            <w:r>
              <w:rPr>
                <w:rFonts w:ascii="Aptos" w:hAnsi="Aptos"/>
                <w:b/>
                <w:color w:val="FFFFFF"/>
                <w:sz w:val="18"/>
              </w:rPr>
              <w:t>Product</w:t>
            </w:r>
          </w:p>
        </w:tc>
        <w:tc>
          <w:tcPr>
            <w:tcW w:type="dxa" w:w="1080"/>
            <w:vAlign w:val="center"/>
            <w:shd w:fill="104477"/>
          </w:tcPr>
          <w:p>
            <w:pPr>
              <w:spacing w:after="0"/>
            </w:pPr>
            <w:r/>
            <w:r>
              <w:rPr>
                <w:rFonts w:ascii="Aptos" w:hAnsi="Aptos"/>
                <w:b/>
                <w:color w:val="FFFFFF"/>
                <w:sz w:val="18"/>
              </w:rPr>
              <w:t>Records</w:t>
            </w:r>
          </w:p>
        </w:tc>
        <w:tc>
          <w:tcPr>
            <w:tcW w:type="dxa" w:w="1728"/>
            <w:vAlign w:val="center"/>
            <w:shd w:fill="104477"/>
          </w:tcPr>
          <w:p>
            <w:pPr>
              <w:spacing w:after="0"/>
            </w:pPr>
            <w:r/>
            <w:r>
              <w:rPr>
                <w:rFonts w:ascii="Aptos" w:hAnsi="Aptos"/>
                <w:b/>
                <w:color w:val="FFFFFF"/>
                <w:sz w:val="18"/>
              </w:rPr>
              <w:t>Total Profit</w:t>
            </w:r>
          </w:p>
        </w:tc>
        <w:tc>
          <w:tcPr>
            <w:tcW w:type="dxa" w:w="1728"/>
            <w:vAlign w:val="center"/>
            <w:shd w:fill="104477"/>
          </w:tcPr>
          <w:p>
            <w:pPr>
              <w:spacing w:after="0"/>
            </w:pPr>
            <w:r/>
            <w:r>
              <w:rPr>
                <w:rFonts w:ascii="Aptos" w:hAnsi="Aptos"/>
                <w:b/>
                <w:color w:val="FFFFFF"/>
                <w:sz w:val="18"/>
              </w:rPr>
              <w:t>Average Discount</w:t>
            </w:r>
          </w:p>
        </w:tc>
      </w:tr>
      <w:tr>
        <w:tc>
          <w:tcPr>
            <w:tcW w:type="dxa" w:w="4320"/>
            <w:vAlign w:val="center"/>
            <w:shd w:fill="F2F6FA"/>
          </w:tcPr>
          <w:p>
            <w:pPr>
              <w:spacing w:after="0"/>
            </w:pPr>
            <w:r/>
            <w:r>
              <w:rPr>
                <w:rFonts w:ascii="Aptos" w:hAnsi="Aptos"/>
                <w:b/>
                <w:color w:val="104477"/>
                <w:sz w:val="17"/>
              </w:rPr>
              <w:t>Cubify Cube 3D Printer Double Head Print</w:t>
            </w:r>
          </w:p>
        </w:tc>
        <w:tc>
          <w:tcPr>
            <w:tcW w:type="dxa" w:w="1080"/>
            <w:vAlign w:val="center"/>
            <w:shd w:fill="F2F6FA"/>
          </w:tcPr>
          <w:p>
            <w:pPr>
              <w:spacing w:after="0"/>
            </w:pPr>
            <w:r/>
            <w:r>
              <w:rPr>
                <w:rFonts w:ascii="Aptos" w:hAnsi="Aptos"/>
                <w:b w:val="0"/>
                <w:color w:val="263746"/>
                <w:sz w:val="17"/>
              </w:rPr>
              <w:t>3</w:t>
            </w:r>
          </w:p>
        </w:tc>
        <w:tc>
          <w:tcPr>
            <w:tcW w:type="dxa" w:w="1728"/>
            <w:vAlign w:val="center"/>
            <w:shd w:fill="F2F6FA"/>
          </w:tcPr>
          <w:p>
            <w:pPr>
              <w:spacing w:after="0"/>
            </w:pPr>
            <w:r/>
            <w:r>
              <w:rPr>
                <w:rFonts w:ascii="Aptos" w:hAnsi="Aptos"/>
                <w:b w:val="0"/>
                <w:color w:val="263746"/>
                <w:sz w:val="17"/>
              </w:rPr>
              <w:t>-8,789.97</w:t>
            </w:r>
          </w:p>
        </w:tc>
        <w:tc>
          <w:tcPr>
            <w:tcW w:type="dxa" w:w="1728"/>
            <w:vAlign w:val="center"/>
            <w:shd w:fill="F2F6FA"/>
          </w:tcPr>
          <w:p>
            <w:pPr>
              <w:spacing w:after="0"/>
            </w:pPr>
            <w:r/>
            <w:r>
              <w:rPr>
                <w:rFonts w:ascii="Aptos" w:hAnsi="Aptos"/>
                <w:b w:val="0"/>
                <w:color w:val="263746"/>
                <w:sz w:val="17"/>
              </w:rPr>
              <w:t>53.33%</w:t>
            </w:r>
          </w:p>
        </w:tc>
      </w:tr>
      <w:tr>
        <w:tc>
          <w:tcPr>
            <w:tcW w:type="dxa" w:w="4320"/>
            <w:vAlign w:val="center"/>
          </w:tcPr>
          <w:p>
            <w:pPr>
              <w:spacing w:after="0"/>
            </w:pPr>
            <w:r/>
            <w:r>
              <w:rPr>
                <w:rFonts w:ascii="Aptos" w:hAnsi="Aptos"/>
                <w:b/>
                <w:color w:val="104477"/>
                <w:sz w:val="17"/>
              </w:rPr>
              <w:t>Lexmark MX611dhe Monochrome Laser Printer</w:t>
            </w:r>
          </w:p>
        </w:tc>
        <w:tc>
          <w:tcPr>
            <w:tcW w:type="dxa" w:w="1080"/>
            <w:vAlign w:val="center"/>
          </w:tcPr>
          <w:p>
            <w:pPr>
              <w:spacing w:after="0"/>
            </w:pPr>
            <w:r/>
            <w:r>
              <w:rPr>
                <w:rFonts w:ascii="Aptos" w:hAnsi="Aptos"/>
                <w:b w:val="0"/>
                <w:color w:val="263746"/>
                <w:sz w:val="17"/>
              </w:rPr>
              <w:t>4</w:t>
            </w:r>
          </w:p>
        </w:tc>
        <w:tc>
          <w:tcPr>
            <w:tcW w:type="dxa" w:w="1728"/>
            <w:vAlign w:val="center"/>
          </w:tcPr>
          <w:p>
            <w:pPr>
              <w:spacing w:after="0"/>
            </w:pPr>
            <w:r/>
            <w:r>
              <w:rPr>
                <w:rFonts w:ascii="Aptos" w:hAnsi="Aptos"/>
                <w:b w:val="0"/>
                <w:color w:val="263746"/>
                <w:sz w:val="17"/>
              </w:rPr>
              <w:t>-4,589.97</w:t>
            </w:r>
          </w:p>
        </w:tc>
        <w:tc>
          <w:tcPr>
            <w:tcW w:type="dxa" w:w="1728"/>
            <w:vAlign w:val="center"/>
          </w:tcPr>
          <w:p>
            <w:pPr>
              <w:spacing w:after="0"/>
            </w:pPr>
            <w:r/>
            <w:r>
              <w:rPr>
                <w:rFonts w:ascii="Aptos" w:hAnsi="Aptos"/>
                <w:b w:val="0"/>
                <w:color w:val="263746"/>
                <w:sz w:val="17"/>
              </w:rPr>
              <w:t>40.00%</w:t>
            </w:r>
          </w:p>
        </w:tc>
      </w:tr>
      <w:tr>
        <w:tc>
          <w:tcPr>
            <w:tcW w:type="dxa" w:w="4320"/>
            <w:vAlign w:val="center"/>
            <w:shd w:fill="F2F6FA"/>
          </w:tcPr>
          <w:p>
            <w:pPr>
              <w:spacing w:after="0"/>
            </w:pPr>
            <w:r/>
            <w:r>
              <w:rPr>
                <w:rFonts w:ascii="Aptos" w:hAnsi="Aptos"/>
                <w:b/>
                <w:color w:val="104477"/>
                <w:sz w:val="17"/>
              </w:rPr>
              <w:t>Cubify CubeX 3D Printer Triple Head</w:t>
            </w:r>
          </w:p>
        </w:tc>
        <w:tc>
          <w:tcPr>
            <w:tcW w:type="dxa" w:w="1080"/>
            <w:vAlign w:val="center"/>
            <w:shd w:fill="F2F6FA"/>
          </w:tcPr>
          <w:p>
            <w:pPr>
              <w:spacing w:after="0"/>
            </w:pPr>
            <w:r/>
            <w:r>
              <w:rPr>
                <w:rFonts w:ascii="Aptos" w:hAnsi="Aptos"/>
                <w:b w:val="0"/>
                <w:color w:val="263746"/>
                <w:sz w:val="17"/>
              </w:rPr>
              <w:t>1</w:t>
            </w:r>
          </w:p>
        </w:tc>
        <w:tc>
          <w:tcPr>
            <w:tcW w:type="dxa" w:w="1728"/>
            <w:vAlign w:val="center"/>
            <w:shd w:fill="F2F6FA"/>
          </w:tcPr>
          <w:p>
            <w:pPr>
              <w:spacing w:after="0"/>
            </w:pPr>
            <w:r/>
            <w:r>
              <w:rPr>
                <w:rFonts w:ascii="Aptos" w:hAnsi="Aptos"/>
                <w:b w:val="0"/>
                <w:color w:val="263746"/>
                <w:sz w:val="17"/>
              </w:rPr>
              <w:t>-3,839.99</w:t>
            </w:r>
          </w:p>
        </w:tc>
        <w:tc>
          <w:tcPr>
            <w:tcW w:type="dxa" w:w="1728"/>
            <w:vAlign w:val="center"/>
            <w:shd w:fill="F2F6FA"/>
          </w:tcPr>
          <w:p>
            <w:pPr>
              <w:spacing w:after="0"/>
            </w:pPr>
            <w:r/>
            <w:r>
              <w:rPr>
                <w:rFonts w:ascii="Aptos" w:hAnsi="Aptos"/>
                <w:b w:val="0"/>
                <w:color w:val="263746"/>
                <w:sz w:val="17"/>
              </w:rPr>
              <w:t>50.00%</w:t>
            </w:r>
          </w:p>
        </w:tc>
      </w:tr>
    </w:tbl>
    <w:p>
      <w:r>
        <w:t>The number of records for these products is small. Treat them as candidates for review, not conclusive evidence of persistent product-level underperformance.</w:t>
      </w:r>
    </w:p>
    <w:p>
      <w:pPr>
        <w:pStyle w:val="Heading1"/>
      </w:pPr>
      <w:r>
        <w:t>7. Business Recommendations</w:t>
      </w:r>
    </w:p>
    <w:p>
      <w:pPr>
        <w:pStyle w:val="ListNumber"/>
        <w:spacing w:after="80"/>
      </w:pPr>
      <w:r>
        <w:rPr>
          <w:b/>
        </w:rPr>
        <w:t xml:space="preserve">Review Tables profitability first: </w:t>
      </w:r>
      <w:r>
        <w:t>Investigate pricing, discounts, shipping/handling costs if available, and the mix of Tables products. Tables has the largest sub-category loss in the analysed data.</w:t>
      </w:r>
    </w:p>
    <w:p>
      <w:pPr>
        <w:pStyle w:val="ListNumber"/>
        <w:spacing w:after="80"/>
      </w:pPr>
      <w:r>
        <w:rPr>
          <w:b/>
        </w:rPr>
        <w:t xml:space="preserve">Review Bookcases and Supplies: </w:t>
      </w:r>
      <w:r>
        <w:t>Break down these sub-categories by product, region and discount level to determine whether losses are concentrated in a small number of items.</w:t>
      </w:r>
    </w:p>
    <w:p>
      <w:pPr>
        <w:pStyle w:val="ListNumber"/>
        <w:spacing w:after="80"/>
      </w:pPr>
      <w:r>
        <w:rPr>
          <w:b/>
        </w:rPr>
        <w:t xml:space="preserve">Validate high-discount transactions: </w:t>
      </w:r>
      <w:r>
        <w:t>Review high-discount orders and compare sales, profit and transaction counts. Avoid blanket discount restrictions until the impact has been validated.</w:t>
      </w:r>
    </w:p>
    <w:p>
      <w:pPr>
        <w:pStyle w:val="ListNumber"/>
        <w:spacing w:after="80"/>
      </w:pPr>
      <w:r>
        <w:rPr>
          <w:b/>
        </w:rPr>
        <w:t xml:space="preserve">Investigate regional differences: </w:t>
      </w:r>
      <w:r>
        <w:t>Review Central's lower reported margin and compare product mix, discounts and sub-category performance with stronger regions.</w:t>
      </w:r>
    </w:p>
    <w:p>
      <w:pPr>
        <w:pStyle w:val="ListNumber"/>
        <w:spacing w:after="80"/>
      </w:pPr>
      <w:r>
        <w:rPr>
          <w:b/>
        </w:rPr>
        <w:t xml:space="preserve">Use a repeatable loss-product review: </w:t>
      </w:r>
      <w:r>
        <w:t>Create a periodic report of products with negative total profit, including record count, sales, profit and average discount.</w:t>
      </w:r>
    </w:p>
    <w:p>
      <w:pPr>
        <w:pStyle w:val="ListNumber"/>
        <w:spacing w:after="80"/>
      </w:pPr>
      <w:r>
        <w:rPr>
          <w:b/>
        </w:rPr>
        <w:t xml:space="preserve">Monitor margin alongside sales: </w:t>
      </w:r>
      <w:r>
        <w:t>Use profit and profit margin alongside sales KPIs so high revenue is not mistaken for strong profitability.</w:t>
      </w:r>
    </w:p>
    <w:p>
      <w:pPr>
        <w:pStyle w:val="Heading1"/>
      </w:pPr>
      <w:r>
        <w:t>8. Dashboard Design</w:t>
      </w:r>
    </w:p>
    <w:p>
      <w:pPr>
        <w:pStyle w:val="Heading2"/>
      </w:pPr>
      <w:r>
        <w:t>Page 1 — Sales Overview</w:t>
      </w:r>
    </w:p>
    <w:p>
      <w:pPr>
        <w:pStyle w:val="ListBullet"/>
        <w:spacing w:after="40"/>
      </w:pPr>
      <w:r>
        <w:t>KPI cards: Total Sales, Total Profit, Profit Margin, Total Orders, Total Customers and Total Units Sold.</w:t>
      </w:r>
    </w:p>
    <w:p>
      <w:pPr>
        <w:pStyle w:val="ListBullet"/>
        <w:spacing w:after="40"/>
      </w:pPr>
      <w:r>
        <w:t>Line chart: Total Sales by Year and Month.</w:t>
      </w:r>
    </w:p>
    <w:p>
      <w:pPr>
        <w:pStyle w:val="ListBullet"/>
        <w:spacing w:after="40"/>
      </w:pPr>
      <w:r>
        <w:t>Bar chart: Total Sales by Region.</w:t>
      </w:r>
    </w:p>
    <w:p>
      <w:pPr>
        <w:pStyle w:val="ListBullet"/>
        <w:spacing w:after="40"/>
      </w:pPr>
      <w:r>
        <w:t>Bar chart: Total Profit by Region.</w:t>
      </w:r>
    </w:p>
    <w:p>
      <w:pPr>
        <w:pStyle w:val="ListBullet"/>
        <w:spacing w:after="40"/>
      </w:pPr>
      <w:r>
        <w:t>Column chart: Total Sales by Category.</w:t>
      </w:r>
    </w:p>
    <w:p>
      <w:pPr>
        <w:pStyle w:val="ListBullet"/>
        <w:spacing w:after="40"/>
      </w:pPr>
      <w:r>
        <w:t>Reset Filters button linked to a bookmark.</w:t>
      </w:r>
    </w:p>
    <w:p>
      <w:pPr>
        <w:pStyle w:val="Heading2"/>
      </w:pPr>
      <w:r>
        <w:t>Page 2 — Product &amp; Profitability</w:t>
      </w:r>
    </w:p>
    <w:p>
      <w:pPr>
        <w:pStyle w:val="ListBullet"/>
        <w:spacing w:after="40"/>
      </w:pPr>
      <w:r>
        <w:t>Horizontal bar chart: Total Profit by Sub-Category, including positive and negative values.</w:t>
      </w:r>
    </w:p>
    <w:p>
      <w:pPr>
        <w:pStyle w:val="ListBullet"/>
        <w:spacing w:after="40"/>
      </w:pPr>
      <w:r>
        <w:t>Column chart: Profit Margin by Discount Level.</w:t>
      </w:r>
    </w:p>
    <w:p>
      <w:pPr>
        <w:pStyle w:val="ListBullet"/>
        <w:spacing w:after="40"/>
      </w:pPr>
      <w:r>
        <w:t>Table: Loss-Making Products, showing product name, sales, total profit and average discount.</w:t>
      </w:r>
    </w:p>
    <w:p>
      <w:r>
        <w:t>The two-page structure separates the high-level performance overview from the detailed investigation of profitability. The Reset Filters button returns the report to its saved default state.</w:t>
      </w:r>
    </w:p>
    <w:p>
      <w:pPr>
        <w:pStyle w:val="Heading1"/>
      </w:pPr>
      <w:r>
        <w:t>9. Data Quality and Limitations</w:t>
      </w:r>
    </w:p>
    <w:p>
      <w:pPr>
        <w:pStyle w:val="Heading2"/>
      </w:pPr>
      <w:r>
        <w:t>Checks completed</w:t>
      </w:r>
    </w:p>
    <w:p>
      <w:pPr>
        <w:pStyle w:val="ListBullet"/>
        <w:spacing w:after="40"/>
      </w:pPr>
      <w:r>
        <w:t>Confirmed 9,994 records in dbo.DataSet.</w:t>
      </w:r>
    </w:p>
    <w:p>
      <w:pPr>
        <w:pStyle w:val="ListBullet"/>
        <w:spacing w:after="40"/>
      </w:pPr>
      <w:r>
        <w:t>Confirmed 9,994 distinct Row_ID values, with no duplicate Row_IDs.</w:t>
      </w:r>
    </w:p>
    <w:p>
      <w:pPr>
        <w:pStyle w:val="ListBullet"/>
        <w:spacing w:after="40"/>
      </w:pPr>
      <w:r>
        <w:t>Checked key fields for missing or blank values; none were found in reviewed fields including Sales, Profit, Quantity, Discount, dates, customer/product IDs, category, sub-category, region and shipping mode.</w:t>
      </w:r>
    </w:p>
    <w:p>
      <w:pPr>
        <w:pStyle w:val="ListBullet"/>
        <w:spacing w:after="40"/>
      </w:pPr>
      <w:r>
        <w:t>Sales, Profit, Quantity and Discount were imported as text in SQL Server; TRY_CONVERT checks returned no conversion failures for reviewed values.</w:t>
      </w:r>
    </w:p>
    <w:p>
      <w:pPr>
        <w:pStyle w:val="ListBullet"/>
        <w:spacing w:after="40"/>
      </w:pPr>
      <w:r>
        <w:t>Identified two fully identical business records with Row_IDs 3406 and 3407. These were retained because the repeated transaction line could be legitimate; it should be documented and validated rather than automatically deleted.</w:t>
      </w:r>
    </w:p>
    <w:p>
      <w:pPr>
        <w:pStyle w:val="Heading2"/>
      </w:pPr>
      <w:r>
        <w:t>Limitations</w:t>
      </w:r>
    </w:p>
    <w:p>
      <w:pPr>
        <w:pStyle w:val="ListBullet"/>
        <w:spacing w:after="40"/>
      </w:pPr>
      <w:r>
        <w:t>The dataset does not provide every cost component or operational context needed to explain why a product or region is unprofitable.</w:t>
      </w:r>
    </w:p>
    <w:p>
      <w:pPr>
        <w:pStyle w:val="ListBullet"/>
        <w:spacing w:after="40"/>
      </w:pPr>
      <w:r>
        <w:t>The analysis is descriptive and does not establish causality.</w:t>
      </w:r>
    </w:p>
    <w:p>
      <w:pPr>
        <w:pStyle w:val="ListBullet"/>
        <w:spacing w:after="40"/>
      </w:pPr>
      <w:r>
        <w:t>Some product-level examples have very small record counts and may not represent recurring performance.</w:t>
      </w:r>
    </w:p>
    <w:p>
      <w:pPr>
        <w:pStyle w:val="ListBullet"/>
        <w:spacing w:after="40"/>
      </w:pPr>
      <w:r>
        <w:t>Profit margin by discount level can be unstable when a discount group contains few transactions; check group counts and underlying values before policy decisions.</w:t>
      </w:r>
    </w:p>
    <w:p>
      <w:pPr>
        <w:pStyle w:val="ListBullet"/>
        <w:spacing w:after="40"/>
      </w:pPr>
      <w:r>
        <w:t>Validate figures against source data and business definitions before use in a live retail environment.</w:t>
      </w:r>
    </w:p>
    <w:p>
      <w:pPr>
        <w:pStyle w:val="Heading1"/>
      </w:pPr>
      <w:r>
        <w:t>10. Conclusion</w:t>
      </w:r>
    </w:p>
    <w:p>
      <w:r>
        <w:t>This project demonstrates a practical business-analysis workflow: importing and validating transaction data in SQL Server, calculating performance metrics, analysing patterns by business dimension, and presenting the results in Power BI.</w:t>
      </w:r>
    </w:p>
    <w:p>
      <w:r>
        <w:t>The main takeaway is that sales performance and profitability should be assessed together. Results point to Tables, Bookcases and Supplies as sub-categories for further review, highlight differences between regions, and identify product and discount groups that merit closer examination. A business should validate these patterns with more detailed cost and operational information before implementing changes.</w:t>
      </w:r>
    </w:p>
    <w:p>
      <w:pPr>
        <w:pStyle w:val="Heading1"/>
      </w:pPr>
      <w:r>
        <w:t>Appendix A: Example SQL Queries</w:t>
      </w:r>
    </w:p>
    <w:p>
      <w:pPr>
        <w:pStyle w:val="Heading2"/>
      </w:pPr>
      <w:r>
        <w:t>A.1 Overall performance KPIs</w:t>
      </w:r>
    </w:p>
    <w:p>
      <w:pPr>
        <w:spacing w:after="140"/>
        <w:ind w:left="216"/>
      </w:pPr>
      <w:r>
        <w:rPr>
          <w:rFonts w:ascii="Consolas" w:hAnsi="Consolas"/>
          <w:color w:val="263746"/>
          <w:sz w:val="16"/>
        </w:rPr>
        <w:t>SELECT</w:t>
        <w:br/>
        <w:t xml:space="preserve">    COUNT(*) AS Total_Records,</w:t>
        <w:br/>
        <w:t xml:space="preserve">    COUNT(DISTINCT Order_ID) AS Total_Orders,</w:t>
        <w:br/>
        <w:t xml:space="preserve">    COUNT(DISTINCT Customer_ID) AS Unique_Customers,</w:t>
        <w:br/>
        <w:t xml:space="preserve">    SUM(TRY_CONVERT(decimal(18,3), Sales)) AS Total_Sales,</w:t>
        <w:br/>
        <w:t xml:space="preserve">    SUM(TRY_CONVERT(decimal(18,4), Profit)) AS Total_Profit,</w:t>
        <w:br/>
        <w:t xml:space="preserve">    SUM(TRY_CONVERT(int, Quantity)) AS Total_Units_Sold,</w:t>
        <w:br/>
        <w:t xml:space="preserve">    AVG(TRY_CONVERT(decimal(18,4), Discount)) AS Average_Discount,</w:t>
        <w:br/>
        <w:t xml:space="preserve">    SUM(CASE WHEN TRY_CONVERT(decimal(18,4), Profit) &lt; 0</w:t>
        <w:br/>
        <w:t xml:space="preserve">             THEN 1 ELSE 0 END) AS Loss_Making_Records</w:t>
        <w:br/>
        <w:t>FROM dbo.DataSet;</w:t>
      </w:r>
    </w:p>
    <w:p>
      <w:pPr>
        <w:pStyle w:val="Heading2"/>
      </w:pPr>
      <w:r>
        <w:t>A.2 Profit by sub-category</w:t>
      </w:r>
    </w:p>
    <w:p>
      <w:pPr>
        <w:spacing w:after="140"/>
        <w:ind w:left="216"/>
      </w:pPr>
      <w:r>
        <w:rPr>
          <w:rFonts w:ascii="Consolas" w:hAnsi="Consolas"/>
          <w:color w:val="263746"/>
          <w:sz w:val="16"/>
        </w:rPr>
        <w:t>SELECT</w:t>
        <w:br/>
        <w:t xml:space="preserve">    Sub_Category,</w:t>
        <w:br/>
        <w:t xml:space="preserve">    SUM(TRY_CONVERT(decimal(18,4), Sales)) AS Total_Sales,</w:t>
        <w:br/>
        <w:t xml:space="preserve">    SUM(TRY_CONVERT(decimal(18,4), Profit)) AS Total_Profit,</w:t>
        <w:br/>
        <w:t xml:space="preserve">    SUM(TRY_CONVERT(decimal(18,4), Profit))</w:t>
        <w:br/>
        <w:t xml:space="preserve">      / NULLIF(SUM(TRY_CONVERT(decimal(18,4), Sales)), 0) AS Profit_Margin</w:t>
        <w:br/>
        <w:t>FROM dbo.DataSet</w:t>
        <w:br/>
        <w:t>GROUP BY Sub_Category</w:t>
        <w:br/>
        <w:t>ORDER BY Total_Profit ASC;</w:t>
      </w:r>
    </w:p>
    <w:p>
      <w:pPr>
        <w:pStyle w:val="Heading2"/>
      </w:pPr>
      <w:r>
        <w:t>A.3 Product-level loss review</w:t>
      </w:r>
    </w:p>
    <w:p>
      <w:pPr>
        <w:spacing w:after="140"/>
        <w:ind w:left="216"/>
      </w:pPr>
      <w:r>
        <w:rPr>
          <w:rFonts w:ascii="Consolas" w:hAnsi="Consolas"/>
          <w:color w:val="263746"/>
          <w:sz w:val="16"/>
        </w:rPr>
        <w:t>SELECT</w:t>
        <w:br/>
        <w:t xml:space="preserve">    Product_Name,</w:t>
        <w:br/>
        <w:t xml:space="preserve">    COUNT(*) AS Record_Count,</w:t>
        <w:br/>
        <w:t xml:space="preserve">    SUM(TRY_CONVERT(decimal(18,4), Sales)) AS Total_Sales,</w:t>
        <w:br/>
        <w:t xml:space="preserve">    SUM(TRY_CONVERT(decimal(18,4), Profit)) AS Total_Profit,</w:t>
        <w:br/>
        <w:t xml:space="preserve">    AVG(TRY_CONVERT(decimal(18,4), Discount)) AS Average_Discount</w:t>
        <w:br/>
        <w:t>FROM dbo.DataSet</w:t>
        <w:br/>
        <w:t>GROUP BY Product_Name</w:t>
        <w:br/>
        <w:t>HAVING SUM(TRY_CONVERT(decimal(18,4), Profit)) &lt; 0</w:t>
        <w:br/>
        <w:t>ORDER BY Total_Profit ASC;</w:t>
      </w:r>
    </w:p>
    <w:p>
      <w:r>
        <w:rPr>
          <w:i/>
          <w:color w:val="64748B"/>
          <w:sz w:val="16"/>
        </w:rPr>
        <w:t>Note: These examples assume the imported table is dbo.DataSet and numeric-looking fields can be converted using TRY_CONVERT. Adapt field names and numeric precision if the source schema changes.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Retail Sales Performance &amp; Profitability Analysis |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477B9"/>
        <w:sz w:val="16"/>
      </w:rPr>
      <w:t>BUSINESS ANALYST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47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7B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447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