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DC3BC" w14:textId="77777777" w:rsidR="001B5865" w:rsidRPr="00861A18" w:rsidRDefault="001B5865" w:rsidP="00674B54">
      <w:pPr>
        <w:pStyle w:val="Heading1"/>
        <w:rPr>
          <w:rFonts w:asciiTheme="minorHAnsi" w:hAnsiTheme="minorHAnsi"/>
          <w:sz w:val="22"/>
          <w:szCs w:val="22"/>
        </w:rPr>
      </w:pPr>
      <w:r w:rsidRPr="00861A18">
        <w:rPr>
          <w:rFonts w:asciiTheme="minorHAnsi" w:hAnsiTheme="minorHAnsi"/>
          <w:sz w:val="22"/>
          <w:szCs w:val="22"/>
        </w:rPr>
        <w:t>Product Ownership Insights Dashboard Documentation</w:t>
      </w:r>
    </w:p>
    <w:p w14:paraId="778ADA49" w14:textId="77777777" w:rsidR="001B5865" w:rsidRPr="001B5865" w:rsidRDefault="001B5865" w:rsidP="001B5865">
      <w:pPr>
        <w:rPr>
          <w:sz w:val="22"/>
          <w:szCs w:val="22"/>
        </w:rPr>
      </w:pPr>
      <w:r w:rsidRPr="001B5865">
        <w:rPr>
          <w:sz w:val="22"/>
          <w:szCs w:val="22"/>
        </w:rPr>
        <w:t>This dashboard visualizes customer data, allowing users to explore product ownership and customer demographics. The following sections outline the available plots and their functionality:</w:t>
      </w:r>
    </w:p>
    <w:p w14:paraId="24E51E4E" w14:textId="77777777" w:rsidR="001B5865" w:rsidRPr="001B5865" w:rsidRDefault="00035C84" w:rsidP="001B5865">
      <w:pPr>
        <w:rPr>
          <w:sz w:val="22"/>
          <w:szCs w:val="22"/>
        </w:rPr>
      </w:pPr>
      <w:r w:rsidRPr="00035C84">
        <w:rPr>
          <w:noProof/>
          <w:sz w:val="22"/>
          <w:szCs w:val="22"/>
        </w:rPr>
        <w:pict w14:anchorId="534B0C39">
          <v:rect id="_x0000_i1028" alt="" style="width:431.9pt;height:.05pt;mso-width-percent:0;mso-height-percent:0;mso-width-percent:0;mso-height-percent:0" o:hrpct="957" o:hralign="center" o:hrstd="t" o:hr="t" fillcolor="#a0a0a0" stroked="f"/>
        </w:pict>
      </w:r>
    </w:p>
    <w:p w14:paraId="04C84C83" w14:textId="77777777" w:rsidR="001B5865" w:rsidRPr="001B5865" w:rsidRDefault="001B5865" w:rsidP="001B5865">
      <w:pPr>
        <w:rPr>
          <w:sz w:val="22"/>
          <w:szCs w:val="22"/>
        </w:rPr>
      </w:pPr>
      <w:r w:rsidRPr="001B5865">
        <w:rPr>
          <w:sz w:val="22"/>
          <w:szCs w:val="22"/>
        </w:rPr>
        <w:t>1. Percentage of Customers with Each Product</w:t>
      </w:r>
    </w:p>
    <w:p w14:paraId="132BFD95" w14:textId="77777777" w:rsidR="001B5865" w:rsidRPr="001B5865" w:rsidRDefault="001B5865" w:rsidP="001B5865">
      <w:pPr>
        <w:numPr>
          <w:ilvl w:val="0"/>
          <w:numId w:val="2"/>
        </w:numPr>
        <w:rPr>
          <w:sz w:val="22"/>
          <w:szCs w:val="22"/>
        </w:rPr>
      </w:pPr>
      <w:r w:rsidRPr="001B5865">
        <w:rPr>
          <w:sz w:val="22"/>
          <w:szCs w:val="22"/>
        </w:rPr>
        <w:t>Plot Type: Bar Plot</w:t>
      </w:r>
    </w:p>
    <w:p w14:paraId="19ABF541" w14:textId="77777777" w:rsidR="001B5865" w:rsidRPr="001B5865" w:rsidRDefault="001B5865" w:rsidP="001B5865">
      <w:pPr>
        <w:numPr>
          <w:ilvl w:val="0"/>
          <w:numId w:val="2"/>
        </w:numPr>
        <w:rPr>
          <w:sz w:val="22"/>
          <w:szCs w:val="22"/>
        </w:rPr>
      </w:pPr>
      <w:r w:rsidRPr="001B5865">
        <w:rPr>
          <w:sz w:val="22"/>
          <w:szCs w:val="22"/>
        </w:rPr>
        <w:t>Description: This plot displays the percentage of customers who own each of the products: INSCO, PPSI, PROFMED, and STI.</w:t>
      </w:r>
    </w:p>
    <w:p w14:paraId="74EC73F6" w14:textId="77777777" w:rsidR="001B5865" w:rsidRPr="001B5865" w:rsidRDefault="001B5865" w:rsidP="001B5865">
      <w:pPr>
        <w:numPr>
          <w:ilvl w:val="0"/>
          <w:numId w:val="2"/>
        </w:numPr>
        <w:rPr>
          <w:sz w:val="22"/>
          <w:szCs w:val="22"/>
        </w:rPr>
      </w:pPr>
      <w:r w:rsidRPr="001B5865">
        <w:rPr>
          <w:sz w:val="22"/>
          <w:szCs w:val="22"/>
        </w:rPr>
        <w:t>Purpose: To give an overview of how widespread the ownership of each product is across the customer base.</w:t>
      </w:r>
    </w:p>
    <w:p w14:paraId="2E298ACC" w14:textId="023392DC" w:rsidR="001B5865" w:rsidRPr="001B5865" w:rsidRDefault="001B5865" w:rsidP="001B5865">
      <w:pPr>
        <w:numPr>
          <w:ilvl w:val="0"/>
          <w:numId w:val="2"/>
        </w:numPr>
        <w:rPr>
          <w:sz w:val="22"/>
          <w:szCs w:val="22"/>
        </w:rPr>
      </w:pPr>
      <w:r w:rsidRPr="001B5865">
        <w:rPr>
          <w:sz w:val="22"/>
          <w:szCs w:val="22"/>
        </w:rPr>
        <w:t>Insight: It allows for quick comparisons of product ownership and helps identify the most and least popular products among customers.</w:t>
      </w:r>
      <w:r w:rsidR="00C20617" w:rsidRPr="00861A18">
        <w:rPr>
          <w:sz w:val="22"/>
          <w:szCs w:val="22"/>
        </w:rPr>
        <w:t xml:space="preserve"> All customers have INSCO and STI, with PROFMED having the lowest number of customers.</w:t>
      </w:r>
    </w:p>
    <w:p w14:paraId="475922FD" w14:textId="77777777" w:rsidR="001B5865" w:rsidRPr="001B5865" w:rsidRDefault="00035C84" w:rsidP="001B5865">
      <w:pPr>
        <w:rPr>
          <w:sz w:val="22"/>
          <w:szCs w:val="22"/>
        </w:rPr>
      </w:pPr>
      <w:r w:rsidRPr="00035C84">
        <w:rPr>
          <w:noProof/>
          <w:sz w:val="22"/>
          <w:szCs w:val="22"/>
        </w:rPr>
        <w:pict w14:anchorId="0120C439">
          <v:rect id="_x0000_i1027" alt="" style="width:431.9pt;height:.05pt;mso-width-percent:0;mso-height-percent:0;mso-width-percent:0;mso-height-percent:0" o:hrpct="957" o:hralign="center" o:hrstd="t" o:hr="t" fillcolor="#a0a0a0" stroked="f"/>
        </w:pict>
      </w:r>
    </w:p>
    <w:p w14:paraId="41A02697" w14:textId="77777777" w:rsidR="001B5865" w:rsidRPr="001B5865" w:rsidRDefault="001B5865" w:rsidP="001B5865">
      <w:pPr>
        <w:rPr>
          <w:sz w:val="22"/>
          <w:szCs w:val="22"/>
        </w:rPr>
      </w:pPr>
      <w:r w:rsidRPr="001B5865">
        <w:rPr>
          <w:sz w:val="22"/>
          <w:szCs w:val="22"/>
        </w:rPr>
        <w:t>2. Customer Demographics</w:t>
      </w:r>
    </w:p>
    <w:p w14:paraId="37F5512A" w14:textId="77777777" w:rsidR="001B5865" w:rsidRPr="001B5865" w:rsidRDefault="001B5865" w:rsidP="001B5865">
      <w:pPr>
        <w:numPr>
          <w:ilvl w:val="0"/>
          <w:numId w:val="3"/>
        </w:numPr>
        <w:rPr>
          <w:sz w:val="22"/>
          <w:szCs w:val="22"/>
        </w:rPr>
      </w:pPr>
      <w:r w:rsidRPr="001B5865">
        <w:rPr>
          <w:sz w:val="22"/>
          <w:szCs w:val="22"/>
        </w:rPr>
        <w:t>Plot Type: Various (Histograms, Pie Charts)</w:t>
      </w:r>
    </w:p>
    <w:p w14:paraId="593777B9" w14:textId="77777777" w:rsidR="001B5865" w:rsidRPr="001B5865" w:rsidRDefault="001B5865" w:rsidP="001B5865">
      <w:pPr>
        <w:numPr>
          <w:ilvl w:val="0"/>
          <w:numId w:val="3"/>
        </w:numPr>
        <w:rPr>
          <w:sz w:val="22"/>
          <w:szCs w:val="22"/>
        </w:rPr>
      </w:pPr>
      <w:r w:rsidRPr="001B5865">
        <w:rPr>
          <w:sz w:val="22"/>
          <w:szCs w:val="22"/>
        </w:rPr>
        <w:t>Description: This section provides demographic insights about the customers based on attributes like Age, Gender, Occupation, and Ethnicity.</w:t>
      </w:r>
    </w:p>
    <w:p w14:paraId="3FF8C847" w14:textId="77777777" w:rsidR="001B5865" w:rsidRPr="001B5865" w:rsidRDefault="001B5865" w:rsidP="001B5865">
      <w:pPr>
        <w:numPr>
          <w:ilvl w:val="1"/>
          <w:numId w:val="3"/>
        </w:numPr>
        <w:rPr>
          <w:sz w:val="22"/>
          <w:szCs w:val="22"/>
        </w:rPr>
      </w:pPr>
      <w:r w:rsidRPr="001B5865">
        <w:rPr>
          <w:sz w:val="22"/>
          <w:szCs w:val="22"/>
        </w:rPr>
        <w:t>Age Distribution: A histogram showing the age distribution of customers, with an optional Kernel Density Estimate (KDE) to visualize the spread of ages.</w:t>
      </w:r>
    </w:p>
    <w:p w14:paraId="46281DFD" w14:textId="77777777" w:rsidR="001B5865" w:rsidRPr="001B5865" w:rsidRDefault="001B5865" w:rsidP="001B5865">
      <w:pPr>
        <w:numPr>
          <w:ilvl w:val="1"/>
          <w:numId w:val="3"/>
        </w:numPr>
        <w:rPr>
          <w:sz w:val="22"/>
          <w:szCs w:val="22"/>
        </w:rPr>
      </w:pPr>
      <w:r w:rsidRPr="001B5865">
        <w:rPr>
          <w:sz w:val="22"/>
          <w:szCs w:val="22"/>
        </w:rPr>
        <w:t>Gender Distribution: A pie chart depicting the distribution of male, female, and other gender groups within the customer base.</w:t>
      </w:r>
    </w:p>
    <w:p w14:paraId="0C1356B8" w14:textId="77777777" w:rsidR="001B5865" w:rsidRPr="001B5865" w:rsidRDefault="001B5865" w:rsidP="001B5865">
      <w:pPr>
        <w:numPr>
          <w:ilvl w:val="1"/>
          <w:numId w:val="3"/>
        </w:numPr>
        <w:rPr>
          <w:sz w:val="22"/>
          <w:szCs w:val="22"/>
        </w:rPr>
      </w:pPr>
      <w:r w:rsidRPr="001B5865">
        <w:rPr>
          <w:sz w:val="22"/>
          <w:szCs w:val="22"/>
        </w:rPr>
        <w:t>Occupation Grouping Distribution: A donut chart showing the relative frequency of different occupation groups.</w:t>
      </w:r>
    </w:p>
    <w:p w14:paraId="5CF28238" w14:textId="77777777" w:rsidR="001B5865" w:rsidRPr="001B5865" w:rsidRDefault="001B5865" w:rsidP="001B5865">
      <w:pPr>
        <w:numPr>
          <w:ilvl w:val="1"/>
          <w:numId w:val="3"/>
        </w:numPr>
        <w:rPr>
          <w:sz w:val="22"/>
          <w:szCs w:val="22"/>
        </w:rPr>
      </w:pPr>
      <w:r w:rsidRPr="001B5865">
        <w:rPr>
          <w:sz w:val="22"/>
          <w:szCs w:val="22"/>
        </w:rPr>
        <w:t>Ethnicity Distribution: A count plot showing the breakdown of ethnicity groups in the customer data.</w:t>
      </w:r>
    </w:p>
    <w:p w14:paraId="5E7A9315" w14:textId="77777777" w:rsidR="001B5865" w:rsidRPr="001B5865" w:rsidRDefault="001B5865" w:rsidP="001B5865">
      <w:pPr>
        <w:numPr>
          <w:ilvl w:val="0"/>
          <w:numId w:val="3"/>
        </w:numPr>
        <w:rPr>
          <w:sz w:val="22"/>
          <w:szCs w:val="22"/>
        </w:rPr>
      </w:pPr>
      <w:r w:rsidRPr="001B5865">
        <w:rPr>
          <w:sz w:val="22"/>
          <w:szCs w:val="22"/>
        </w:rPr>
        <w:t>Purpose: To provide a detailed view of the customer demographics.</w:t>
      </w:r>
    </w:p>
    <w:p w14:paraId="468E09A8" w14:textId="13542912" w:rsidR="001B5865" w:rsidRPr="001B5865" w:rsidRDefault="001B5865" w:rsidP="00A042F0">
      <w:pPr>
        <w:numPr>
          <w:ilvl w:val="0"/>
          <w:numId w:val="3"/>
        </w:numPr>
        <w:rPr>
          <w:sz w:val="22"/>
          <w:szCs w:val="22"/>
        </w:rPr>
      </w:pPr>
      <w:r w:rsidRPr="001B5865">
        <w:rPr>
          <w:sz w:val="22"/>
          <w:szCs w:val="22"/>
        </w:rPr>
        <w:t xml:space="preserve">Insight: </w:t>
      </w:r>
      <w:r w:rsidR="00C20617" w:rsidRPr="00861A18">
        <w:rPr>
          <w:sz w:val="22"/>
          <w:szCs w:val="22"/>
        </w:rPr>
        <w:t>The majority of customers are between the ages of 30 and 50. The gender distribution is fairly balanced, with a slight male majority. Most customers are employed in the medical sector, and the customer base is predominantly white in terms of ethnicity.</w:t>
      </w:r>
      <w:r w:rsidR="00035C84" w:rsidRPr="00035C84">
        <w:rPr>
          <w:b/>
          <w:bCs/>
          <w:noProof/>
          <w:sz w:val="22"/>
          <w:szCs w:val="22"/>
        </w:rPr>
        <w:pict w14:anchorId="61146631">
          <v:rect id="_x0000_i1026" alt="" style="width:395.8pt;height:.05pt;mso-width-percent:0;mso-height-percent:0;mso-width-percent:0;mso-height-percent:0" o:hrpct="877" o:hralign="center" o:hrstd="t" o:hr="t" fillcolor="#a0a0a0" stroked="f"/>
        </w:pict>
      </w:r>
    </w:p>
    <w:p w14:paraId="52154367" w14:textId="77777777" w:rsidR="001B5865" w:rsidRPr="001B5865" w:rsidRDefault="001B5865" w:rsidP="001B5865">
      <w:pPr>
        <w:rPr>
          <w:sz w:val="22"/>
          <w:szCs w:val="22"/>
        </w:rPr>
      </w:pPr>
      <w:r w:rsidRPr="001B5865">
        <w:rPr>
          <w:sz w:val="22"/>
          <w:szCs w:val="22"/>
        </w:rPr>
        <w:t>3. Product Uptake by Demographic Group</w:t>
      </w:r>
    </w:p>
    <w:p w14:paraId="14C7AA4D" w14:textId="77777777" w:rsidR="001B5865" w:rsidRPr="001B5865" w:rsidRDefault="001B5865" w:rsidP="001B5865">
      <w:pPr>
        <w:numPr>
          <w:ilvl w:val="0"/>
          <w:numId w:val="4"/>
        </w:numPr>
        <w:rPr>
          <w:sz w:val="22"/>
          <w:szCs w:val="22"/>
        </w:rPr>
      </w:pPr>
      <w:r w:rsidRPr="001B5865">
        <w:rPr>
          <w:sz w:val="22"/>
          <w:szCs w:val="22"/>
        </w:rPr>
        <w:t>Plot Type: Heatmap</w:t>
      </w:r>
    </w:p>
    <w:p w14:paraId="4ADD0452" w14:textId="77777777" w:rsidR="001B5865" w:rsidRPr="001B5865" w:rsidRDefault="001B5865" w:rsidP="001B5865">
      <w:pPr>
        <w:numPr>
          <w:ilvl w:val="0"/>
          <w:numId w:val="4"/>
        </w:numPr>
        <w:rPr>
          <w:sz w:val="22"/>
          <w:szCs w:val="22"/>
        </w:rPr>
      </w:pPr>
      <w:r w:rsidRPr="001B5865">
        <w:rPr>
          <w:sz w:val="22"/>
          <w:szCs w:val="22"/>
        </w:rPr>
        <w:t>Description: This heatmap shows the product uptake (ownership percentage) for each demographic group, such as Gender, Ethnicity, Occupation, and Member Title.</w:t>
      </w:r>
    </w:p>
    <w:p w14:paraId="1BFB880C" w14:textId="77777777" w:rsidR="001B5865" w:rsidRPr="001B5865" w:rsidRDefault="001B5865" w:rsidP="001B5865">
      <w:pPr>
        <w:numPr>
          <w:ilvl w:val="0"/>
          <w:numId w:val="4"/>
        </w:numPr>
        <w:rPr>
          <w:sz w:val="22"/>
          <w:szCs w:val="22"/>
        </w:rPr>
      </w:pPr>
      <w:r w:rsidRPr="001B5865">
        <w:rPr>
          <w:sz w:val="22"/>
          <w:szCs w:val="22"/>
        </w:rPr>
        <w:t>Purpose: To visualize how different demographic groups are distributed across the four product categories.</w:t>
      </w:r>
    </w:p>
    <w:p w14:paraId="1B9EE810" w14:textId="5AF0FD85" w:rsidR="001B5865" w:rsidRPr="001B5865" w:rsidRDefault="001B5865" w:rsidP="001B5865">
      <w:pPr>
        <w:numPr>
          <w:ilvl w:val="0"/>
          <w:numId w:val="4"/>
        </w:numPr>
        <w:rPr>
          <w:sz w:val="22"/>
          <w:szCs w:val="22"/>
        </w:rPr>
      </w:pPr>
      <w:r w:rsidRPr="001B5865">
        <w:rPr>
          <w:sz w:val="22"/>
          <w:szCs w:val="22"/>
        </w:rPr>
        <w:t xml:space="preserve">Insight: </w:t>
      </w:r>
      <w:r w:rsidR="00C20617" w:rsidRPr="00861A18">
        <w:rPr>
          <w:sz w:val="22"/>
          <w:szCs w:val="22"/>
        </w:rPr>
        <w:t>Approximately 75% of customers employed in science and research fields are enrolled in the PPSI product, indicating strong alignment between this profession and the offering.</w:t>
      </w:r>
    </w:p>
    <w:p w14:paraId="483ECF92" w14:textId="77777777" w:rsidR="001B5865" w:rsidRPr="001B5865" w:rsidRDefault="00035C84" w:rsidP="001B5865">
      <w:pPr>
        <w:rPr>
          <w:sz w:val="22"/>
          <w:szCs w:val="22"/>
        </w:rPr>
      </w:pPr>
      <w:r w:rsidRPr="00035C84">
        <w:rPr>
          <w:b/>
          <w:bCs/>
          <w:noProof/>
          <w:sz w:val="22"/>
          <w:szCs w:val="22"/>
        </w:rPr>
        <w:pict w14:anchorId="66A15B70">
          <v:rect id="_x0000_i1025" alt="" style="width:431.9pt;height:.05pt;mso-width-percent:0;mso-height-percent:0;mso-width-percent:0;mso-height-percent:0" o:hrpct="957" o:hralign="center" o:hrstd="t" o:hr="t" fillcolor="#a0a0a0" stroked="f"/>
        </w:pict>
      </w:r>
    </w:p>
    <w:p w14:paraId="2CADE364" w14:textId="77777777" w:rsidR="001B5865" w:rsidRPr="001B5865" w:rsidRDefault="001B5865" w:rsidP="001B5865">
      <w:pPr>
        <w:rPr>
          <w:sz w:val="22"/>
          <w:szCs w:val="22"/>
        </w:rPr>
      </w:pPr>
      <w:r w:rsidRPr="001B5865">
        <w:rPr>
          <w:sz w:val="22"/>
          <w:szCs w:val="22"/>
        </w:rPr>
        <w:t>4. Product Overlap Heatmap by Occupation</w:t>
      </w:r>
    </w:p>
    <w:p w14:paraId="25F93485" w14:textId="77777777" w:rsidR="001B5865" w:rsidRPr="001B5865" w:rsidRDefault="001B5865" w:rsidP="001B5865">
      <w:pPr>
        <w:numPr>
          <w:ilvl w:val="0"/>
          <w:numId w:val="5"/>
        </w:numPr>
        <w:rPr>
          <w:sz w:val="22"/>
          <w:szCs w:val="22"/>
        </w:rPr>
      </w:pPr>
      <w:r w:rsidRPr="001B5865">
        <w:rPr>
          <w:sz w:val="22"/>
          <w:szCs w:val="22"/>
        </w:rPr>
        <w:t>Plot Type: Heatmap</w:t>
      </w:r>
    </w:p>
    <w:p w14:paraId="646086D7" w14:textId="77777777" w:rsidR="001B5865" w:rsidRPr="001B5865" w:rsidRDefault="001B5865" w:rsidP="001B5865">
      <w:pPr>
        <w:numPr>
          <w:ilvl w:val="0"/>
          <w:numId w:val="5"/>
        </w:numPr>
        <w:rPr>
          <w:sz w:val="22"/>
          <w:szCs w:val="22"/>
        </w:rPr>
      </w:pPr>
      <w:r w:rsidRPr="001B5865">
        <w:rPr>
          <w:sz w:val="22"/>
          <w:szCs w:val="22"/>
        </w:rPr>
        <w:lastRenderedPageBreak/>
        <w:t>Description: This heatmap shows the overlap of product ownership within different occupation groups. It calculates how many customers in each occupation group own multiple products.</w:t>
      </w:r>
    </w:p>
    <w:p w14:paraId="6621CC9B" w14:textId="77777777" w:rsidR="001B5865" w:rsidRPr="001B5865" w:rsidRDefault="001B5865" w:rsidP="001B5865">
      <w:pPr>
        <w:numPr>
          <w:ilvl w:val="0"/>
          <w:numId w:val="5"/>
        </w:numPr>
        <w:rPr>
          <w:sz w:val="22"/>
          <w:szCs w:val="22"/>
        </w:rPr>
      </w:pPr>
      <w:r w:rsidRPr="001B5865">
        <w:rPr>
          <w:sz w:val="22"/>
          <w:szCs w:val="22"/>
        </w:rPr>
        <w:t>Purpose: To visualize the intersection of product ownership among customers grouped by occupation.</w:t>
      </w:r>
    </w:p>
    <w:p w14:paraId="3F9EB2D7" w14:textId="77777777" w:rsidR="00476920" w:rsidRPr="00861A18" w:rsidRDefault="001B5865" w:rsidP="00592CC7">
      <w:pPr>
        <w:numPr>
          <w:ilvl w:val="0"/>
          <w:numId w:val="5"/>
        </w:numPr>
        <w:rPr>
          <w:sz w:val="22"/>
          <w:szCs w:val="22"/>
        </w:rPr>
      </w:pPr>
      <w:r w:rsidRPr="001B5865">
        <w:rPr>
          <w:sz w:val="22"/>
          <w:szCs w:val="22"/>
        </w:rPr>
        <w:t xml:space="preserve">Insight: </w:t>
      </w:r>
      <w:r w:rsidR="00476920" w:rsidRPr="00861A18">
        <w:rPr>
          <w:sz w:val="22"/>
          <w:szCs w:val="22"/>
        </w:rPr>
        <w:t>Medical professionals show the highest overlap in product ownership, specifically with INSCO and STI products</w:t>
      </w:r>
      <w:r w:rsidR="00476920" w:rsidRPr="00861A18">
        <w:rPr>
          <w:sz w:val="22"/>
          <w:szCs w:val="22"/>
        </w:rPr>
        <w:t xml:space="preserve"> as expected as both</w:t>
      </w:r>
      <w:r w:rsidR="00476920" w:rsidRPr="00861A18">
        <w:rPr>
          <w:sz w:val="22"/>
          <w:szCs w:val="22"/>
        </w:rPr>
        <w:t xml:space="preserve"> are held by all customers.</w:t>
      </w:r>
    </w:p>
    <w:p w14:paraId="3E117270" w14:textId="3E618E59" w:rsidR="00674B54" w:rsidRPr="00674B54" w:rsidRDefault="00674B54" w:rsidP="00476920">
      <w:pPr>
        <w:rPr>
          <w:sz w:val="22"/>
          <w:szCs w:val="22"/>
        </w:rPr>
      </w:pPr>
      <w:r w:rsidRPr="00861A18">
        <w:rPr>
          <w:sz w:val="22"/>
          <w:szCs w:val="22"/>
        </w:rPr>
        <w:t>5.</w:t>
      </w:r>
      <w:r w:rsidRPr="00674B54">
        <w:rPr>
          <w:sz w:val="22"/>
          <w:szCs w:val="22"/>
        </w:rPr>
        <w:t xml:space="preserve">  Product Ownership vs Income Heatmap:</w:t>
      </w:r>
    </w:p>
    <w:p w14:paraId="2A84BEFE" w14:textId="77777777" w:rsidR="00476920" w:rsidRPr="00476920" w:rsidRDefault="00476920" w:rsidP="00476920">
      <w:pPr>
        <w:numPr>
          <w:ilvl w:val="0"/>
          <w:numId w:val="5"/>
        </w:numPr>
        <w:rPr>
          <w:sz w:val="22"/>
          <w:szCs w:val="22"/>
        </w:rPr>
      </w:pPr>
      <w:r w:rsidRPr="00476920">
        <w:rPr>
          <w:sz w:val="22"/>
          <w:szCs w:val="22"/>
        </w:rPr>
        <w:t>Plot Type: Heatmap</w:t>
      </w:r>
    </w:p>
    <w:p w14:paraId="419FEBEB" w14:textId="78D62E04" w:rsidR="00476920" w:rsidRPr="00476920" w:rsidRDefault="00476920" w:rsidP="00476920">
      <w:pPr>
        <w:numPr>
          <w:ilvl w:val="0"/>
          <w:numId w:val="5"/>
        </w:numPr>
        <w:rPr>
          <w:sz w:val="22"/>
          <w:szCs w:val="22"/>
        </w:rPr>
      </w:pPr>
      <w:r w:rsidRPr="00476920">
        <w:rPr>
          <w:sz w:val="22"/>
          <w:szCs w:val="22"/>
        </w:rPr>
        <w:t xml:space="preserve">Description: This heatmap shows the overlap of product ownership within different </w:t>
      </w:r>
      <w:r w:rsidRPr="00861A18">
        <w:rPr>
          <w:sz w:val="22"/>
          <w:szCs w:val="22"/>
        </w:rPr>
        <w:t>income brackets</w:t>
      </w:r>
      <w:r w:rsidRPr="00476920">
        <w:rPr>
          <w:sz w:val="22"/>
          <w:szCs w:val="22"/>
        </w:rPr>
        <w:t>.</w:t>
      </w:r>
    </w:p>
    <w:p w14:paraId="2F2A6173" w14:textId="34145A71" w:rsidR="00476920" w:rsidRPr="00476920" w:rsidRDefault="00476920" w:rsidP="00476920">
      <w:pPr>
        <w:numPr>
          <w:ilvl w:val="0"/>
          <w:numId w:val="5"/>
        </w:numPr>
        <w:rPr>
          <w:sz w:val="22"/>
          <w:szCs w:val="22"/>
        </w:rPr>
      </w:pPr>
      <w:r w:rsidRPr="00476920">
        <w:rPr>
          <w:sz w:val="22"/>
          <w:szCs w:val="22"/>
        </w:rPr>
        <w:t xml:space="preserve">Purpose: To visualize the intersection of product ownership among customers grouped by </w:t>
      </w:r>
      <w:r w:rsidRPr="00861A18">
        <w:rPr>
          <w:sz w:val="22"/>
          <w:szCs w:val="22"/>
        </w:rPr>
        <w:t>income</w:t>
      </w:r>
      <w:r w:rsidRPr="00476920">
        <w:rPr>
          <w:sz w:val="22"/>
          <w:szCs w:val="22"/>
        </w:rPr>
        <w:t>.</w:t>
      </w:r>
    </w:p>
    <w:p w14:paraId="07E952C5" w14:textId="71896B1A" w:rsidR="00476920" w:rsidRPr="00476920" w:rsidRDefault="00476920" w:rsidP="00476920">
      <w:pPr>
        <w:numPr>
          <w:ilvl w:val="0"/>
          <w:numId w:val="5"/>
        </w:numPr>
        <w:rPr>
          <w:sz w:val="22"/>
          <w:szCs w:val="22"/>
        </w:rPr>
      </w:pPr>
      <w:r w:rsidRPr="00476920">
        <w:rPr>
          <w:sz w:val="22"/>
          <w:szCs w:val="22"/>
        </w:rPr>
        <w:t xml:space="preserve">Insight: </w:t>
      </w:r>
      <w:r w:rsidRPr="00861A18">
        <w:rPr>
          <w:sz w:val="22"/>
          <w:szCs w:val="22"/>
        </w:rPr>
        <w:t>Majority of customers are high income earners with an income at least R150k</w:t>
      </w:r>
      <w:r w:rsidRPr="00476920">
        <w:rPr>
          <w:sz w:val="22"/>
          <w:szCs w:val="22"/>
        </w:rPr>
        <w:t>.</w:t>
      </w:r>
    </w:p>
    <w:p w14:paraId="469C3366" w14:textId="0EECF505" w:rsidR="00674B54" w:rsidRPr="00674B54" w:rsidRDefault="00674B54" w:rsidP="00674B54">
      <w:pPr>
        <w:rPr>
          <w:sz w:val="22"/>
          <w:szCs w:val="22"/>
        </w:rPr>
      </w:pPr>
      <w:r w:rsidRPr="00861A18">
        <w:rPr>
          <w:sz w:val="22"/>
          <w:szCs w:val="22"/>
        </w:rPr>
        <w:t>6.</w:t>
      </w:r>
      <w:r w:rsidRPr="00674B54">
        <w:rPr>
          <w:sz w:val="22"/>
          <w:szCs w:val="22"/>
        </w:rPr>
        <w:t xml:space="preserve">  Demographic Insights: Income, Age &amp; Gender:</w:t>
      </w:r>
    </w:p>
    <w:p w14:paraId="716CB4D5" w14:textId="77777777" w:rsidR="00674B54" w:rsidRPr="00674B54" w:rsidRDefault="00674B54" w:rsidP="00674B54">
      <w:pPr>
        <w:numPr>
          <w:ilvl w:val="0"/>
          <w:numId w:val="7"/>
        </w:numPr>
        <w:rPr>
          <w:sz w:val="22"/>
          <w:szCs w:val="22"/>
        </w:rPr>
      </w:pPr>
      <w:r w:rsidRPr="00674B54">
        <w:rPr>
          <w:sz w:val="22"/>
          <w:szCs w:val="22"/>
        </w:rPr>
        <w:t xml:space="preserve">Categorizes </w:t>
      </w:r>
      <w:proofErr w:type="spellStart"/>
      <w:r w:rsidRPr="00674B54">
        <w:rPr>
          <w:sz w:val="22"/>
          <w:szCs w:val="22"/>
        </w:rPr>
        <w:t>GrossPersonalIncome</w:t>
      </w:r>
      <w:proofErr w:type="spellEnd"/>
      <w:r w:rsidRPr="00674B54">
        <w:rPr>
          <w:sz w:val="22"/>
          <w:szCs w:val="22"/>
        </w:rPr>
        <w:t xml:space="preserve"> into income groups.</w:t>
      </w:r>
    </w:p>
    <w:p w14:paraId="726234FB" w14:textId="77777777" w:rsidR="00674B54" w:rsidRPr="00674B54" w:rsidRDefault="00674B54" w:rsidP="00674B54">
      <w:pPr>
        <w:numPr>
          <w:ilvl w:val="0"/>
          <w:numId w:val="7"/>
        </w:numPr>
        <w:rPr>
          <w:sz w:val="22"/>
          <w:szCs w:val="22"/>
        </w:rPr>
      </w:pPr>
      <w:r w:rsidRPr="00674B54">
        <w:rPr>
          <w:sz w:val="22"/>
          <w:szCs w:val="22"/>
        </w:rPr>
        <w:t>Categorizes Age into age groups.</w:t>
      </w:r>
    </w:p>
    <w:p w14:paraId="3C9766B6" w14:textId="77777777" w:rsidR="00674B54" w:rsidRPr="00861A18" w:rsidRDefault="00674B54" w:rsidP="00674B54">
      <w:pPr>
        <w:numPr>
          <w:ilvl w:val="0"/>
          <w:numId w:val="7"/>
        </w:numPr>
        <w:rPr>
          <w:sz w:val="22"/>
          <w:szCs w:val="22"/>
        </w:rPr>
      </w:pPr>
      <w:r w:rsidRPr="00674B54">
        <w:rPr>
          <w:sz w:val="22"/>
          <w:szCs w:val="22"/>
        </w:rPr>
        <w:t>Creates heatmaps for each gender, displaying the distribution of customers based on income and age.</w:t>
      </w:r>
    </w:p>
    <w:p w14:paraId="029E4D2A" w14:textId="35A7C3D6" w:rsidR="00476920" w:rsidRPr="00674B54" w:rsidRDefault="00476920" w:rsidP="00674B54">
      <w:pPr>
        <w:numPr>
          <w:ilvl w:val="0"/>
          <w:numId w:val="7"/>
        </w:numPr>
        <w:rPr>
          <w:sz w:val="22"/>
          <w:szCs w:val="22"/>
        </w:rPr>
      </w:pPr>
      <w:r w:rsidRPr="00861A18">
        <w:rPr>
          <w:sz w:val="22"/>
          <w:szCs w:val="22"/>
        </w:rPr>
        <w:t>For both females and males, the highest income earners are aged between 46-60.</w:t>
      </w:r>
    </w:p>
    <w:p w14:paraId="174C32C1" w14:textId="371910E2" w:rsidR="00674B54" w:rsidRPr="00674B54" w:rsidRDefault="00674B54" w:rsidP="00674B54">
      <w:pPr>
        <w:rPr>
          <w:sz w:val="22"/>
          <w:szCs w:val="22"/>
        </w:rPr>
      </w:pPr>
      <w:r w:rsidRPr="00861A18">
        <w:rPr>
          <w:sz w:val="22"/>
          <w:szCs w:val="22"/>
        </w:rPr>
        <w:t>7.</w:t>
      </w:r>
      <w:r w:rsidRPr="00674B54">
        <w:rPr>
          <w:sz w:val="22"/>
          <w:szCs w:val="22"/>
        </w:rPr>
        <w:t xml:space="preserve">  Product Uptake by Age Group and Gender:</w:t>
      </w:r>
    </w:p>
    <w:p w14:paraId="6143D966" w14:textId="77777777" w:rsidR="00674B54" w:rsidRPr="00674B54" w:rsidRDefault="00674B54" w:rsidP="00674B54">
      <w:pPr>
        <w:numPr>
          <w:ilvl w:val="0"/>
          <w:numId w:val="8"/>
        </w:numPr>
        <w:rPr>
          <w:sz w:val="22"/>
          <w:szCs w:val="22"/>
        </w:rPr>
      </w:pPr>
      <w:r w:rsidRPr="00674B54">
        <w:rPr>
          <w:sz w:val="22"/>
          <w:szCs w:val="22"/>
        </w:rPr>
        <w:t>Allows the user to select a product and displays a bar chart showing the number of customers by age group and gender for the selected product.</w:t>
      </w:r>
    </w:p>
    <w:p w14:paraId="02F7FC3E" w14:textId="77777777" w:rsidR="00674B54" w:rsidRPr="00674B54" w:rsidRDefault="00674B54" w:rsidP="00674B54">
      <w:pPr>
        <w:numPr>
          <w:ilvl w:val="0"/>
          <w:numId w:val="8"/>
        </w:numPr>
        <w:rPr>
          <w:sz w:val="22"/>
          <w:szCs w:val="22"/>
        </w:rPr>
      </w:pPr>
      <w:r w:rsidRPr="00674B54">
        <w:rPr>
          <w:sz w:val="22"/>
          <w:szCs w:val="22"/>
        </w:rPr>
        <w:t xml:space="preserve">Uses a </w:t>
      </w:r>
      <w:proofErr w:type="spellStart"/>
      <w:r w:rsidRPr="00674B54">
        <w:rPr>
          <w:sz w:val="22"/>
          <w:szCs w:val="22"/>
        </w:rPr>
        <w:t>color</w:t>
      </w:r>
      <w:proofErr w:type="spellEnd"/>
      <w:r w:rsidRPr="00674B54">
        <w:rPr>
          <w:sz w:val="22"/>
          <w:szCs w:val="22"/>
        </w:rPr>
        <w:t xml:space="preserve"> palette for gender differentiation.</w:t>
      </w:r>
    </w:p>
    <w:p w14:paraId="4E81B3E8" w14:textId="7D45C93C" w:rsidR="00674B54" w:rsidRPr="00674B54" w:rsidRDefault="00674B54" w:rsidP="00674B54">
      <w:pPr>
        <w:rPr>
          <w:sz w:val="22"/>
          <w:szCs w:val="22"/>
        </w:rPr>
      </w:pPr>
      <w:r w:rsidRPr="00861A18">
        <w:rPr>
          <w:sz w:val="22"/>
          <w:szCs w:val="22"/>
        </w:rPr>
        <w:t>Other</w:t>
      </w:r>
      <w:r w:rsidRPr="00674B54">
        <w:rPr>
          <w:sz w:val="22"/>
          <w:szCs w:val="22"/>
        </w:rPr>
        <w:t xml:space="preserve"> Features and How to Use the Tool:</w:t>
      </w:r>
    </w:p>
    <w:p w14:paraId="60DF99BB" w14:textId="77777777" w:rsidR="00674B54" w:rsidRPr="00674B54" w:rsidRDefault="00674B54" w:rsidP="00674B54">
      <w:pPr>
        <w:rPr>
          <w:sz w:val="22"/>
          <w:szCs w:val="22"/>
        </w:rPr>
      </w:pPr>
      <w:r w:rsidRPr="00674B54">
        <w:rPr>
          <w:sz w:val="22"/>
          <w:szCs w:val="22"/>
        </w:rPr>
        <w:t>1. Sidebar Filters:</w:t>
      </w:r>
    </w:p>
    <w:p w14:paraId="7D197B96" w14:textId="77777777" w:rsidR="00674B54" w:rsidRPr="00674B54" w:rsidRDefault="00674B54" w:rsidP="00674B54">
      <w:pPr>
        <w:numPr>
          <w:ilvl w:val="0"/>
          <w:numId w:val="9"/>
        </w:numPr>
        <w:rPr>
          <w:sz w:val="22"/>
          <w:szCs w:val="22"/>
        </w:rPr>
      </w:pPr>
      <w:r w:rsidRPr="00674B54">
        <w:rPr>
          <w:sz w:val="22"/>
          <w:szCs w:val="22"/>
        </w:rPr>
        <w:t>Occupation Group:</w:t>
      </w:r>
    </w:p>
    <w:p w14:paraId="55A735D5" w14:textId="77777777" w:rsidR="00674B54" w:rsidRPr="00674B54" w:rsidRDefault="00674B54" w:rsidP="00674B54">
      <w:pPr>
        <w:numPr>
          <w:ilvl w:val="1"/>
          <w:numId w:val="9"/>
        </w:numPr>
        <w:rPr>
          <w:sz w:val="22"/>
          <w:szCs w:val="22"/>
        </w:rPr>
      </w:pPr>
      <w:r w:rsidRPr="00674B54">
        <w:rPr>
          <w:sz w:val="22"/>
          <w:szCs w:val="22"/>
        </w:rPr>
        <w:t>Purpose: Allows you to filter customer data based on their occupation.</w:t>
      </w:r>
    </w:p>
    <w:p w14:paraId="0AC90E77" w14:textId="77777777" w:rsidR="00674B54" w:rsidRPr="00674B54" w:rsidRDefault="00674B54" w:rsidP="00674B54">
      <w:pPr>
        <w:numPr>
          <w:ilvl w:val="1"/>
          <w:numId w:val="9"/>
        </w:numPr>
        <w:rPr>
          <w:sz w:val="22"/>
          <w:szCs w:val="22"/>
        </w:rPr>
      </w:pPr>
      <w:r w:rsidRPr="00674B54">
        <w:rPr>
          <w:sz w:val="22"/>
          <w:szCs w:val="22"/>
        </w:rPr>
        <w:t>How to Use: Select an occupation group (e.g., Medical, Legal, or Finance) from the drop-down menu.</w:t>
      </w:r>
    </w:p>
    <w:p w14:paraId="5E3C95CA" w14:textId="77777777" w:rsidR="00674B54" w:rsidRPr="00674B54" w:rsidRDefault="00674B54" w:rsidP="00674B54">
      <w:pPr>
        <w:numPr>
          <w:ilvl w:val="0"/>
          <w:numId w:val="9"/>
        </w:numPr>
        <w:rPr>
          <w:sz w:val="22"/>
          <w:szCs w:val="22"/>
        </w:rPr>
      </w:pPr>
      <w:r w:rsidRPr="00674B54">
        <w:rPr>
          <w:sz w:val="22"/>
          <w:szCs w:val="22"/>
        </w:rPr>
        <w:t>Gross Personal Income Range:</w:t>
      </w:r>
    </w:p>
    <w:p w14:paraId="554B46D1" w14:textId="77777777" w:rsidR="00674B54" w:rsidRPr="00674B54" w:rsidRDefault="00674B54" w:rsidP="00674B54">
      <w:pPr>
        <w:numPr>
          <w:ilvl w:val="1"/>
          <w:numId w:val="9"/>
        </w:numPr>
        <w:rPr>
          <w:sz w:val="22"/>
          <w:szCs w:val="22"/>
        </w:rPr>
      </w:pPr>
      <w:r w:rsidRPr="00674B54">
        <w:rPr>
          <w:sz w:val="22"/>
          <w:szCs w:val="22"/>
        </w:rPr>
        <w:t>Purpose: Filter customers based on their income range.</w:t>
      </w:r>
    </w:p>
    <w:p w14:paraId="43E89100" w14:textId="77777777" w:rsidR="00674B54" w:rsidRPr="00674B54" w:rsidRDefault="00674B54" w:rsidP="00674B54">
      <w:pPr>
        <w:numPr>
          <w:ilvl w:val="1"/>
          <w:numId w:val="9"/>
        </w:numPr>
        <w:rPr>
          <w:sz w:val="22"/>
          <w:szCs w:val="22"/>
        </w:rPr>
      </w:pPr>
      <w:r w:rsidRPr="00674B54">
        <w:rPr>
          <w:sz w:val="22"/>
          <w:szCs w:val="22"/>
        </w:rPr>
        <w:t>How to Use: Use the slider to select a range of income (in ZAR), with the option to customize the minimum and maximum values.</w:t>
      </w:r>
    </w:p>
    <w:p w14:paraId="4C0F7501" w14:textId="77777777" w:rsidR="00674B54" w:rsidRPr="00674B54" w:rsidRDefault="00674B54" w:rsidP="00674B54">
      <w:pPr>
        <w:numPr>
          <w:ilvl w:val="0"/>
          <w:numId w:val="9"/>
        </w:numPr>
        <w:rPr>
          <w:sz w:val="22"/>
          <w:szCs w:val="22"/>
        </w:rPr>
      </w:pPr>
      <w:r w:rsidRPr="00674B54">
        <w:rPr>
          <w:sz w:val="22"/>
          <w:szCs w:val="22"/>
        </w:rPr>
        <w:t>Product Selection:</w:t>
      </w:r>
    </w:p>
    <w:p w14:paraId="08089690" w14:textId="77777777" w:rsidR="00674B54" w:rsidRPr="00674B54" w:rsidRDefault="00674B54" w:rsidP="00674B54">
      <w:pPr>
        <w:numPr>
          <w:ilvl w:val="1"/>
          <w:numId w:val="9"/>
        </w:numPr>
        <w:rPr>
          <w:sz w:val="22"/>
          <w:szCs w:val="22"/>
        </w:rPr>
      </w:pPr>
      <w:r w:rsidRPr="00674B54">
        <w:rPr>
          <w:sz w:val="22"/>
          <w:szCs w:val="22"/>
        </w:rPr>
        <w:t xml:space="preserve">Purpose: Filter by product type to </w:t>
      </w:r>
      <w:proofErr w:type="spellStart"/>
      <w:r w:rsidRPr="00674B54">
        <w:rPr>
          <w:sz w:val="22"/>
          <w:szCs w:val="22"/>
        </w:rPr>
        <w:t>analyze</w:t>
      </w:r>
      <w:proofErr w:type="spellEnd"/>
      <w:r w:rsidRPr="00674B54">
        <w:rPr>
          <w:sz w:val="22"/>
          <w:szCs w:val="22"/>
        </w:rPr>
        <w:t xml:space="preserve"> customer ownership of specific products.</w:t>
      </w:r>
    </w:p>
    <w:p w14:paraId="4C84B4B4" w14:textId="77777777" w:rsidR="00674B54" w:rsidRPr="00674B54" w:rsidRDefault="00674B54" w:rsidP="00674B54">
      <w:pPr>
        <w:numPr>
          <w:ilvl w:val="1"/>
          <w:numId w:val="9"/>
        </w:numPr>
        <w:rPr>
          <w:sz w:val="22"/>
          <w:szCs w:val="22"/>
        </w:rPr>
      </w:pPr>
      <w:r w:rsidRPr="00674B54">
        <w:rPr>
          <w:sz w:val="22"/>
          <w:szCs w:val="22"/>
        </w:rPr>
        <w:t>How to Use: Select one of the available product categories (INSCO, PPSI, PROFMED, STI) to view ownership information.</w:t>
      </w:r>
    </w:p>
    <w:p w14:paraId="1A15458B" w14:textId="77777777" w:rsidR="00674B54" w:rsidRPr="00674B54" w:rsidRDefault="00674B54" w:rsidP="00674B54">
      <w:pPr>
        <w:rPr>
          <w:sz w:val="22"/>
          <w:szCs w:val="22"/>
        </w:rPr>
      </w:pPr>
      <w:r w:rsidRPr="00674B54">
        <w:rPr>
          <w:sz w:val="22"/>
          <w:szCs w:val="22"/>
        </w:rPr>
        <w:t>2. Overview Tab (Tab 1):</w:t>
      </w:r>
    </w:p>
    <w:p w14:paraId="3D19AB68" w14:textId="77777777" w:rsidR="00674B54" w:rsidRPr="00674B54" w:rsidRDefault="00674B54" w:rsidP="00674B54">
      <w:pPr>
        <w:rPr>
          <w:sz w:val="22"/>
          <w:szCs w:val="22"/>
        </w:rPr>
      </w:pPr>
      <w:r w:rsidRPr="00674B54">
        <w:rPr>
          <w:sz w:val="22"/>
          <w:szCs w:val="22"/>
        </w:rPr>
        <w:t>This tab provides a quick, high-level overview of key insights for the selected occupation and income range.</w:t>
      </w:r>
    </w:p>
    <w:p w14:paraId="1CD17A51" w14:textId="77777777" w:rsidR="00674B54" w:rsidRPr="00674B54" w:rsidRDefault="00674B54" w:rsidP="00674B54">
      <w:pPr>
        <w:numPr>
          <w:ilvl w:val="0"/>
          <w:numId w:val="10"/>
        </w:numPr>
        <w:rPr>
          <w:sz w:val="22"/>
          <w:szCs w:val="22"/>
        </w:rPr>
      </w:pPr>
      <w:r w:rsidRPr="00674B54">
        <w:rPr>
          <w:sz w:val="22"/>
          <w:szCs w:val="22"/>
        </w:rPr>
        <w:t>Selected Occupation: Displays the occupation group chosen in the sidebar.</w:t>
      </w:r>
    </w:p>
    <w:p w14:paraId="2B4E3E7C" w14:textId="77777777" w:rsidR="00674B54" w:rsidRPr="00674B54" w:rsidRDefault="00674B54" w:rsidP="00674B54">
      <w:pPr>
        <w:numPr>
          <w:ilvl w:val="0"/>
          <w:numId w:val="10"/>
        </w:numPr>
        <w:rPr>
          <w:sz w:val="22"/>
          <w:szCs w:val="22"/>
        </w:rPr>
      </w:pPr>
      <w:r w:rsidRPr="00674B54">
        <w:rPr>
          <w:sz w:val="22"/>
          <w:szCs w:val="22"/>
        </w:rPr>
        <w:t>Income Range: Shows the selected income range with a comma-separated value format (e.g., R10,000 – R50,000).</w:t>
      </w:r>
    </w:p>
    <w:p w14:paraId="73BFD257" w14:textId="77777777" w:rsidR="00674B54" w:rsidRPr="00674B54" w:rsidRDefault="00674B54" w:rsidP="00674B54">
      <w:pPr>
        <w:numPr>
          <w:ilvl w:val="0"/>
          <w:numId w:val="10"/>
        </w:numPr>
        <w:rPr>
          <w:sz w:val="22"/>
          <w:szCs w:val="22"/>
        </w:rPr>
      </w:pPr>
      <w:r w:rsidRPr="00674B54">
        <w:rPr>
          <w:sz w:val="22"/>
          <w:szCs w:val="22"/>
        </w:rPr>
        <w:lastRenderedPageBreak/>
        <w:t>Customer Count: Displays the total number of customers that fall within the selected occupation and income range.</w:t>
      </w:r>
    </w:p>
    <w:p w14:paraId="20F555C2" w14:textId="77777777" w:rsidR="00674B54" w:rsidRPr="00674B54" w:rsidRDefault="00674B54" w:rsidP="00674B54">
      <w:pPr>
        <w:numPr>
          <w:ilvl w:val="1"/>
          <w:numId w:val="10"/>
        </w:numPr>
        <w:rPr>
          <w:sz w:val="22"/>
          <w:szCs w:val="22"/>
        </w:rPr>
      </w:pPr>
      <w:r w:rsidRPr="00674B54">
        <w:rPr>
          <w:sz w:val="22"/>
          <w:szCs w:val="22"/>
        </w:rPr>
        <w:t>Example: "Number of customers in selected occupation and income range: 2,500"</w:t>
      </w:r>
    </w:p>
    <w:p w14:paraId="7EE7BA94" w14:textId="77777777" w:rsidR="00674B54" w:rsidRPr="00674B54" w:rsidRDefault="00674B54" w:rsidP="00674B54">
      <w:pPr>
        <w:numPr>
          <w:ilvl w:val="0"/>
          <w:numId w:val="10"/>
        </w:numPr>
        <w:rPr>
          <w:sz w:val="22"/>
          <w:szCs w:val="22"/>
        </w:rPr>
      </w:pPr>
      <w:r w:rsidRPr="00674B54">
        <w:rPr>
          <w:sz w:val="22"/>
          <w:szCs w:val="22"/>
        </w:rPr>
        <w:t>Product Ownership Summary:</w:t>
      </w:r>
    </w:p>
    <w:p w14:paraId="1AEDCE6F" w14:textId="77777777" w:rsidR="00674B54" w:rsidRPr="00674B54" w:rsidRDefault="00674B54" w:rsidP="00674B54">
      <w:pPr>
        <w:numPr>
          <w:ilvl w:val="1"/>
          <w:numId w:val="10"/>
        </w:numPr>
        <w:rPr>
          <w:sz w:val="22"/>
          <w:szCs w:val="22"/>
        </w:rPr>
      </w:pPr>
      <w:r w:rsidRPr="00674B54">
        <w:rPr>
          <w:sz w:val="22"/>
          <w:szCs w:val="22"/>
        </w:rPr>
        <w:t>Purpose: A table showing the count of customers who own the selected product (INSCO, PPSI, PROFMED, or STI).</w:t>
      </w:r>
    </w:p>
    <w:p w14:paraId="301525CF" w14:textId="77777777" w:rsidR="00674B54" w:rsidRPr="00674B54" w:rsidRDefault="00674B54" w:rsidP="00674B54">
      <w:pPr>
        <w:numPr>
          <w:ilvl w:val="1"/>
          <w:numId w:val="10"/>
        </w:numPr>
        <w:rPr>
          <w:sz w:val="22"/>
          <w:szCs w:val="22"/>
        </w:rPr>
      </w:pPr>
      <w:r w:rsidRPr="00674B54">
        <w:rPr>
          <w:sz w:val="22"/>
          <w:szCs w:val="22"/>
        </w:rPr>
        <w:t>How to Read: "Yes" or "No" in the table represents whether the customer owns the product.</w:t>
      </w:r>
    </w:p>
    <w:p w14:paraId="3658337E" w14:textId="77777777" w:rsidR="00674B54" w:rsidRPr="00674B54" w:rsidRDefault="00674B54" w:rsidP="00674B54">
      <w:pPr>
        <w:rPr>
          <w:sz w:val="22"/>
          <w:szCs w:val="22"/>
        </w:rPr>
      </w:pPr>
      <w:r w:rsidRPr="00674B54">
        <w:rPr>
          <w:sz w:val="22"/>
          <w:szCs w:val="22"/>
        </w:rPr>
        <w:t>3. Visualizations Tab (Tab 2):</w:t>
      </w:r>
    </w:p>
    <w:p w14:paraId="70BC3293" w14:textId="77777777" w:rsidR="00674B54" w:rsidRPr="00674B54" w:rsidRDefault="00674B54" w:rsidP="00674B54">
      <w:pPr>
        <w:rPr>
          <w:sz w:val="22"/>
          <w:szCs w:val="22"/>
        </w:rPr>
      </w:pPr>
      <w:r w:rsidRPr="00674B54">
        <w:rPr>
          <w:sz w:val="22"/>
          <w:szCs w:val="22"/>
        </w:rPr>
        <w:t>This tab provides a detailed visualization of product ownership distribution.</w:t>
      </w:r>
    </w:p>
    <w:p w14:paraId="7EED2E61" w14:textId="77777777" w:rsidR="00674B54" w:rsidRPr="00674B54" w:rsidRDefault="00674B54" w:rsidP="00674B54">
      <w:pPr>
        <w:numPr>
          <w:ilvl w:val="0"/>
          <w:numId w:val="11"/>
        </w:numPr>
        <w:rPr>
          <w:sz w:val="22"/>
          <w:szCs w:val="22"/>
        </w:rPr>
      </w:pPr>
      <w:r w:rsidRPr="00674B54">
        <w:rPr>
          <w:sz w:val="22"/>
          <w:szCs w:val="22"/>
        </w:rPr>
        <w:t>Bar Chart:</w:t>
      </w:r>
    </w:p>
    <w:p w14:paraId="6C193E8A" w14:textId="77777777" w:rsidR="00674B54" w:rsidRPr="00674B54" w:rsidRDefault="00674B54" w:rsidP="00674B54">
      <w:pPr>
        <w:numPr>
          <w:ilvl w:val="1"/>
          <w:numId w:val="11"/>
        </w:numPr>
        <w:rPr>
          <w:sz w:val="22"/>
          <w:szCs w:val="22"/>
        </w:rPr>
      </w:pPr>
      <w:r w:rsidRPr="00674B54">
        <w:rPr>
          <w:sz w:val="22"/>
          <w:szCs w:val="22"/>
        </w:rPr>
        <w:t>Purpose: Displays the number of customers who own the selected product within the specified occupation and income range.</w:t>
      </w:r>
    </w:p>
    <w:p w14:paraId="1F81255A" w14:textId="77777777" w:rsidR="00674B54" w:rsidRPr="00674B54" w:rsidRDefault="00674B54" w:rsidP="00674B54">
      <w:pPr>
        <w:numPr>
          <w:ilvl w:val="1"/>
          <w:numId w:val="11"/>
        </w:numPr>
        <w:rPr>
          <w:sz w:val="22"/>
          <w:szCs w:val="22"/>
        </w:rPr>
      </w:pPr>
      <w:r w:rsidRPr="00674B54">
        <w:rPr>
          <w:sz w:val="22"/>
          <w:szCs w:val="22"/>
        </w:rPr>
        <w:t>How to Read: Each bar represents a product's ownership in terms of customer count.</w:t>
      </w:r>
    </w:p>
    <w:p w14:paraId="3882B2DB" w14:textId="77777777" w:rsidR="00674B54" w:rsidRPr="00674B54" w:rsidRDefault="00674B54" w:rsidP="00674B54">
      <w:pPr>
        <w:numPr>
          <w:ilvl w:val="1"/>
          <w:numId w:val="11"/>
        </w:numPr>
        <w:rPr>
          <w:sz w:val="22"/>
          <w:szCs w:val="22"/>
        </w:rPr>
      </w:pPr>
      <w:r w:rsidRPr="00674B54">
        <w:rPr>
          <w:sz w:val="22"/>
          <w:szCs w:val="22"/>
        </w:rPr>
        <w:t>Interactive Features: Hover over the bars to see the exact customer count.</w:t>
      </w:r>
    </w:p>
    <w:p w14:paraId="660227CC" w14:textId="73408C75" w:rsidR="00FB3427" w:rsidRPr="00861A18" w:rsidRDefault="00674B54" w:rsidP="001B5865">
      <w:pPr>
        <w:rPr>
          <w:sz w:val="22"/>
          <w:szCs w:val="22"/>
        </w:rPr>
      </w:pPr>
      <w:r w:rsidRPr="00861A18">
        <w:rPr>
          <w:sz w:val="22"/>
          <w:szCs w:val="22"/>
        </w:rPr>
        <w:t>4. Strategic Recommendations Tab (Tab 3)</w:t>
      </w:r>
    </w:p>
    <w:p w14:paraId="1203A26E" w14:textId="77777777" w:rsidR="00674B54" w:rsidRPr="00674B54" w:rsidRDefault="00674B54" w:rsidP="00674B54">
      <w:pPr>
        <w:numPr>
          <w:ilvl w:val="0"/>
          <w:numId w:val="14"/>
        </w:numPr>
        <w:rPr>
          <w:sz w:val="22"/>
          <w:szCs w:val="22"/>
        </w:rPr>
      </w:pPr>
      <w:r w:rsidRPr="00674B54">
        <w:rPr>
          <w:sz w:val="22"/>
          <w:szCs w:val="22"/>
        </w:rPr>
        <w:t>Targeted Insurance Bundles for High-Income Professionals</w:t>
      </w:r>
    </w:p>
    <w:p w14:paraId="307B0158" w14:textId="716BB2B5" w:rsidR="00674B54" w:rsidRPr="00674B54" w:rsidRDefault="00674B54" w:rsidP="00674B54">
      <w:pPr>
        <w:numPr>
          <w:ilvl w:val="1"/>
          <w:numId w:val="14"/>
        </w:numPr>
        <w:rPr>
          <w:sz w:val="22"/>
          <w:szCs w:val="22"/>
        </w:rPr>
      </w:pPr>
      <w:r w:rsidRPr="00674B54">
        <w:rPr>
          <w:sz w:val="22"/>
          <w:szCs w:val="22"/>
        </w:rPr>
        <w:t xml:space="preserve">Insight: </w:t>
      </w:r>
      <w:r w:rsidR="00861A18" w:rsidRPr="00861A18">
        <w:rPr>
          <w:sz w:val="22"/>
          <w:szCs w:val="22"/>
        </w:rPr>
        <w:t>Both female and male customers aged 46–60 represent the highest earning demographic.</w:t>
      </w:r>
    </w:p>
    <w:p w14:paraId="79EF6D53" w14:textId="1101E622" w:rsidR="00674B54" w:rsidRPr="00674B54" w:rsidRDefault="00674B54" w:rsidP="00674B54">
      <w:pPr>
        <w:numPr>
          <w:ilvl w:val="1"/>
          <w:numId w:val="14"/>
        </w:numPr>
        <w:rPr>
          <w:sz w:val="22"/>
          <w:szCs w:val="22"/>
        </w:rPr>
      </w:pPr>
      <w:r w:rsidRPr="00674B54">
        <w:rPr>
          <w:sz w:val="22"/>
          <w:szCs w:val="22"/>
        </w:rPr>
        <w:t>Strategy:</w:t>
      </w:r>
      <w:r w:rsidR="00861A18" w:rsidRPr="00861A18">
        <w:rPr>
          <w:sz w:val="22"/>
          <w:szCs w:val="22"/>
        </w:rPr>
        <w:t xml:space="preserve"> </w:t>
      </w:r>
      <w:r w:rsidR="00861A18" w:rsidRPr="00861A18">
        <w:rPr>
          <w:sz w:val="22"/>
          <w:szCs w:val="22"/>
        </w:rPr>
        <w:t>Position high-value or premium insurance and investment products specifically for the 46–60 age group. Highlight benefits such as wealth protection, advanced healthcare coverage, and retirement planning. Tailor messaging to reflect their life stage—financial security, legacy planning, and peace of mind. Utilize personalized outreach via email, financial advisor consultations, and exclusive webinars to drive engagement and conversion.</w:t>
      </w:r>
    </w:p>
    <w:p w14:paraId="7141F99E" w14:textId="20AF510A" w:rsidR="00674B54" w:rsidRPr="00674B54" w:rsidRDefault="00861A18" w:rsidP="00674B54">
      <w:pPr>
        <w:numPr>
          <w:ilvl w:val="0"/>
          <w:numId w:val="14"/>
        </w:numPr>
        <w:rPr>
          <w:sz w:val="22"/>
          <w:szCs w:val="22"/>
        </w:rPr>
      </w:pPr>
      <w:r w:rsidRPr="00861A18">
        <w:rPr>
          <w:sz w:val="22"/>
          <w:szCs w:val="22"/>
        </w:rPr>
        <w:t>Upsell Campaign for Medical Professionals</w:t>
      </w:r>
    </w:p>
    <w:p w14:paraId="0B1214F8" w14:textId="111DEF8F" w:rsidR="00674B54" w:rsidRPr="00674B54" w:rsidRDefault="00674B54" w:rsidP="00674B54">
      <w:pPr>
        <w:numPr>
          <w:ilvl w:val="1"/>
          <w:numId w:val="14"/>
        </w:numPr>
        <w:rPr>
          <w:sz w:val="22"/>
          <w:szCs w:val="22"/>
        </w:rPr>
      </w:pPr>
      <w:r w:rsidRPr="00674B54">
        <w:rPr>
          <w:sz w:val="22"/>
          <w:szCs w:val="22"/>
        </w:rPr>
        <w:t xml:space="preserve">Insight: </w:t>
      </w:r>
      <w:r w:rsidR="00861A18" w:rsidRPr="00861A18">
        <w:rPr>
          <w:sz w:val="22"/>
          <w:szCs w:val="22"/>
        </w:rPr>
        <w:t>The majority of customers work in the medical field and typically hold only two products (INSCO and STI)</w:t>
      </w:r>
    </w:p>
    <w:p w14:paraId="7C258D83" w14:textId="7D3F6582" w:rsidR="00674B54" w:rsidRPr="00861A18" w:rsidRDefault="00674B54" w:rsidP="008F3424">
      <w:pPr>
        <w:numPr>
          <w:ilvl w:val="1"/>
          <w:numId w:val="14"/>
        </w:numPr>
        <w:rPr>
          <w:sz w:val="22"/>
          <w:szCs w:val="22"/>
        </w:rPr>
      </w:pPr>
      <w:r w:rsidRPr="00674B54">
        <w:rPr>
          <w:sz w:val="22"/>
          <w:szCs w:val="22"/>
        </w:rPr>
        <w:t xml:space="preserve">Strategy: </w:t>
      </w:r>
      <w:r w:rsidR="00861A18" w:rsidRPr="00861A18">
        <w:rPr>
          <w:sz w:val="22"/>
          <w:szCs w:val="22"/>
        </w:rPr>
        <w:t xml:space="preserve">Launch an upsell campaign targeted at medical professionals, encouraging them to expand their coverage with complementary products such as PPSI or PROFMED. Position these as tailored solutions that align with their professional risks, income protection needs, or long-term financial planning. Use targeted messaging through email, in-app notifications, or </w:t>
      </w:r>
      <w:proofErr w:type="spellStart"/>
      <w:r w:rsidR="00861A18" w:rsidRPr="00861A18">
        <w:rPr>
          <w:sz w:val="22"/>
          <w:szCs w:val="22"/>
        </w:rPr>
        <w:t>whatsapp</w:t>
      </w:r>
      <w:proofErr w:type="spellEnd"/>
      <w:r w:rsidR="00861A18" w:rsidRPr="00861A18">
        <w:rPr>
          <w:sz w:val="22"/>
          <w:szCs w:val="22"/>
        </w:rPr>
        <w:t xml:space="preserve"> messaging</w:t>
      </w:r>
      <w:r w:rsidR="00861A18" w:rsidRPr="00861A18">
        <w:rPr>
          <w:sz w:val="22"/>
          <w:szCs w:val="22"/>
        </w:rPr>
        <w:t xml:space="preserve"> to showcase the added value and peace of mind these additional products provide. Include limited-time bundle discounts or loyalty incentives to drive uptake.</w:t>
      </w:r>
    </w:p>
    <w:sectPr w:rsidR="00674B54" w:rsidRPr="00861A18" w:rsidSect="004815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B1D2E"/>
    <w:multiLevelType w:val="hybridMultilevel"/>
    <w:tmpl w:val="28F46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EF28C7"/>
    <w:multiLevelType w:val="hybridMultilevel"/>
    <w:tmpl w:val="4D6A6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6A3F37"/>
    <w:multiLevelType w:val="multilevel"/>
    <w:tmpl w:val="B5B8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2613C"/>
    <w:multiLevelType w:val="multilevel"/>
    <w:tmpl w:val="2EDE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81D26"/>
    <w:multiLevelType w:val="multilevel"/>
    <w:tmpl w:val="C1B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558CB"/>
    <w:multiLevelType w:val="multilevel"/>
    <w:tmpl w:val="349A7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370C7"/>
    <w:multiLevelType w:val="multilevel"/>
    <w:tmpl w:val="83EEC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94EFB"/>
    <w:multiLevelType w:val="multilevel"/>
    <w:tmpl w:val="68C4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A53918"/>
    <w:multiLevelType w:val="multilevel"/>
    <w:tmpl w:val="0AD8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20115"/>
    <w:multiLevelType w:val="hybridMultilevel"/>
    <w:tmpl w:val="26BC6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06604"/>
    <w:multiLevelType w:val="multilevel"/>
    <w:tmpl w:val="0992A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20D03"/>
    <w:multiLevelType w:val="multilevel"/>
    <w:tmpl w:val="C948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57CAD"/>
    <w:multiLevelType w:val="multilevel"/>
    <w:tmpl w:val="A9FC9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0530E"/>
    <w:multiLevelType w:val="multilevel"/>
    <w:tmpl w:val="2172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847407">
    <w:abstractNumId w:val="1"/>
  </w:num>
  <w:num w:numId="2" w16cid:durableId="243105219">
    <w:abstractNumId w:val="7"/>
  </w:num>
  <w:num w:numId="3" w16cid:durableId="1995252762">
    <w:abstractNumId w:val="10"/>
  </w:num>
  <w:num w:numId="4" w16cid:durableId="1589998357">
    <w:abstractNumId w:val="4"/>
  </w:num>
  <w:num w:numId="5" w16cid:durableId="342128718">
    <w:abstractNumId w:val="8"/>
  </w:num>
  <w:num w:numId="6" w16cid:durableId="1771703780">
    <w:abstractNumId w:val="3"/>
  </w:num>
  <w:num w:numId="7" w16cid:durableId="1356344195">
    <w:abstractNumId w:val="2"/>
  </w:num>
  <w:num w:numId="8" w16cid:durableId="105543474">
    <w:abstractNumId w:val="11"/>
  </w:num>
  <w:num w:numId="9" w16cid:durableId="978916942">
    <w:abstractNumId w:val="5"/>
  </w:num>
  <w:num w:numId="10" w16cid:durableId="1938051183">
    <w:abstractNumId w:val="12"/>
  </w:num>
  <w:num w:numId="11" w16cid:durableId="590237102">
    <w:abstractNumId w:val="13"/>
  </w:num>
  <w:num w:numId="12" w16cid:durableId="1830514933">
    <w:abstractNumId w:val="9"/>
  </w:num>
  <w:num w:numId="13" w16cid:durableId="86971786">
    <w:abstractNumId w:val="6"/>
  </w:num>
  <w:num w:numId="14" w16cid:durableId="1611350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A0"/>
    <w:rsid w:val="00035C84"/>
    <w:rsid w:val="000975EF"/>
    <w:rsid w:val="001B5865"/>
    <w:rsid w:val="002E4759"/>
    <w:rsid w:val="00476920"/>
    <w:rsid w:val="004815A0"/>
    <w:rsid w:val="00674B54"/>
    <w:rsid w:val="00861A18"/>
    <w:rsid w:val="00AE0E0F"/>
    <w:rsid w:val="00C20617"/>
    <w:rsid w:val="00FB34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A4C8"/>
  <w15:chartTrackingRefBased/>
  <w15:docId w15:val="{2044F723-E4FD-6947-AD37-4B229FBE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5A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5A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5A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5A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5A0"/>
    <w:rPr>
      <w:rFonts w:eastAsiaTheme="majorEastAsia" w:cstheme="majorBidi"/>
      <w:color w:val="272727" w:themeColor="text1" w:themeTint="D8"/>
    </w:rPr>
  </w:style>
  <w:style w:type="paragraph" w:styleId="Title">
    <w:name w:val="Title"/>
    <w:basedOn w:val="Normal"/>
    <w:next w:val="Normal"/>
    <w:link w:val="TitleChar"/>
    <w:uiPriority w:val="10"/>
    <w:qFormat/>
    <w:rsid w:val="004815A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5A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5A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15A0"/>
    <w:rPr>
      <w:i/>
      <w:iCs/>
      <w:color w:val="404040" w:themeColor="text1" w:themeTint="BF"/>
    </w:rPr>
  </w:style>
  <w:style w:type="paragraph" w:styleId="ListParagraph">
    <w:name w:val="List Paragraph"/>
    <w:basedOn w:val="Normal"/>
    <w:uiPriority w:val="34"/>
    <w:qFormat/>
    <w:rsid w:val="004815A0"/>
    <w:pPr>
      <w:ind w:left="720"/>
      <w:contextualSpacing/>
    </w:pPr>
  </w:style>
  <w:style w:type="character" w:styleId="IntenseEmphasis">
    <w:name w:val="Intense Emphasis"/>
    <w:basedOn w:val="DefaultParagraphFont"/>
    <w:uiPriority w:val="21"/>
    <w:qFormat/>
    <w:rsid w:val="004815A0"/>
    <w:rPr>
      <w:i/>
      <w:iCs/>
      <w:color w:val="0F4761" w:themeColor="accent1" w:themeShade="BF"/>
    </w:rPr>
  </w:style>
  <w:style w:type="paragraph" w:styleId="IntenseQuote">
    <w:name w:val="Intense Quote"/>
    <w:basedOn w:val="Normal"/>
    <w:next w:val="Normal"/>
    <w:link w:val="IntenseQuoteChar"/>
    <w:uiPriority w:val="30"/>
    <w:qFormat/>
    <w:rsid w:val="00481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5A0"/>
    <w:rPr>
      <w:i/>
      <w:iCs/>
      <w:color w:val="0F4761" w:themeColor="accent1" w:themeShade="BF"/>
    </w:rPr>
  </w:style>
  <w:style w:type="character" w:styleId="IntenseReference">
    <w:name w:val="Intense Reference"/>
    <w:basedOn w:val="DefaultParagraphFont"/>
    <w:uiPriority w:val="32"/>
    <w:qFormat/>
    <w:rsid w:val="004815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818982">
      <w:bodyDiv w:val="1"/>
      <w:marLeft w:val="0"/>
      <w:marRight w:val="0"/>
      <w:marTop w:val="0"/>
      <w:marBottom w:val="0"/>
      <w:divBdr>
        <w:top w:val="none" w:sz="0" w:space="0" w:color="auto"/>
        <w:left w:val="none" w:sz="0" w:space="0" w:color="auto"/>
        <w:bottom w:val="none" w:sz="0" w:space="0" w:color="auto"/>
        <w:right w:val="none" w:sz="0" w:space="0" w:color="auto"/>
      </w:divBdr>
    </w:div>
    <w:div w:id="335427079">
      <w:bodyDiv w:val="1"/>
      <w:marLeft w:val="0"/>
      <w:marRight w:val="0"/>
      <w:marTop w:val="0"/>
      <w:marBottom w:val="0"/>
      <w:divBdr>
        <w:top w:val="none" w:sz="0" w:space="0" w:color="auto"/>
        <w:left w:val="none" w:sz="0" w:space="0" w:color="auto"/>
        <w:bottom w:val="none" w:sz="0" w:space="0" w:color="auto"/>
        <w:right w:val="none" w:sz="0" w:space="0" w:color="auto"/>
      </w:divBdr>
    </w:div>
    <w:div w:id="433093240">
      <w:bodyDiv w:val="1"/>
      <w:marLeft w:val="0"/>
      <w:marRight w:val="0"/>
      <w:marTop w:val="0"/>
      <w:marBottom w:val="0"/>
      <w:divBdr>
        <w:top w:val="none" w:sz="0" w:space="0" w:color="auto"/>
        <w:left w:val="none" w:sz="0" w:space="0" w:color="auto"/>
        <w:bottom w:val="none" w:sz="0" w:space="0" w:color="auto"/>
        <w:right w:val="none" w:sz="0" w:space="0" w:color="auto"/>
      </w:divBdr>
    </w:div>
    <w:div w:id="1065035174">
      <w:bodyDiv w:val="1"/>
      <w:marLeft w:val="0"/>
      <w:marRight w:val="0"/>
      <w:marTop w:val="0"/>
      <w:marBottom w:val="0"/>
      <w:divBdr>
        <w:top w:val="none" w:sz="0" w:space="0" w:color="auto"/>
        <w:left w:val="none" w:sz="0" w:space="0" w:color="auto"/>
        <w:bottom w:val="none" w:sz="0" w:space="0" w:color="auto"/>
        <w:right w:val="none" w:sz="0" w:space="0" w:color="auto"/>
      </w:divBdr>
    </w:div>
    <w:div w:id="1119840570">
      <w:bodyDiv w:val="1"/>
      <w:marLeft w:val="0"/>
      <w:marRight w:val="0"/>
      <w:marTop w:val="0"/>
      <w:marBottom w:val="0"/>
      <w:divBdr>
        <w:top w:val="none" w:sz="0" w:space="0" w:color="auto"/>
        <w:left w:val="none" w:sz="0" w:space="0" w:color="auto"/>
        <w:bottom w:val="none" w:sz="0" w:space="0" w:color="auto"/>
        <w:right w:val="none" w:sz="0" w:space="0" w:color="auto"/>
      </w:divBdr>
    </w:div>
    <w:div w:id="1133331477">
      <w:bodyDiv w:val="1"/>
      <w:marLeft w:val="0"/>
      <w:marRight w:val="0"/>
      <w:marTop w:val="0"/>
      <w:marBottom w:val="0"/>
      <w:divBdr>
        <w:top w:val="none" w:sz="0" w:space="0" w:color="auto"/>
        <w:left w:val="none" w:sz="0" w:space="0" w:color="auto"/>
        <w:bottom w:val="none" w:sz="0" w:space="0" w:color="auto"/>
        <w:right w:val="none" w:sz="0" w:space="0" w:color="auto"/>
      </w:divBdr>
    </w:div>
    <w:div w:id="1521817851">
      <w:bodyDiv w:val="1"/>
      <w:marLeft w:val="0"/>
      <w:marRight w:val="0"/>
      <w:marTop w:val="0"/>
      <w:marBottom w:val="0"/>
      <w:divBdr>
        <w:top w:val="none" w:sz="0" w:space="0" w:color="auto"/>
        <w:left w:val="none" w:sz="0" w:space="0" w:color="auto"/>
        <w:bottom w:val="none" w:sz="0" w:space="0" w:color="auto"/>
        <w:right w:val="none" w:sz="0" w:space="0" w:color="auto"/>
      </w:divBdr>
    </w:div>
    <w:div w:id="208021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Naledi Segale</dc:creator>
  <cp:keywords/>
  <dc:description/>
  <cp:lastModifiedBy>Naledi Segale</cp:lastModifiedBy>
  <cp:revision>3</cp:revision>
  <dcterms:created xsi:type="dcterms:W3CDTF">2025-05-04T07:11:00Z</dcterms:created>
  <dcterms:modified xsi:type="dcterms:W3CDTF">2025-05-05T11:58:00Z</dcterms:modified>
</cp:coreProperties>
</file>