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 xml:space="preserve">Thiết bị quan trắc nồng độ bụi PMx cần được thiết kế phù hợp với tiêu chuẩn của Việt Nam về đo đạc các thông số môi trường để tính toán thông số </w:t>
      </w:r>
      <w:r w:rsidRPr="00120457">
        <w:t>VN</w:t>
      </w:r>
      <w:r>
        <w:t>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5CBE9D99" w:rsidR="008428AB" w:rsidRDefault="00554FEA" w:rsidP="008428AB">
      <w:pPr>
        <w:pStyle w:val="ListParagraph"/>
        <w:keepNext/>
        <w:ind w:left="360" w:hanging="360"/>
      </w:pPr>
      <w:r w:rsidRPr="00554FEA">
        <w:rPr>
          <w:noProof/>
        </w:rPr>
        <w:drawing>
          <wp:inline distT="0" distB="0" distL="0" distR="0" wp14:anchorId="17B0D1C6" wp14:editId="765BEF61">
            <wp:extent cx="5943600" cy="3906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0652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2B8038B9"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193998D3"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6</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0071C690"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Quạt</w:t>
            </w:r>
          </w:p>
        </w:tc>
        <w:tc>
          <w:tcPr>
            <w:tcW w:w="2062" w:type="dxa"/>
            <w:tcBorders>
              <w:top w:val="single" w:sz="6" w:space="0" w:color="000000"/>
              <w:left w:val="single" w:sz="6" w:space="0" w:color="000000"/>
              <w:bottom w:val="single" w:sz="6" w:space="0" w:color="000000"/>
              <w:right w:val="single" w:sz="6" w:space="0" w:color="000000"/>
            </w:tcBorders>
          </w:tcPr>
          <w:p w14:paraId="3F434EF9" w14:textId="1D8EF05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27420DC4"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0.2A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00B7B05A"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8pt" o:ole="">
            <v:imagedata r:id="rId8" o:title=""/>
          </v:shape>
          <o:OLEObject Type="Embed" ProgID="Equation.DSMT4" ShapeID="_x0000_i1025" DrawAspect="Content" ObjectID="_1729113343"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29113344" r:id="rId11"/>
        </w:object>
      </w:r>
      <w:r>
        <w:t>, …</w:t>
      </w:r>
      <w:r w:rsidRPr="005F5103">
        <w:t xml:space="preserve"> </w:t>
      </w:r>
      <w:r w:rsidRPr="002048CB">
        <w:rPr>
          <w:position w:val="-12"/>
        </w:rPr>
        <w:object w:dxaOrig="300" w:dyaOrig="360" w14:anchorId="590F6C79">
          <v:shape id="_x0000_i1027" type="#_x0000_t75" style="width:15.6pt;height:18pt" o:ole="">
            <v:imagedata r:id="rId12" o:title=""/>
          </v:shape>
          <o:OLEObject Type="Embed" ProgID="Equation.DSMT4" ShapeID="_x0000_i1027" DrawAspect="Content" ObjectID="_1729113345" r:id="rId13"/>
        </w:object>
      </w:r>
      <w:r>
        <w:t xml:space="preserve"> là 12 giá trị quan trắc trung bình 1 giờ (với </w:t>
      </w:r>
      <w:r w:rsidRPr="002048CB">
        <w:rPr>
          <w:position w:val="-12"/>
        </w:rPr>
        <w:object w:dxaOrig="220" w:dyaOrig="360" w14:anchorId="3FC13493">
          <v:shape id="_x0000_i1028" type="#_x0000_t75" style="width:11.4pt;height:18pt" o:ole="">
            <v:imagedata r:id="rId8" o:title=""/>
          </v:shape>
          <o:OLEObject Type="Embed" ProgID="Equation.DSMT4" ShapeID="_x0000_i1028" DrawAspect="Content" ObjectID="_1729113346" r:id="rId14"/>
        </w:object>
      </w:r>
      <w:r>
        <w:t xml:space="preserve">là giá trị quan trắc trung bình 1 giờ hiện tại, </w:t>
      </w:r>
      <w:r w:rsidRPr="002048CB">
        <w:rPr>
          <w:position w:val="-12"/>
        </w:rPr>
        <w:object w:dxaOrig="300" w:dyaOrig="360" w14:anchorId="720AC457">
          <v:shape id="_x0000_i1029" type="#_x0000_t75" style="width:15.6pt;height:18pt" o:ole="">
            <v:imagedata r:id="rId12" o:title=""/>
          </v:shape>
          <o:OLEObject Type="Embed" ProgID="Equation.DSMT4" ShapeID="_x0000_i1029" DrawAspect="Content" ObjectID="_1729113347"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6pt;height:34.8pt" o:ole="">
            <v:imagedata r:id="rId16" o:title=""/>
          </v:shape>
          <o:OLEObject Type="Embed" ProgID="Equation.DSMT4" ShapeID="_x0000_i1030" DrawAspect="Content" ObjectID="_1729113348"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3.4pt;height:18pt" o:ole="">
            <v:imagedata r:id="rId18" o:title=""/>
          </v:shape>
          <o:OLEObject Type="Embed" ProgID="Equation.DSMT4" ShapeID="_x0000_i1031" DrawAspect="Content" ObjectID="_1729113349"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29113350"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2pt" o:ole="">
            <v:imagedata r:id="rId22" o:title=""/>
          </v:shape>
          <o:OLEObject Type="Embed" ProgID="Equation.DSMT4" ShapeID="_x0000_i1033" DrawAspect="Content" ObjectID="_1729113351" r:id="rId23"/>
        </w:object>
      </w:r>
      <w:r>
        <w:t xml:space="preserve"> thì </w:t>
      </w:r>
      <w:r w:rsidRPr="002048CB">
        <w:rPr>
          <w:position w:val="-24"/>
        </w:rPr>
        <w:object w:dxaOrig="639" w:dyaOrig="620" w14:anchorId="4A1F94EE">
          <v:shape id="_x0000_i1034" type="#_x0000_t75" style="width:31.2pt;height:31.2pt" o:ole="">
            <v:imagedata r:id="rId24" o:title=""/>
          </v:shape>
          <o:OLEObject Type="Embed" ProgID="Equation.DSMT4" ShapeID="_x0000_i1034" DrawAspect="Content" ObjectID="_1729113352"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2pt" o:ole="">
            <v:imagedata r:id="rId26" o:title=""/>
          </v:shape>
          <o:OLEObject Type="Embed" ProgID="Equation.DSMT4" ShapeID="_x0000_i1035" DrawAspect="Content" ObjectID="_1729113353" r:id="rId27"/>
        </w:object>
      </w:r>
      <w:r>
        <w:t xml:space="preserve">thì </w:t>
      </w:r>
      <w:r w:rsidRPr="002048CB">
        <w:rPr>
          <w:position w:val="-6"/>
        </w:rPr>
        <w:object w:dxaOrig="800" w:dyaOrig="279" w14:anchorId="20C0E83B">
          <v:shape id="_x0000_i1036" type="#_x0000_t75" style="width:40.8pt;height:13.2pt" o:ole="">
            <v:imagedata r:id="rId28" o:title=""/>
          </v:shape>
          <o:OLEObject Type="Embed" ProgID="Equation.DSMT4" ShapeID="_x0000_i1036" DrawAspect="Content" ObjectID="_1729113354"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2pt;height:31.2pt" o:ole="">
            <v:imagedata r:id="rId30" o:title=""/>
          </v:shape>
          <o:OLEObject Type="Embed" ProgID="Equation.DSMT4" ShapeID="_x0000_i1037" DrawAspect="Content" ObjectID="_1729113355"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1.4pt;height:66pt" o:ole="">
            <v:imagedata r:id="rId32" o:title=""/>
          </v:shape>
          <o:OLEObject Type="Embed" ProgID="Equation.DSMT4" ShapeID="_x0000_i1038" DrawAspect="Content" ObjectID="_1729113356"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2pt;height:31.2pt" o:ole="">
            <v:imagedata r:id="rId34" o:title=""/>
          </v:shape>
          <o:OLEObject Type="Embed" ProgID="Equation.DSMT4" ShapeID="_x0000_i1039" DrawAspect="Content" ObjectID="_1729113357"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pt;height:31.2pt" o:ole="">
            <v:imagedata r:id="rId36" o:title=""/>
          </v:shape>
          <o:OLEObject Type="Embed" ProgID="Equation.DSMT4" ShapeID="_x0000_i1040" DrawAspect="Content" ObjectID="_1729113358"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1.4pt;height:18pt" o:ole="">
            <v:imagedata r:id="rId8" o:title=""/>
          </v:shape>
          <o:OLEObject Type="Embed" ProgID="Equation.DSMT4" ShapeID="_x0000_i1041" DrawAspect="Content" ObjectID="_1729113359"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29113360"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29113361"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1.4pt;height:18pt" o:ole="">
            <v:imagedata r:id="rId43" o:title=""/>
          </v:shape>
          <o:OLEObject Type="Embed" ProgID="Equation.DSMT4" ShapeID="_x0000_i1044" DrawAspect="Content" ObjectID="_1729113362" r:id="rId44"/>
        </w:object>
      </w:r>
      <w:r w:rsidRPr="00A3767A">
        <w:t xml:space="preserve">không có giá trị thì lấy </w:t>
      </w:r>
      <w:r w:rsidRPr="002048CB">
        <w:rPr>
          <w:position w:val="-6"/>
        </w:rPr>
        <w:object w:dxaOrig="420" w:dyaOrig="320" w14:anchorId="1DA8BEB9">
          <v:shape id="_x0000_i1045" type="#_x0000_t75" style="width:21.6pt;height:16.8pt" o:ole="">
            <v:imagedata r:id="rId45" o:title=""/>
          </v:shape>
          <o:OLEObject Type="Embed" ProgID="Equation.DSMT4" ShapeID="_x0000_i1045" DrawAspect="Content" ObjectID="_1729113363"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29113364"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9.4pt;height:18pt" o:ole="">
            <v:imagedata r:id="rId49" o:title=""/>
          </v:shape>
          <o:OLEObject Type="Embed" ProgID="Equation.DSMT4" ShapeID="_x0000_i1047" DrawAspect="Content" ObjectID="_1729113365"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29113366"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8pt;height:34.8pt" o:ole="">
            <v:imagedata r:id="rId53" o:title=""/>
          </v:shape>
          <o:OLEObject Type="Embed" ProgID="Equation.DSMT4" ShapeID="_x0000_i1049" DrawAspect="Content" ObjectID="_1729113367"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9.4pt;height:18pt" o:ole="">
            <v:imagedata r:id="rId55" o:title=""/>
          </v:shape>
          <o:OLEObject Type="Embed" ProgID="Equation.DSMT4" ShapeID="_x0000_i1050" DrawAspect="Content" ObjectID="_1729113368" r:id="rId56"/>
        </w:object>
      </w:r>
      <w:r>
        <w:t xml:space="preserve">: Giá trị </w:t>
      </w:r>
      <w:r w:rsidRPr="002048CB">
        <w:rPr>
          <w:position w:val="-10"/>
        </w:rPr>
        <w:object w:dxaOrig="520" w:dyaOrig="320" w14:anchorId="60F6F1AB">
          <v:shape id="_x0000_i1051" type="#_x0000_t75" style="width:25.2pt;height:16.8pt" o:ole="">
            <v:imagedata r:id="rId57" o:title=""/>
          </v:shape>
          <o:OLEObject Type="Embed" ProgID="Equation.DSMT4" ShapeID="_x0000_i1051" DrawAspect="Content" ObjectID="_1729113369"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2pt;height:18pt" o:ole="">
            <v:imagedata r:id="rId59" o:title=""/>
          </v:shape>
          <o:OLEObject Type="Embed" ProgID="Equation.DSMT4" ShapeID="_x0000_i1052" DrawAspect="Content" ObjectID="_1729113370"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2pt;height:18pt" o:ole="">
            <v:imagedata r:id="rId61" o:title=""/>
          </v:shape>
          <o:OLEObject Type="Embed" ProgID="Equation.DSMT4" ShapeID="_x0000_i1053" DrawAspect="Content" ObjectID="_1729113371"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1.4pt;height:18pt" o:ole="">
            <v:imagedata r:id="rId63" o:title=""/>
          </v:shape>
          <o:OLEObject Type="Embed" ProgID="Equation.DSMT4" ShapeID="_x0000_i1054" DrawAspect="Content" ObjectID="_1729113372" r:id="rId64"/>
        </w:object>
      </w:r>
      <w:r>
        <w:t xml:space="preserve">: Giá trị </w:t>
      </w:r>
      <w:r w:rsidRPr="002048CB">
        <w:rPr>
          <w:position w:val="-10"/>
        </w:rPr>
        <w:object w:dxaOrig="520" w:dyaOrig="320" w14:anchorId="4AB92770">
          <v:shape id="_x0000_i1055" type="#_x0000_t75" style="width:25.2pt;height:16.8pt" o:ole="">
            <v:imagedata r:id="rId57" o:title=""/>
          </v:shape>
          <o:OLEObject Type="Embed" ProgID="Equation.DSMT4" ShapeID="_x0000_i1055" DrawAspect="Content" ObjectID="_1729113373" r:id="rId65"/>
        </w:object>
      </w:r>
      <w:r>
        <w:t xml:space="preserve"> ở mức i đã cho trong bảng tương ứng với giá trị </w:t>
      </w:r>
      <w:r w:rsidRPr="002048CB">
        <w:rPr>
          <w:position w:val="-12"/>
        </w:rPr>
        <w:object w:dxaOrig="380" w:dyaOrig="360" w14:anchorId="3C2AD58B">
          <v:shape id="_x0000_i1056" type="#_x0000_t75" style="width:19.2pt;height:18pt" o:ole="">
            <v:imagedata r:id="rId59" o:title=""/>
          </v:shape>
          <o:OLEObject Type="Embed" ProgID="Equation.DSMT4" ShapeID="_x0000_i1056" DrawAspect="Content" ObjectID="_1729113374"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29113375" r:id="rId68"/>
        </w:object>
      </w:r>
      <w:r>
        <w:t xml:space="preserve">: Giá trị </w:t>
      </w:r>
      <w:r w:rsidRPr="002048CB">
        <w:rPr>
          <w:position w:val="-10"/>
        </w:rPr>
        <w:object w:dxaOrig="520" w:dyaOrig="320" w14:anchorId="3F53D92C">
          <v:shape id="_x0000_i1058" type="#_x0000_t75" style="width:25.2pt;height:16.8pt" o:ole="">
            <v:imagedata r:id="rId57" o:title=""/>
          </v:shape>
          <o:OLEObject Type="Embed" ProgID="Equation.DSMT4" ShapeID="_x0000_i1058" DrawAspect="Content" ObjectID="_1729113376"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2pt;height:18pt" o:ole="">
            <v:imagedata r:id="rId70" o:title=""/>
          </v:shape>
          <o:OLEObject Type="Embed" ProgID="Equation.DSMT4" ShapeID="_x0000_i1059" DrawAspect="Content" ObjectID="_1729113377"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2pt;height:18pt" o:ole="">
            <v:imagedata r:id="rId72" o:title=""/>
          </v:shape>
          <o:OLEObject Type="Embed" ProgID="Equation.DSMT4" ShapeID="_x0000_i1060" DrawAspect="Content" ObjectID="_1729113378"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1.4pt;height:18pt" o:ole="">
                  <v:imagedata r:id="rId74" o:title=""/>
                </v:shape>
                <o:OLEObject Type="Embed" ProgID="Equation.DSMT4" ShapeID="_x0000_i1061" DrawAspect="Content" ObjectID="_1729113379"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2pt;height:18pt" o:ole="">
                  <v:imagedata r:id="rId59" o:title=""/>
                </v:shape>
                <o:OLEObject Type="Embed" ProgID="Equation.DSMT4" ShapeID="_x0000_i1062" DrawAspect="Content" ObjectID="_1729113380"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6pt;height:18pt" o:ole="">
                  <v:imagedata r:id="rId77" o:title=""/>
                </v:shape>
                <o:OLEObject Type="Embed" ProgID="Equation.DSMT4" ShapeID="_x0000_i1063" DrawAspect="Content" ObjectID="_1729113381"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9.4pt;height:18pt" o:ole="">
                  <v:imagedata r:id="rId79" o:title=""/>
                </v:shape>
                <o:OLEObject Type="Embed" ProgID="Equation.DSMT4" ShapeID="_x0000_i1064" DrawAspect="Content" ObjectID="_1729113382"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2pt;height:18pt" o:ole="">
                  <v:imagedata r:id="rId81" o:title=""/>
                </v:shape>
                <o:OLEObject Type="Embed" ProgID="Equation.DSMT4" ShapeID="_x0000_i1065" DrawAspect="Content" ObjectID="_1729113383"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8pt;height:12pt" o:ole="">
                  <v:imagedata r:id="rId83" o:title=""/>
                </v:shape>
                <o:OLEObject Type="Embed" ProgID="Equation.DSMT4" ShapeID="_x0000_i1066" DrawAspect="Content" ObjectID="_1729113384"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8pt;height:12pt" o:ole="">
                  <v:imagedata r:id="rId85" o:title=""/>
                </v:shape>
                <o:OLEObject Type="Embed" ProgID="Equation.DSMT4" ShapeID="_x0000_i1067" DrawAspect="Content" ObjectID="_1729113385"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2pt;height:18pt" o:ole="">
            <v:imagedata r:id="rId87" o:title=""/>
          </v:shape>
          <o:OLEObject Type="Embed" ProgID="Equation.DSMT4" ShapeID="_x0000_i1068" DrawAspect="Content" ObjectID="_1729113386"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2pt;height:18pt" o:ole="">
            <v:imagedata r:id="rId87" o:title=""/>
          </v:shape>
          <o:OLEObject Type="Embed" ProgID="Equation.DSMT4" ShapeID="_x0000_i1069" DrawAspect="Content" ObjectID="_1729113387" r:id="rId89"/>
        </w:object>
      </w:r>
      <w:r w:rsidRPr="00182C59">
        <w:rPr>
          <w:b/>
          <w:bCs/>
          <w:i/>
          <w:iCs/>
        </w:rPr>
        <w:t>của thông số PM2.5 và PM10 (</w:t>
      </w:r>
      <w:r w:rsidRPr="00182C59">
        <w:rPr>
          <w:b/>
          <w:bCs/>
          <w:i/>
          <w:iCs/>
          <w:position w:val="-12"/>
        </w:rPr>
        <w:object w:dxaOrig="580" w:dyaOrig="360" w14:anchorId="4D6B9AF8">
          <v:shape id="_x0000_i1070" type="#_x0000_t75" style="width:29.4pt;height:18pt" o:ole="">
            <v:imagedata r:id="rId90" o:title=""/>
          </v:shape>
          <o:OLEObject Type="Embed" ProgID="Equation.DSMT4" ShapeID="_x0000_i1070" DrawAspect="Content" ObjectID="_1729113388"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1.4pt;height:34.8pt" o:ole="">
            <v:imagedata r:id="rId92" o:title=""/>
          </v:shape>
          <o:OLEObject Type="Embed" ProgID="Equation.DSMT4" ShapeID="_x0000_i1071" DrawAspect="Content" ObjectID="_1729113389"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9.4pt;height:18pt" o:ole="">
            <v:imagedata r:id="rId55" o:title=""/>
          </v:shape>
          <o:OLEObject Type="Embed" ProgID="Equation.DSMT4" ShapeID="_x0000_i1072" DrawAspect="Content" ObjectID="_1729113390" r:id="rId94"/>
        </w:object>
      </w:r>
      <w:r>
        <w:t xml:space="preserve">: Giá trị </w:t>
      </w:r>
      <w:r w:rsidRPr="00182C59">
        <w:rPr>
          <w:b/>
          <w:bCs/>
          <w:i/>
          <w:iCs/>
          <w:position w:val="-10"/>
        </w:rPr>
        <w:object w:dxaOrig="620" w:dyaOrig="360" w14:anchorId="761FFCA4">
          <v:shape id="_x0000_i1073" type="#_x0000_t75" style="width:31.2pt;height:18pt" o:ole="">
            <v:imagedata r:id="rId87" o:title=""/>
          </v:shape>
          <o:OLEObject Type="Embed" ProgID="Equation.DSMT4" ShapeID="_x0000_i1073" DrawAspect="Content" ObjectID="_1729113391"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2pt;height:18pt" o:ole="">
            <v:imagedata r:id="rId59" o:title=""/>
          </v:shape>
          <o:OLEObject Type="Embed" ProgID="Equation.DSMT4" ShapeID="_x0000_i1074" DrawAspect="Content" ObjectID="_1729113392"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2pt;height:18pt" o:ole="">
            <v:imagedata r:id="rId61" o:title=""/>
          </v:shape>
          <o:OLEObject Type="Embed" ProgID="Equation.DSMT4" ShapeID="_x0000_i1075" DrawAspect="Content" ObjectID="_1729113393"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1.4pt;height:18pt" o:ole="">
            <v:imagedata r:id="rId63" o:title=""/>
          </v:shape>
          <o:OLEObject Type="Embed" ProgID="Equation.DSMT4" ShapeID="_x0000_i1076" DrawAspect="Content" ObjectID="_1729113394" r:id="rId98"/>
        </w:object>
      </w:r>
      <w:r>
        <w:t xml:space="preserve">: Giá trị </w:t>
      </w:r>
      <w:r w:rsidRPr="002048CB">
        <w:rPr>
          <w:position w:val="-10"/>
        </w:rPr>
        <w:object w:dxaOrig="520" w:dyaOrig="320" w14:anchorId="0D822052">
          <v:shape id="_x0000_i1077" type="#_x0000_t75" style="width:25.2pt;height:16.8pt" o:ole="">
            <v:imagedata r:id="rId57" o:title=""/>
          </v:shape>
          <o:OLEObject Type="Embed" ProgID="Equation.DSMT4" ShapeID="_x0000_i1077" DrawAspect="Content" ObjectID="_1729113395" r:id="rId99"/>
        </w:object>
      </w:r>
      <w:r>
        <w:t xml:space="preserve"> ở mức i đã cho trong bảng tương ứng với giá trị </w:t>
      </w:r>
      <w:r w:rsidRPr="002048CB">
        <w:rPr>
          <w:position w:val="-12"/>
        </w:rPr>
        <w:object w:dxaOrig="380" w:dyaOrig="360" w14:anchorId="541E90E7">
          <v:shape id="_x0000_i1078" type="#_x0000_t75" style="width:19.2pt;height:18pt" o:ole="">
            <v:imagedata r:id="rId59" o:title=""/>
          </v:shape>
          <o:OLEObject Type="Embed" ProgID="Equation.DSMT4" ShapeID="_x0000_i1078" DrawAspect="Content" ObjectID="_1729113396"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29113397" r:id="rId101"/>
        </w:object>
      </w:r>
      <w:r>
        <w:t xml:space="preserve">: Giá trị </w:t>
      </w:r>
      <w:r w:rsidRPr="002048CB">
        <w:rPr>
          <w:position w:val="-10"/>
        </w:rPr>
        <w:object w:dxaOrig="520" w:dyaOrig="320" w14:anchorId="1252FB4F">
          <v:shape id="_x0000_i1080" type="#_x0000_t75" style="width:25.2pt;height:16.8pt" o:ole="">
            <v:imagedata r:id="rId57" o:title=""/>
          </v:shape>
          <o:OLEObject Type="Embed" ProgID="Equation.DSMT4" ShapeID="_x0000_i1080" DrawAspect="Content" ObjectID="_1729113398"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2pt;height:18pt" o:ole="">
            <v:imagedata r:id="rId70" o:title=""/>
          </v:shape>
          <o:OLEObject Type="Embed" ProgID="Equation.DSMT4" ShapeID="_x0000_i1081" DrawAspect="Content" ObjectID="_1729113399"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6pt;height:18pt" o:ole="">
            <v:imagedata r:id="rId104" o:title=""/>
          </v:shape>
          <o:OLEObject Type="Embed" ProgID="Equation.DSMT4" ShapeID="_x0000_i1082" DrawAspect="Content" ObjectID="_1729113400"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E812D71" w:rsidR="007B0824"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p w14:paraId="2CB917DA" w14:textId="7284648F" w:rsidR="006B7502" w:rsidRDefault="00000000" w:rsidP="006B7502">
      <w:hyperlink r:id="rId106" w:history="1">
        <w:r w:rsidR="0074371E" w:rsidRPr="001A4D15">
          <w:rPr>
            <w:rStyle w:val="Hyperlink"/>
          </w:rPr>
          <w:t>https://en.sekorm.com/doc/2051810.html</w:t>
        </w:r>
      </w:hyperlink>
    </w:p>
    <w:p w14:paraId="2F920D73" w14:textId="402C950D" w:rsidR="0074371E" w:rsidRDefault="0074371E" w:rsidP="0074371E">
      <w:pPr>
        <w:pStyle w:val="ListParagraph"/>
        <w:numPr>
          <w:ilvl w:val="0"/>
          <w:numId w:val="36"/>
        </w:numPr>
      </w:pPr>
      <w:r>
        <w:t>Mạch LM2596-5V</w:t>
      </w:r>
    </w:p>
    <w:tbl>
      <w:tblPr>
        <w:tblStyle w:val="TableGrid"/>
        <w:tblW w:w="0" w:type="auto"/>
        <w:tblInd w:w="360" w:type="dxa"/>
        <w:tblLook w:val="04A0" w:firstRow="1" w:lastRow="0" w:firstColumn="1" w:lastColumn="0" w:noHBand="0" w:noVBand="1"/>
      </w:tblPr>
      <w:tblGrid>
        <w:gridCol w:w="2257"/>
        <w:gridCol w:w="2259"/>
        <w:gridCol w:w="2237"/>
        <w:gridCol w:w="2237"/>
      </w:tblGrid>
      <w:tr w:rsidR="00ED3459" w14:paraId="1627259D" w14:textId="77777777" w:rsidTr="00B25CA4">
        <w:tc>
          <w:tcPr>
            <w:tcW w:w="2257" w:type="dxa"/>
          </w:tcPr>
          <w:p w14:paraId="3F54A943" w14:textId="405B552C" w:rsidR="00ED3459" w:rsidRDefault="00ED3459" w:rsidP="0074371E">
            <w:pPr>
              <w:pStyle w:val="ListParagraph"/>
              <w:ind w:left="0"/>
            </w:pPr>
            <w:r>
              <w:lastRenderedPageBreak/>
              <w:t>PIN</w:t>
            </w:r>
          </w:p>
        </w:tc>
        <w:tc>
          <w:tcPr>
            <w:tcW w:w="2259" w:type="dxa"/>
          </w:tcPr>
          <w:p w14:paraId="2DEE3BEB" w14:textId="77777777" w:rsidR="00ED3459" w:rsidRDefault="00ED3459" w:rsidP="0074371E">
            <w:pPr>
              <w:pStyle w:val="ListParagraph"/>
              <w:ind w:left="0"/>
            </w:pPr>
          </w:p>
        </w:tc>
        <w:tc>
          <w:tcPr>
            <w:tcW w:w="2237" w:type="dxa"/>
          </w:tcPr>
          <w:p w14:paraId="277D7246" w14:textId="77777777" w:rsidR="00ED3459" w:rsidRDefault="00ED3459" w:rsidP="0074371E">
            <w:pPr>
              <w:pStyle w:val="ListParagraph"/>
              <w:ind w:left="0"/>
            </w:pPr>
          </w:p>
        </w:tc>
        <w:tc>
          <w:tcPr>
            <w:tcW w:w="2237" w:type="dxa"/>
          </w:tcPr>
          <w:p w14:paraId="1295C159" w14:textId="77777777" w:rsidR="00ED3459" w:rsidRDefault="00ED3459" w:rsidP="0074371E">
            <w:pPr>
              <w:pStyle w:val="ListParagraph"/>
              <w:ind w:left="0"/>
            </w:pPr>
          </w:p>
        </w:tc>
      </w:tr>
      <w:tr w:rsidR="00ED3459" w14:paraId="77AF2207" w14:textId="77777777" w:rsidTr="00B25CA4">
        <w:tc>
          <w:tcPr>
            <w:tcW w:w="2257" w:type="dxa"/>
          </w:tcPr>
          <w:p w14:paraId="76DAA6F0" w14:textId="0ADF451D" w:rsidR="00ED3459" w:rsidRDefault="00ED3459" w:rsidP="0074371E">
            <w:pPr>
              <w:pStyle w:val="ListParagraph"/>
              <w:ind w:left="0"/>
            </w:pPr>
            <w:r>
              <w:t>1</w:t>
            </w:r>
          </w:p>
        </w:tc>
        <w:tc>
          <w:tcPr>
            <w:tcW w:w="2259" w:type="dxa"/>
          </w:tcPr>
          <w:p w14:paraId="3D433A27" w14:textId="5EB73295" w:rsidR="00ED3459" w:rsidRDefault="00ED3459" w:rsidP="0074371E">
            <w:pPr>
              <w:pStyle w:val="ListParagraph"/>
              <w:ind w:left="0"/>
            </w:pPr>
            <w:r>
              <w:t>VIN</w:t>
            </w:r>
          </w:p>
        </w:tc>
        <w:tc>
          <w:tcPr>
            <w:tcW w:w="2237" w:type="dxa"/>
          </w:tcPr>
          <w:p w14:paraId="571AB279" w14:textId="77777777" w:rsidR="00ED3459" w:rsidRDefault="00ED3459" w:rsidP="0074371E">
            <w:pPr>
              <w:pStyle w:val="ListParagraph"/>
              <w:ind w:left="0"/>
            </w:pPr>
          </w:p>
        </w:tc>
        <w:tc>
          <w:tcPr>
            <w:tcW w:w="2237" w:type="dxa"/>
          </w:tcPr>
          <w:p w14:paraId="363DB0A9" w14:textId="77777777" w:rsidR="00ED3459" w:rsidRDefault="00ED3459" w:rsidP="0074371E">
            <w:pPr>
              <w:pStyle w:val="ListParagraph"/>
              <w:ind w:left="0"/>
            </w:pPr>
          </w:p>
        </w:tc>
      </w:tr>
      <w:tr w:rsidR="00ED3459" w14:paraId="7EE36FF7" w14:textId="77777777" w:rsidTr="00B25CA4">
        <w:tc>
          <w:tcPr>
            <w:tcW w:w="2257" w:type="dxa"/>
          </w:tcPr>
          <w:p w14:paraId="14B95032" w14:textId="326B31FE" w:rsidR="00ED3459" w:rsidRDefault="00ED3459" w:rsidP="0074371E">
            <w:pPr>
              <w:pStyle w:val="ListParagraph"/>
              <w:ind w:left="0"/>
            </w:pPr>
            <w:r>
              <w:t>2</w:t>
            </w:r>
          </w:p>
        </w:tc>
        <w:tc>
          <w:tcPr>
            <w:tcW w:w="2259" w:type="dxa"/>
          </w:tcPr>
          <w:p w14:paraId="24464623" w14:textId="77777777" w:rsidR="00ED3459" w:rsidRDefault="00ED3459" w:rsidP="0074371E">
            <w:pPr>
              <w:pStyle w:val="ListParagraph"/>
              <w:ind w:left="0"/>
            </w:pPr>
          </w:p>
        </w:tc>
        <w:tc>
          <w:tcPr>
            <w:tcW w:w="2237" w:type="dxa"/>
          </w:tcPr>
          <w:p w14:paraId="36FD7A7E" w14:textId="77777777" w:rsidR="00ED3459" w:rsidRDefault="00ED3459" w:rsidP="0074371E">
            <w:pPr>
              <w:pStyle w:val="ListParagraph"/>
              <w:ind w:left="0"/>
            </w:pPr>
          </w:p>
        </w:tc>
        <w:tc>
          <w:tcPr>
            <w:tcW w:w="2237" w:type="dxa"/>
          </w:tcPr>
          <w:p w14:paraId="3550FC15" w14:textId="77777777" w:rsidR="00ED3459" w:rsidRDefault="00ED3459" w:rsidP="0074371E">
            <w:pPr>
              <w:pStyle w:val="ListParagraph"/>
              <w:ind w:left="0"/>
            </w:pPr>
          </w:p>
        </w:tc>
      </w:tr>
      <w:tr w:rsidR="00ED3459" w14:paraId="5AF902AD" w14:textId="77777777" w:rsidTr="00B25CA4">
        <w:tc>
          <w:tcPr>
            <w:tcW w:w="2257" w:type="dxa"/>
          </w:tcPr>
          <w:p w14:paraId="764B5BBA" w14:textId="5569A98D" w:rsidR="00ED3459" w:rsidRDefault="00ED3459" w:rsidP="0074371E">
            <w:pPr>
              <w:pStyle w:val="ListParagraph"/>
              <w:ind w:left="0"/>
            </w:pPr>
            <w:r>
              <w:t>3</w:t>
            </w:r>
          </w:p>
        </w:tc>
        <w:tc>
          <w:tcPr>
            <w:tcW w:w="2259" w:type="dxa"/>
          </w:tcPr>
          <w:p w14:paraId="440AD84B" w14:textId="77777777" w:rsidR="00ED3459" w:rsidRDefault="00ED3459" w:rsidP="0074371E">
            <w:pPr>
              <w:pStyle w:val="ListParagraph"/>
              <w:ind w:left="0"/>
            </w:pPr>
          </w:p>
        </w:tc>
        <w:tc>
          <w:tcPr>
            <w:tcW w:w="2237" w:type="dxa"/>
          </w:tcPr>
          <w:p w14:paraId="6F189A79" w14:textId="77777777" w:rsidR="00ED3459" w:rsidRDefault="00ED3459" w:rsidP="0074371E">
            <w:pPr>
              <w:pStyle w:val="ListParagraph"/>
              <w:ind w:left="0"/>
            </w:pPr>
          </w:p>
        </w:tc>
        <w:tc>
          <w:tcPr>
            <w:tcW w:w="2237" w:type="dxa"/>
          </w:tcPr>
          <w:p w14:paraId="1DEAFD02" w14:textId="77777777" w:rsidR="00ED3459" w:rsidRDefault="00ED3459" w:rsidP="0074371E">
            <w:pPr>
              <w:pStyle w:val="ListParagraph"/>
              <w:ind w:left="0"/>
            </w:pPr>
          </w:p>
        </w:tc>
      </w:tr>
      <w:tr w:rsidR="00ED3459" w14:paraId="3E36E656" w14:textId="77777777" w:rsidTr="00B25CA4">
        <w:tc>
          <w:tcPr>
            <w:tcW w:w="2257" w:type="dxa"/>
          </w:tcPr>
          <w:p w14:paraId="1DE89598" w14:textId="519A5C9D" w:rsidR="00ED3459" w:rsidRDefault="00ED3459" w:rsidP="0074371E">
            <w:pPr>
              <w:pStyle w:val="ListParagraph"/>
              <w:ind w:left="0"/>
            </w:pPr>
            <w:r>
              <w:t>4</w:t>
            </w:r>
          </w:p>
        </w:tc>
        <w:tc>
          <w:tcPr>
            <w:tcW w:w="2259" w:type="dxa"/>
          </w:tcPr>
          <w:p w14:paraId="7EBFAD86" w14:textId="77777777" w:rsidR="00ED3459" w:rsidRDefault="00ED3459" w:rsidP="0074371E">
            <w:pPr>
              <w:pStyle w:val="ListParagraph"/>
              <w:ind w:left="0"/>
            </w:pPr>
          </w:p>
        </w:tc>
        <w:tc>
          <w:tcPr>
            <w:tcW w:w="2237" w:type="dxa"/>
          </w:tcPr>
          <w:p w14:paraId="1A70EE8F" w14:textId="77777777" w:rsidR="00ED3459" w:rsidRDefault="00ED3459" w:rsidP="0074371E">
            <w:pPr>
              <w:pStyle w:val="ListParagraph"/>
              <w:ind w:left="0"/>
            </w:pPr>
          </w:p>
        </w:tc>
        <w:tc>
          <w:tcPr>
            <w:tcW w:w="2237" w:type="dxa"/>
          </w:tcPr>
          <w:p w14:paraId="797CA79B" w14:textId="77777777" w:rsidR="00ED3459" w:rsidRDefault="00ED3459" w:rsidP="0074371E">
            <w:pPr>
              <w:pStyle w:val="ListParagraph"/>
              <w:ind w:left="0"/>
            </w:pPr>
          </w:p>
        </w:tc>
      </w:tr>
    </w:tbl>
    <w:p w14:paraId="5F50F750" w14:textId="228B1B50" w:rsidR="0074371E" w:rsidRDefault="00B25CA4" w:rsidP="0074371E">
      <w:pPr>
        <w:pStyle w:val="ListParagraph"/>
        <w:ind w:left="360"/>
      </w:pPr>
      <w:r w:rsidRPr="00B25CA4">
        <w:rPr>
          <w:noProof/>
        </w:rPr>
        <w:drawing>
          <wp:inline distT="0" distB="0" distL="0" distR="0" wp14:anchorId="20EFA955" wp14:editId="253FDF2C">
            <wp:extent cx="5106113" cy="331516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7"/>
                    <a:stretch>
                      <a:fillRect/>
                    </a:stretch>
                  </pic:blipFill>
                  <pic:spPr>
                    <a:xfrm>
                      <a:off x="0" y="0"/>
                      <a:ext cx="5106113" cy="3315163"/>
                    </a:xfrm>
                    <a:prstGeom prst="rect">
                      <a:avLst/>
                    </a:prstGeom>
                  </pic:spPr>
                </pic:pic>
              </a:graphicData>
            </a:graphic>
          </wp:inline>
        </w:drawing>
      </w:r>
    </w:p>
    <w:p w14:paraId="4DA38E3A" w14:textId="32F5788F" w:rsidR="005C01C9" w:rsidRDefault="005C01C9" w:rsidP="0074371E">
      <w:pPr>
        <w:pStyle w:val="ListParagraph"/>
        <w:ind w:left="360"/>
      </w:pPr>
      <w:r>
        <w:t xml:space="preserve">Tìm hiểu mạch chuyển HEX sang digital </w:t>
      </w:r>
    </w:p>
    <w:p w14:paraId="45A481B9" w14:textId="18FC0F2B" w:rsidR="008B64E6" w:rsidRPr="00214AED" w:rsidRDefault="008B64E6" w:rsidP="0074371E">
      <w:pPr>
        <w:pStyle w:val="ListParagraph"/>
        <w:ind w:left="360"/>
        <w:rPr>
          <w:color w:val="FF0000"/>
        </w:rPr>
      </w:pPr>
      <w:r w:rsidRPr="00214AED">
        <w:rPr>
          <w:color w:val="FF0000"/>
        </w:rPr>
        <w:t>12, 13 15 14 : dành cho debug JLINK</w:t>
      </w:r>
    </w:p>
    <w:p w14:paraId="18DEA9B5" w14:textId="4434A378" w:rsidR="008B64E6" w:rsidRDefault="008B64E6" w:rsidP="0074371E">
      <w:pPr>
        <w:pStyle w:val="ListParagraph"/>
        <w:ind w:left="360"/>
      </w:pPr>
      <w:r>
        <w:t xml:space="preserve"> </w:t>
      </w:r>
      <w:r w:rsidRPr="00961242">
        <w:rPr>
          <w:color w:val="FF0000"/>
        </w:rPr>
        <w:t>5 18 19 23: SPI Flash ngoài</w:t>
      </w:r>
    </w:p>
    <w:p w14:paraId="326FFD00" w14:textId="00350507" w:rsidR="008B64E6" w:rsidRPr="00961242" w:rsidRDefault="008B64E6" w:rsidP="0074371E">
      <w:pPr>
        <w:pStyle w:val="ListParagraph"/>
        <w:ind w:left="360"/>
        <w:rPr>
          <w:color w:val="FF0000"/>
        </w:rPr>
      </w:pPr>
      <w:r w:rsidRPr="00961242">
        <w:rPr>
          <w:color w:val="FF0000"/>
        </w:rPr>
        <w:t xml:space="preserve">22 21: I2C của oled </w:t>
      </w:r>
    </w:p>
    <w:p w14:paraId="0D0E9B10" w14:textId="03F707A7" w:rsidR="008B64E6" w:rsidRPr="00961242" w:rsidRDefault="005C44FD" w:rsidP="0074371E">
      <w:pPr>
        <w:pStyle w:val="ListParagraph"/>
        <w:ind w:left="360"/>
        <w:rPr>
          <w:color w:val="FF0000"/>
        </w:rPr>
      </w:pPr>
      <w:r w:rsidRPr="00961242">
        <w:rPr>
          <w:color w:val="FF0000"/>
        </w:rPr>
        <w:t>16,17 : UART của bụi</w:t>
      </w:r>
    </w:p>
    <w:p w14:paraId="36ED53AE" w14:textId="369E767E" w:rsidR="005C44FD" w:rsidRDefault="00903584" w:rsidP="0074371E">
      <w:pPr>
        <w:pStyle w:val="ListParagraph"/>
        <w:ind w:left="360"/>
      </w:pPr>
      <w:r>
        <w:t>Flex</w:t>
      </w:r>
      <w:r w:rsidR="005C44FD">
        <w:t>:</w:t>
      </w:r>
      <w:r w:rsidRPr="007E10C9">
        <w:rPr>
          <w:color w:val="FF0000"/>
        </w:rPr>
        <w:t>1 chân</w:t>
      </w:r>
      <w:r w:rsidR="005C44FD" w:rsidRPr="007E10C9">
        <w:rPr>
          <w:color w:val="FF0000"/>
        </w:rPr>
        <w:t xml:space="preserve"> one-wire DHT22</w:t>
      </w:r>
      <w:r w:rsidR="0066138E">
        <w:rPr>
          <w:color w:val="FF0000"/>
        </w:rPr>
        <w:t>(IO32)</w:t>
      </w:r>
      <w:r w:rsidR="005C44FD">
        <w:t>,</w:t>
      </w:r>
      <w:r>
        <w:t xml:space="preserve"> </w:t>
      </w:r>
      <w:r w:rsidRPr="0066138E">
        <w:rPr>
          <w:color w:val="FF0000"/>
        </w:rPr>
        <w:t xml:space="preserve">1 chân phát hiện nguồn adapter </w:t>
      </w:r>
      <w:r w:rsidR="005C44FD" w:rsidRPr="0066138E">
        <w:rPr>
          <w:color w:val="FF0000"/>
        </w:rPr>
        <w:t xml:space="preserve"> </w:t>
      </w:r>
      <w:r w:rsidR="0066138E" w:rsidRPr="0066138E">
        <w:rPr>
          <w:color w:val="FF0000"/>
        </w:rPr>
        <w:t>(IO33)</w:t>
      </w:r>
    </w:p>
    <w:p w14:paraId="5F45816C" w14:textId="18E9522E" w:rsidR="00B006D3" w:rsidRDefault="00B006D3" w:rsidP="0074371E">
      <w:pPr>
        <w:pStyle w:val="ListParagraph"/>
        <w:ind w:left="360"/>
      </w:pPr>
      <w:r>
        <w:t xml:space="preserve"> </w:t>
      </w:r>
      <w:r w:rsidR="00903584">
        <w:t>(</w:t>
      </w:r>
      <w:r>
        <w:t>5V led xanh</w:t>
      </w:r>
      <w:r w:rsidR="00903584">
        <w:t>)</w:t>
      </w:r>
    </w:p>
    <w:p w14:paraId="4A0280C2" w14:textId="2C4755A8" w:rsidR="0066138E" w:rsidRDefault="0066138E" w:rsidP="0074371E">
      <w:pPr>
        <w:pStyle w:val="ListParagraph"/>
        <w:ind w:left="360"/>
      </w:pPr>
      <w:r>
        <w:t>Thêm cầu chì cho đầu vào</w:t>
      </w:r>
    </w:p>
    <w:p w14:paraId="47ADDD88" w14:textId="77777777" w:rsidR="0066138E" w:rsidRDefault="0066138E" w:rsidP="0074371E">
      <w:pPr>
        <w:pStyle w:val="ListParagraph"/>
        <w:ind w:left="360"/>
      </w:pPr>
    </w:p>
    <w:p w14:paraId="1AD2AFE7" w14:textId="77777777" w:rsidR="005C44FD" w:rsidRDefault="005C44FD" w:rsidP="0074371E">
      <w:pPr>
        <w:pStyle w:val="ListParagraph"/>
        <w:ind w:left="360"/>
      </w:pPr>
    </w:p>
    <w:p w14:paraId="44AD57E3" w14:textId="2A2A6187" w:rsidR="00D57D06" w:rsidRPr="006B7502" w:rsidRDefault="00D57D06" w:rsidP="0074371E">
      <w:pPr>
        <w:pStyle w:val="ListParagraph"/>
        <w:ind w:left="360"/>
      </w:pPr>
      <w:r w:rsidRPr="00D57D06">
        <w:rPr>
          <w:noProof/>
        </w:rPr>
        <w:lastRenderedPageBreak/>
        <w:drawing>
          <wp:inline distT="0" distB="0" distL="0" distR="0" wp14:anchorId="36EC3363" wp14:editId="5FBEAF06">
            <wp:extent cx="5943600" cy="4187190"/>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8"/>
                    <a:stretch>
                      <a:fillRect/>
                    </a:stretch>
                  </pic:blipFill>
                  <pic:spPr>
                    <a:xfrm>
                      <a:off x="0" y="0"/>
                      <a:ext cx="5943600" cy="4187190"/>
                    </a:xfrm>
                    <a:prstGeom prst="rect">
                      <a:avLst/>
                    </a:prstGeom>
                  </pic:spPr>
                </pic:pic>
              </a:graphicData>
            </a:graphic>
          </wp:inline>
        </w:drawing>
      </w:r>
    </w:p>
    <w:sectPr w:rsidR="00D57D06" w:rsidRPr="006B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37394"/>
    <w:rsid w:val="00061A73"/>
    <w:rsid w:val="00074C21"/>
    <w:rsid w:val="00087563"/>
    <w:rsid w:val="00091C35"/>
    <w:rsid w:val="00120457"/>
    <w:rsid w:val="001745AE"/>
    <w:rsid w:val="00211C8D"/>
    <w:rsid w:val="00214AED"/>
    <w:rsid w:val="00216BB3"/>
    <w:rsid w:val="00261953"/>
    <w:rsid w:val="002D713D"/>
    <w:rsid w:val="00453F24"/>
    <w:rsid w:val="004A4908"/>
    <w:rsid w:val="004B2135"/>
    <w:rsid w:val="004D6602"/>
    <w:rsid w:val="00554FEA"/>
    <w:rsid w:val="00582418"/>
    <w:rsid w:val="005C01C9"/>
    <w:rsid w:val="005C19C8"/>
    <w:rsid w:val="005C44FD"/>
    <w:rsid w:val="0066138E"/>
    <w:rsid w:val="00673788"/>
    <w:rsid w:val="00684483"/>
    <w:rsid w:val="006B7502"/>
    <w:rsid w:val="00710A60"/>
    <w:rsid w:val="0074371E"/>
    <w:rsid w:val="007B0824"/>
    <w:rsid w:val="007E10C9"/>
    <w:rsid w:val="007F51DD"/>
    <w:rsid w:val="008428AB"/>
    <w:rsid w:val="008B64E6"/>
    <w:rsid w:val="00903584"/>
    <w:rsid w:val="00961242"/>
    <w:rsid w:val="00971D4B"/>
    <w:rsid w:val="009E475C"/>
    <w:rsid w:val="00A955F7"/>
    <w:rsid w:val="00AB1590"/>
    <w:rsid w:val="00AB289D"/>
    <w:rsid w:val="00AE0AE4"/>
    <w:rsid w:val="00B006D3"/>
    <w:rsid w:val="00B06D09"/>
    <w:rsid w:val="00B25CA4"/>
    <w:rsid w:val="00B601DB"/>
    <w:rsid w:val="00BC015D"/>
    <w:rsid w:val="00C026E7"/>
    <w:rsid w:val="00C17703"/>
    <w:rsid w:val="00C32678"/>
    <w:rsid w:val="00C3327D"/>
    <w:rsid w:val="00C62D5E"/>
    <w:rsid w:val="00CD061D"/>
    <w:rsid w:val="00D00ABD"/>
    <w:rsid w:val="00D1590F"/>
    <w:rsid w:val="00D1709A"/>
    <w:rsid w:val="00D40D38"/>
    <w:rsid w:val="00D5261E"/>
    <w:rsid w:val="00D57D06"/>
    <w:rsid w:val="00D62BEC"/>
    <w:rsid w:val="00EB1D78"/>
    <w:rsid w:val="00ED19EB"/>
    <w:rsid w:val="00ED3459"/>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 w:type="character" w:styleId="Hyperlink">
    <w:name w:val="Hyperlink"/>
    <w:basedOn w:val="DefaultParagraphFont"/>
    <w:uiPriority w:val="99"/>
    <w:unhideWhenUsed/>
    <w:rsid w:val="0074371E"/>
    <w:rPr>
      <w:color w:val="0563C1" w:themeColor="hyperlink"/>
      <w:u w:val="single"/>
    </w:rPr>
  </w:style>
  <w:style w:type="character" w:styleId="UnresolvedMention">
    <w:name w:val="Unresolved Mention"/>
    <w:basedOn w:val="DefaultParagraphFont"/>
    <w:uiPriority w:val="99"/>
    <w:semiHidden/>
    <w:unhideWhenUsed/>
    <w:rsid w:val="0074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image" Target="media/image43.png"/><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108" Type="http://schemas.openxmlformats.org/officeDocument/2006/relationships/image" Target="media/image44.png"/><Relationship Id="rId54" Type="http://schemas.openxmlformats.org/officeDocument/2006/relationships/oleObject" Target="embeddings/oleObject25.bin"/><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en.sekorm.com/doc/2051810.html" TargetMode="Externa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25</cp:revision>
  <dcterms:created xsi:type="dcterms:W3CDTF">2022-10-17T06:55:00Z</dcterms:created>
  <dcterms:modified xsi:type="dcterms:W3CDTF">2022-11-04T17:28:00Z</dcterms:modified>
</cp:coreProperties>
</file>