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R-1746706726032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Anthony Moore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+13053127621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cindy25@example.org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$104.48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Admin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2025-05-02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$25.00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$79.48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Thank you for donating!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