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Chapter 2</w:t>
      </w:r>
    </w:p>
    <w:p>
      <w:pPr>
        <w:pStyle w:val="Heading1"/>
      </w:pPr>
      <w:r>
        <w:rPr>
          <w:rFonts w:ascii="Arial" w:cs="Arial" w:eastAsia="Arial" w:hAnsi="Arial"/>
          <w:b/>
          <w:bCs/>
          <w:sz w:val="32"/>
          <w:szCs w:val="32"/>
        </w:rPr>
        <w:t xml:space="preserve">Literature Review</w:t>
      </w:r>
    </w:p>
    <w:p>
      <w:r>
        <w:rPr>
          <w:sz w:val="24"/>
          <w:szCs w:val="24"/>
        </w:rPr>
        <w:t xml:space="preserve"/>
      </w:r>
    </w:p>
    <w:p>
      <w:pPr>
        <w:spacing w:after="160"/>
        <w:jc w:val="both"/>
      </w:pPr>
      <w:r>
        <w:rPr>
          <w:rFonts w:ascii="Arial" w:cs="Arial" w:eastAsia="Arial" w:hAnsi="Arial"/>
          <w:sz w:val="24"/>
          <w:szCs w:val="24"/>
        </w:rPr>
        <w:t xml:space="preserve">This chapter provides a comprehensive review of existing literature, relevant technologies, and theoretical foundations that underpin the design and evaluation of software architectures in the context of Learning Management Systems (LMS). By synthesizing insights from prior research and established architectural principles, this chapter establishes the conceptual framework used in subsequent experimental chapters.</w:t>
      </w:r>
    </w:p>
    <w:p>
      <w:pPr>
        <w:pStyle w:val="Heading2"/>
      </w:pPr>
      <w:r>
        <w:rPr>
          <w:rFonts w:ascii="Arial" w:cs="Arial" w:eastAsia="Arial" w:hAnsi="Arial"/>
          <w:b/>
          <w:bCs/>
          <w:sz w:val="28"/>
          <w:szCs w:val="28"/>
        </w:rPr>
        <w:t xml:space="preserve">2.1   Related Works</w:t>
      </w:r>
    </w:p>
    <w:p>
      <w:pPr>
        <w:spacing w:after="160"/>
        <w:jc w:val="both"/>
      </w:pPr>
      <w:r>
        <w:rPr>
          <w:rFonts w:ascii="Arial" w:cs="Arial" w:eastAsia="Arial" w:hAnsi="Arial"/>
          <w:sz w:val="24"/>
          <w:szCs w:val="24"/>
        </w:rPr>
        <w:t xml:space="preserve">The relationship between software architecture selection and system quality has been a recurring subject in both academia and industry. A growing body of work examines how architectural choices affect maintainability, scalability, and the cost of change — the three dimensions most relevant to this study.</w:t>
      </w:r>
    </w:p>
    <w:p>
      <w:pPr>
        <w:pStyle w:val="Heading3"/>
      </w:pPr>
      <w:r>
        <w:rPr>
          <w:rFonts w:ascii="Arial" w:cs="Arial" w:eastAsia="Arial" w:hAnsi="Arial"/>
          <w:b/>
          <w:bCs/>
          <w:sz w:val="24"/>
          <w:szCs w:val="24"/>
        </w:rPr>
        <w:t xml:space="preserve">2.1.1   Existing Learning Management System Implementations</w:t>
      </w:r>
    </w:p>
    <w:p>
      <w:pPr>
        <w:spacing w:after="160"/>
        <w:jc w:val="both"/>
      </w:pPr>
      <w:r>
        <w:rPr>
          <w:rFonts w:ascii="Arial" w:cs="Arial" w:eastAsia="Arial" w:hAnsi="Arial"/>
          <w:sz w:val="24"/>
          <w:szCs w:val="24"/>
        </w:rPr>
        <w:t xml:space="preserve">Learning Management Systems have traditionally been implemented as monolithic applications due to their relative simplicity and low initial infrastructure cost. Early open-source platforms such as Moodle and Blackboard exemplify this approach, bundling authentication, course management, content delivery, and assessment into a single deployable unit. While this architectural choice accelerates initial development, it introduces well-documented challenges as the system matures: tightly coupled modules hinder independent deployment, and a fault in one subsystem can cascade across the entire platform.</w:t>
      </w:r>
    </w:p>
    <w:p>
      <w:pPr>
        <w:spacing w:after="160"/>
        <w:jc w:val="both"/>
      </w:pPr>
      <w:r>
        <w:rPr>
          <w:rFonts w:ascii="Arial" w:cs="Arial" w:eastAsia="Arial" w:hAnsi="Arial"/>
          <w:sz w:val="24"/>
          <w:szCs w:val="24"/>
        </w:rPr>
        <w:t xml:space="preserve">More recent commercial LMS platforms, notably Canvas and Google Classroom, have progressively migrated toward service-oriented or modular designs. These migrations, often documented as engineering case studies, highlight a common pattern: monolithic systems accumulate technical debt at a rate proportional to team size and feature velocity, eventually motivating architectural refactoring. Dinh (2023) describes the design and implementation of an e-learning system and identifies modular decomposition as a prerequisite for long-term maintainability, noting that systems designed without clear module boundaries suffer disproportionate rework costs when requirements evolve [1].</w:t>
      </w:r>
    </w:p>
    <w:p>
      <w:pPr>
        <w:pStyle w:val="Heading3"/>
      </w:pPr>
      <w:r>
        <w:rPr>
          <w:rFonts w:ascii="Arial" w:cs="Arial" w:eastAsia="Arial" w:hAnsi="Arial"/>
          <w:b/>
          <w:bCs/>
          <w:sz w:val="24"/>
          <w:szCs w:val="24"/>
        </w:rPr>
        <w:t xml:space="preserve">2.1.2   Comparative Studies on Software Architectures</w:t>
      </w:r>
    </w:p>
    <w:p>
      <w:pPr>
        <w:spacing w:after="160"/>
        <w:jc w:val="both"/>
      </w:pPr>
      <w:r>
        <w:rPr>
          <w:rFonts w:ascii="Arial" w:cs="Arial" w:eastAsia="Arial" w:hAnsi="Arial"/>
          <w:sz w:val="24"/>
          <w:szCs w:val="24"/>
        </w:rPr>
        <w:t xml:space="preserve">The comparative evaluation of Monolithic, Modular Monolith, and Microservices architectures has attracted significant research attention. Xu (2025) provides a widely referenced comparative overview, arguing that each architectural style occupies a distinct position on the spectrum between simplicity and operational flexibility [2]. The study concludes that no single architecture universally outperforms the others; rather, the appropriate choice is contingent on team size, system scale, and expected rate of change.</w:t>
      </w:r>
    </w:p>
    <w:p>
      <w:pPr>
        <w:spacing w:after="160"/>
        <w:jc w:val="both"/>
      </w:pPr>
      <w:r>
        <w:rPr>
          <w:rFonts w:ascii="Arial" w:cs="Arial" w:eastAsia="Arial" w:hAnsi="Arial"/>
          <w:sz w:val="24"/>
          <w:szCs w:val="24"/>
        </w:rPr>
        <w:t xml:space="preserve">Empirical studies applying scenario-based evaluation — a methodology where predefined change scenarios are applied to each architectural variant — have demonstrated measurable differences in change impact scope. Research in enterprise software contexts consistently reports that Microservices architectures isolate changes to smaller code surfaces but introduce higher coordination costs through inter-service communication. Modular Monolith architectures are identified as an intermediate solution that preserves deployment simplicity while enforcing module boundaries through intra-process contracts.</w:t>
      </w:r>
    </w:p>
    <w:p>
      <w:pPr>
        <w:spacing w:after="160"/>
        <w:jc w:val="both"/>
      </w:pPr>
      <w:r>
        <w:rPr>
          <w:rFonts w:ascii="Arial" w:cs="Arial" w:eastAsia="Arial" w:hAnsi="Arial"/>
          <w:sz w:val="24"/>
          <w:szCs w:val="24"/>
        </w:rPr>
        <w:t xml:space="preserve">The gap in the existing literature that this project addresses is the scarcity of studies that implement all three architectures on a single, well-defined application domain under identical functional requirements, then apply consistent change scenarios across all three variants. Most comparative studies rely on theoretical analysis or survey data rather than controlled empirical implementation.</w:t>
      </w:r>
    </w:p>
    <w:p>
      <w:pPr>
        <w:pStyle w:val="Heading2"/>
      </w:pPr>
      <w:r>
        <w:rPr>
          <w:rFonts w:ascii="Arial" w:cs="Arial" w:eastAsia="Arial" w:hAnsi="Arial"/>
          <w:b/>
          <w:bCs/>
          <w:sz w:val="28"/>
          <w:szCs w:val="28"/>
        </w:rPr>
        <w:t xml:space="preserve">2.2   Relevant Technologies</w:t>
      </w:r>
    </w:p>
    <w:p>
      <w:pPr>
        <w:spacing w:after="160"/>
        <w:jc w:val="both"/>
      </w:pPr>
      <w:r>
        <w:rPr>
          <w:rFonts w:ascii="Arial" w:cs="Arial" w:eastAsia="Arial" w:hAnsi="Arial"/>
          <w:sz w:val="24"/>
          <w:szCs w:val="24"/>
        </w:rPr>
        <w:t xml:space="preserve">This section reviews the key technologies adopted across all three architectural implementations in this project. A deliberate decision was made to maintain a uniform technology stack — NestJS, Vue.js, and PostgreSQL — across all three architectures, ensuring that observed differences are attributable to architectural structure rather than technology choice.</w:t>
      </w:r>
    </w:p>
    <w:p>
      <w:pPr>
        <w:pStyle w:val="Heading3"/>
      </w:pPr>
      <w:r>
        <w:rPr>
          <w:rFonts w:ascii="Arial" w:cs="Arial" w:eastAsia="Arial" w:hAnsi="Arial"/>
          <w:b/>
          <w:bCs/>
          <w:sz w:val="24"/>
          <w:szCs w:val="24"/>
        </w:rPr>
        <w:t xml:space="preserve">2.2.1   NestJS Framework</w:t>
      </w:r>
    </w:p>
    <w:p>
      <w:pPr>
        <w:spacing w:after="160"/>
        <w:jc w:val="both"/>
      </w:pPr>
      <w:r>
        <w:rPr>
          <w:rFonts w:ascii="Arial" w:cs="Arial" w:eastAsia="Arial" w:hAnsi="Arial"/>
          <w:sz w:val="24"/>
          <w:szCs w:val="24"/>
        </w:rPr>
        <w:t xml:space="preserve">NestJS is a progressive Node.js framework for building server-side applications, built on top of TypeScript and inspired by Angular's modular design principles. Its native support for modules, providers, controllers, and dependency injection makes it particularly well-suited for implementing all three target architectures within a consistent programming model.</w:t>
      </w:r>
    </w:p>
    <w:p>
      <w:pPr>
        <w:spacing w:after="160"/>
        <w:jc w:val="both"/>
      </w:pPr>
      <w:r>
        <w:rPr>
          <w:rFonts w:ascii="Arial" w:cs="Arial" w:eastAsia="Arial" w:hAnsi="Arial"/>
          <w:sz w:val="24"/>
          <w:szCs w:val="24"/>
        </w:rPr>
        <w:t xml:space="preserve">For the Monolithic implementation, NestJS provides a single application context with shared services and a common database connection. For the Modular Monolith, NestJS modules with explicit public APIs serve as the primary mechanism for enforcing module boundaries. For the Microservices implementation, NestJS's built-in microservices transport layer — supporting patterns such as TCP, Redis-based message queues, and gRPC — provides the inter-service communication infrastructure.</w:t>
      </w:r>
    </w:p>
    <w:p>
      <w:pPr>
        <w:spacing w:after="160"/>
        <w:jc w:val="both"/>
      </w:pPr>
      <w:r>
        <w:rPr>
          <w:rFonts w:ascii="Arial" w:cs="Arial" w:eastAsia="Arial" w:hAnsi="Arial"/>
          <w:sz w:val="24"/>
          <w:szCs w:val="24"/>
        </w:rPr>
        <w:t xml:space="preserve">The framework's module system is architecturally significant: a NestJS module encapsulates a cohesive set of providers and can explicitly declare its public interface. When inter-module dependencies are forced to go through declared exports, the framework structurally prevents the accidental cross-cutting dependencies that commonly undermine modular designs. This property is central to the Modular Monolith implementation evaluated in this study.</w:t>
      </w:r>
    </w:p>
    <w:p>
      <w:pPr>
        <w:pStyle w:val="Heading3"/>
      </w:pPr>
      <w:r>
        <w:rPr>
          <w:rFonts w:ascii="Arial" w:cs="Arial" w:eastAsia="Arial" w:hAnsi="Arial"/>
          <w:b/>
          <w:bCs/>
          <w:sz w:val="24"/>
          <w:szCs w:val="24"/>
        </w:rPr>
        <w:t xml:space="preserve">2.2.2   Vue.js Frontend Framework</w:t>
      </w:r>
    </w:p>
    <w:p>
      <w:pPr>
        <w:spacing w:after="160"/>
        <w:jc w:val="both"/>
      </w:pPr>
      <w:r>
        <w:rPr>
          <w:rFonts w:ascii="Arial" w:cs="Arial" w:eastAsia="Arial" w:hAnsi="Arial"/>
          <w:sz w:val="24"/>
          <w:szCs w:val="24"/>
        </w:rPr>
        <w:t xml:space="preserve">Vue.js is a progressive JavaScript framework for building user interfaces, adopted in this project for the frontend layer common to all three architectural variants. Maintaining a single frontend codebase across all three backends allows the study to isolate the impact of backend architectural choices without introducing frontend variability.</w:t>
      </w:r>
    </w:p>
    <w:p>
      <w:pPr>
        <w:spacing w:after="160"/>
        <w:jc w:val="both"/>
      </w:pPr>
      <w:r>
        <w:rPr>
          <w:rFonts w:ascii="Arial" w:cs="Arial" w:eastAsia="Arial" w:hAnsi="Arial"/>
          <w:sz w:val="24"/>
          <w:szCs w:val="24"/>
        </w:rPr>
        <w:t xml:space="preserve">In the Monolithic and Modular Monolith configurations, the Vue.js application communicates with a single backend API endpoint. In the Microservices configuration, an API Gateway aggregates requests from the Vue.js frontend and routes them to the appropriate downstream service. This pattern, referred to as the Backend-for-Frontend (BFF) pattern, is a standard approach in production Microservices deployments.</w:t>
      </w:r>
    </w:p>
    <w:p>
      <w:pPr>
        <w:pStyle w:val="Heading3"/>
      </w:pPr>
      <w:r>
        <w:rPr>
          <w:rFonts w:ascii="Arial" w:cs="Arial" w:eastAsia="Arial" w:hAnsi="Arial"/>
          <w:b/>
          <w:bCs/>
          <w:sz w:val="24"/>
          <w:szCs w:val="24"/>
        </w:rPr>
        <w:t xml:space="preserve">2.2.3   PostgreSQL and Database Strategy</w:t>
      </w:r>
    </w:p>
    <w:p>
      <w:pPr>
        <w:spacing w:after="160"/>
        <w:jc w:val="both"/>
      </w:pPr>
      <w:r>
        <w:rPr>
          <w:rFonts w:ascii="Arial" w:cs="Arial" w:eastAsia="Arial" w:hAnsi="Arial"/>
          <w:sz w:val="24"/>
          <w:szCs w:val="24"/>
        </w:rPr>
        <w:t xml:space="preserve">PostgreSQL is used as the primary relational database across all three architectural implementations. However, the database strategy differs meaningfully between architectures and constitutes one of the most substantive structural differences among the three variants.</w:t>
      </w:r>
    </w:p>
    <w:p>
      <w:pPr>
        <w:spacing w:after="160"/>
        <w:jc w:val="both"/>
      </w:pPr>
      <w:r>
        <w:rPr>
          <w:rFonts w:ascii="Arial" w:cs="Arial" w:eastAsia="Arial" w:hAnsi="Arial"/>
          <w:sz w:val="24"/>
          <w:szCs w:val="24"/>
        </w:rPr>
        <w:t xml:space="preserve">In the Monolithic architecture, all domain entities — users, courses, enrollments, assignments, grades, and progress records — reside in a single shared database schema. This schema is accessed by all application modules, creating a high degree of database-level coupling.</w:t>
      </w:r>
    </w:p>
    <w:p>
      <w:pPr>
        <w:spacing w:after="160"/>
        <w:jc w:val="both"/>
      </w:pPr>
      <w:r>
        <w:rPr>
          <w:rFonts w:ascii="Arial" w:cs="Arial" w:eastAsia="Arial" w:hAnsi="Arial"/>
          <w:sz w:val="24"/>
          <w:szCs w:val="24"/>
        </w:rPr>
        <w:t xml:space="preserve">In the Modular Monolith, the database schema is organized into distinct namespaces or schemas aligned with module boundaries. While a single physical database instance is maintained, cross-module queries are discouraged; modules access each other's data exclusively through service interfaces, preserving logical separation.</w:t>
      </w:r>
    </w:p>
    <w:p>
      <w:pPr>
        <w:spacing w:after="160"/>
        <w:jc w:val="both"/>
      </w:pPr>
      <w:r>
        <w:rPr>
          <w:rFonts w:ascii="Arial" w:cs="Arial" w:eastAsia="Arial" w:hAnsi="Arial"/>
          <w:sz w:val="24"/>
          <w:szCs w:val="24"/>
        </w:rPr>
        <w:t xml:space="preserve">In the Microservices architecture, the principle of database-per-service is applied: each service owns its own schema or database instance. Cross-service data requirements are resolved through API calls rather than shared database access, providing the highest degree of data isolation but introducing challenges in consistency and cross-service querying.</w:t>
      </w:r>
    </w:p>
    <w:p>
      <w:pPr>
        <w:pStyle w:val="Heading3"/>
      </w:pPr>
      <w:r>
        <w:rPr>
          <w:rFonts w:ascii="Arial" w:cs="Arial" w:eastAsia="Arial" w:hAnsi="Arial"/>
          <w:b/>
          <w:bCs/>
          <w:sz w:val="24"/>
          <w:szCs w:val="24"/>
        </w:rPr>
        <w:t xml:space="preserve">2.2.4   Docker and Containerization</w:t>
      </w:r>
    </w:p>
    <w:p>
      <w:pPr>
        <w:spacing w:after="160"/>
        <w:jc w:val="both"/>
      </w:pPr>
      <w:r>
        <w:rPr>
          <w:rFonts w:ascii="Arial" w:cs="Arial" w:eastAsia="Arial" w:hAnsi="Arial"/>
          <w:sz w:val="24"/>
          <w:szCs w:val="24"/>
        </w:rPr>
        <w:t xml:space="preserve">Docker is used to containerize all architectural implementations, ensuring consistent deployment environments and enabling fair performance comparisons. Each architecture is packaged as a Docker Compose configuration specifying the required services, database instances, and network topology.</w:t>
      </w:r>
    </w:p>
    <w:p>
      <w:pPr>
        <w:spacing w:after="160"/>
        <w:jc w:val="both"/>
      </w:pPr>
      <w:r>
        <w:rPr>
          <w:rFonts w:ascii="Arial" w:cs="Arial" w:eastAsia="Arial" w:hAnsi="Arial"/>
          <w:sz w:val="24"/>
          <w:szCs w:val="24"/>
        </w:rPr>
        <w:t xml:space="preserve">For the Monolithic architecture, a single application container is defined alongside a shared database container. For the Modular Monolith, the deployment configuration remains similar to the Monolithic variant, reflecting the unified deployment model. For the Microservices architecture, individual containers are defined per service, along with a shared API Gateway container and service-specific database containers. This configuration difference itself constitutes a measurable dimension of operational complexity in the comparative evaluation.</w:t>
      </w:r>
    </w:p>
    <w:p>
      <w:pPr>
        <w:pStyle w:val="Heading2"/>
      </w:pPr>
      <w:r>
        <w:rPr>
          <w:rFonts w:ascii="Arial" w:cs="Arial" w:eastAsia="Arial" w:hAnsi="Arial"/>
          <w:b/>
          <w:bCs/>
          <w:sz w:val="28"/>
          <w:szCs w:val="28"/>
        </w:rPr>
        <w:t xml:space="preserve">2.3   Theoretical Principles and Architectural Models</w:t>
      </w:r>
    </w:p>
    <w:p>
      <w:pPr>
        <w:spacing w:after="160"/>
        <w:jc w:val="both"/>
      </w:pPr>
      <w:r>
        <w:rPr>
          <w:rFonts w:ascii="Arial" w:cs="Arial" w:eastAsia="Arial" w:hAnsi="Arial"/>
          <w:sz w:val="24"/>
          <w:szCs w:val="24"/>
        </w:rPr>
        <w:t xml:space="preserve">The comparative framework applied in this study is grounded in established theoretical principles from software architecture research. This section synthesizes the relevant principles and defines the conceptual vocabulary used in the experimental evaluation.</w:t>
      </w:r>
    </w:p>
    <w:p>
      <w:pPr>
        <w:pStyle w:val="Heading3"/>
      </w:pPr>
      <w:r>
        <w:rPr>
          <w:rFonts w:ascii="Arial" w:cs="Arial" w:eastAsia="Arial" w:hAnsi="Arial"/>
          <w:b/>
          <w:bCs/>
          <w:sz w:val="24"/>
          <w:szCs w:val="24"/>
        </w:rPr>
        <w:t xml:space="preserve">2.3.1   Monolithic Architecture</w:t>
      </w:r>
    </w:p>
    <w:p>
      <w:pPr>
        <w:spacing w:after="160"/>
        <w:jc w:val="both"/>
      </w:pPr>
      <w:r>
        <w:rPr>
          <w:rFonts w:ascii="Arial" w:cs="Arial" w:eastAsia="Arial" w:hAnsi="Arial"/>
          <w:sz w:val="24"/>
          <w:szCs w:val="24"/>
        </w:rPr>
        <w:t xml:space="preserve">A Monolithic architecture deploys all application functionality as a single executable unit. The entire application — encompassing presentation logic, business logic, and data access — is compiled and deployed together. Communication between functional areas occurs through direct function calls within the same process memory space, eliminating network latency for internal interactions.</w:t>
      </w:r>
    </w:p>
    <w:p>
      <w:pPr>
        <w:spacing w:after="160"/>
        <w:jc w:val="both"/>
      </w:pPr>
      <w:r>
        <w:rPr>
          <w:rFonts w:ascii="Arial" w:cs="Arial" w:eastAsia="Arial" w:hAnsi="Arial"/>
          <w:sz w:val="24"/>
          <w:szCs w:val="24"/>
        </w:rPr>
        <w:t xml:space="preserve">The primary strengths of Monolithic architectures are development simplicity and deployment straightforwardness. A development team can run the entire system locally with a single command, and deployment requires only a single artifact. These properties make Monolithic architectures well-suited for small teams and early-stage projects where time-to-market and operational simplicity take precedence.</w:t>
      </w:r>
    </w:p>
    <w:p>
      <w:pPr>
        <w:spacing w:after="160"/>
        <w:jc w:val="both"/>
      </w:pPr>
      <w:r>
        <w:rPr>
          <w:rFonts w:ascii="Arial" w:cs="Arial" w:eastAsia="Arial" w:hAnsi="Arial"/>
          <w:sz w:val="24"/>
          <w:szCs w:val="24"/>
        </w:rPr>
        <w:t xml:space="preserve">The documented limitations of Monolithic architectures become apparent as systems grow. Because all modules share a single deployment unit, a change to any module necessitates redeployment of the entire application. Tight coupling between modules — particularly when modules access each other's data structures directly — means that changes propagate unpredictably through the codebase. Scaling is possible only at the application level; it is not feasible to scale a computationally intensive module independently of the rest of the system.</w:t>
      </w:r>
    </w:p>
    <w:p>
      <w:pPr>
        <w:pStyle w:val="Heading3"/>
      </w:pPr>
      <w:r>
        <w:rPr>
          <w:rFonts w:ascii="Arial" w:cs="Arial" w:eastAsia="Arial" w:hAnsi="Arial"/>
          <w:b/>
          <w:bCs/>
          <w:sz w:val="24"/>
          <w:szCs w:val="24"/>
        </w:rPr>
        <w:t xml:space="preserve">2.3.2   Modular Monolith Architecture</w:t>
      </w:r>
    </w:p>
    <w:p>
      <w:pPr>
        <w:spacing w:after="160"/>
        <w:jc w:val="both"/>
      </w:pPr>
      <w:r>
        <w:rPr>
          <w:rFonts w:ascii="Arial" w:cs="Arial" w:eastAsia="Arial" w:hAnsi="Arial"/>
          <w:sz w:val="24"/>
          <w:szCs w:val="24"/>
        </w:rPr>
        <w:t xml:space="preserve">A Modular Monolith is a Monolithic architecture structured with explicit, enforced module boundaries. The application remains deployed as a single unit — retaining the operational simplicity of the Monolithic approach — but its internal organization follows a discipline of high cohesion within modules and low coupling between them.</w:t>
      </w:r>
    </w:p>
    <w:p>
      <w:pPr>
        <w:spacing w:after="160"/>
        <w:jc w:val="both"/>
      </w:pPr>
      <w:r>
        <w:rPr>
          <w:rFonts w:ascii="Arial" w:cs="Arial" w:eastAsia="Arial" w:hAnsi="Arial"/>
          <w:sz w:val="24"/>
          <w:szCs w:val="24"/>
        </w:rPr>
        <w:t xml:space="preserve">The Modular Monolith is characterized by the following structural properties: each module encapsulates a coherent business subdomain; inter-module communication occurs exclusively through well-defined public interfaces; modules do not directly access each other's internal data structures or database tables; and dependencies between modules are explicit and directional, preventing circular dependencies.</w:t>
      </w:r>
    </w:p>
    <w:p>
      <w:pPr>
        <w:spacing w:after="160"/>
        <w:jc w:val="both"/>
      </w:pPr>
      <w:r>
        <w:rPr>
          <w:rFonts w:ascii="Arial" w:cs="Arial" w:eastAsia="Arial" w:hAnsi="Arial"/>
          <w:sz w:val="24"/>
          <w:szCs w:val="24"/>
        </w:rPr>
        <w:t xml:space="preserve">This architectural style addresses many of the maintainability concerns associated with traditional Monolithic architectures while avoiding the operational complexity of Microservices. It is increasingly recommended as an appropriate target for systems that require clear code organization but do not yet require the independent deployability and scaling that Microservices provide. Notably, a well-structured Modular Monolith provides a natural migration path toward Microservices, as each module can, in principle, be extracted into an independent service when the operational context justifies it.</w:t>
      </w:r>
    </w:p>
    <w:p>
      <w:pPr>
        <w:pStyle w:val="Heading3"/>
      </w:pPr>
      <w:r>
        <w:rPr>
          <w:rFonts w:ascii="Arial" w:cs="Arial" w:eastAsia="Arial" w:hAnsi="Arial"/>
          <w:b/>
          <w:bCs/>
          <w:sz w:val="24"/>
          <w:szCs w:val="24"/>
        </w:rPr>
        <w:t xml:space="preserve">2.3.3   Microservices Architecture</w:t>
      </w:r>
    </w:p>
    <w:p>
      <w:pPr>
        <w:spacing w:after="160"/>
        <w:jc w:val="both"/>
      </w:pPr>
      <w:r>
        <w:rPr>
          <w:rFonts w:ascii="Arial" w:cs="Arial" w:eastAsia="Arial" w:hAnsi="Arial"/>
          <w:sz w:val="24"/>
          <w:szCs w:val="24"/>
        </w:rPr>
        <w:t xml:space="preserve">Microservices architecture decomposes an application into a collection of small, independently deployable services, each responsible for a distinct business capability. Services communicate through lightweight protocols, typically HTTP REST or asynchronous message queues, and are deployed and scaled independently.</w:t>
      </w:r>
    </w:p>
    <w:p>
      <w:pPr>
        <w:spacing w:after="160"/>
        <w:jc w:val="both"/>
      </w:pPr>
      <w:r>
        <w:rPr>
          <w:rFonts w:ascii="Arial" w:cs="Arial" w:eastAsia="Arial" w:hAnsi="Arial"/>
          <w:sz w:val="24"/>
          <w:szCs w:val="24"/>
        </w:rPr>
        <w:t xml:space="preserve">The defining characteristics of Microservices architectures include: independent deployability, enabling a team to release a change to one service without coordinating with other teams; polyglot persistence, allowing each service to select the database technology most appropriate for its workload; fault isolation, limiting the blast radius of a service failure to that service's consumers; and independent scalability, enabling resource allocation proportional to the demand on each service.</w:t>
      </w:r>
    </w:p>
    <w:p>
      <w:pPr>
        <w:spacing w:after="160"/>
        <w:jc w:val="both"/>
      </w:pPr>
      <w:r>
        <w:rPr>
          <w:rFonts w:ascii="Arial" w:cs="Arial" w:eastAsia="Arial" w:hAnsi="Arial"/>
          <w:sz w:val="24"/>
          <w:szCs w:val="24"/>
        </w:rPr>
        <w:t xml:space="preserve">These properties come at a cost. The introduction of network boundaries between services introduces latency and failure modes absent in single-process architectures. Distributed transactions — operations requiring consistency across multiple services — require explicit coordination patterns such as sagas or two-phase commit. Operational complexity increases significantly: the system requires service discovery, load balancing, distributed tracing, centralized logging, and health monitoring infrastructure that is unnecessary in Monolithic deployments. For LMS systems of small to medium scale, these overheads may outweigh the scalability and isolation benefits.</w:t>
      </w:r>
    </w:p>
    <w:p>
      <w:pPr>
        <w:pStyle w:val="Heading3"/>
      </w:pPr>
      <w:r>
        <w:rPr>
          <w:rFonts w:ascii="Arial" w:cs="Arial" w:eastAsia="Arial" w:hAnsi="Arial"/>
          <w:b/>
          <w:bCs/>
          <w:sz w:val="24"/>
          <w:szCs w:val="24"/>
        </w:rPr>
        <w:t xml:space="preserve">2.3.4   Coupling, Cohesion, and Change Impact</w:t>
      </w:r>
    </w:p>
    <w:p>
      <w:pPr>
        <w:spacing w:after="160"/>
        <w:jc w:val="both"/>
      </w:pPr>
      <w:r>
        <w:rPr>
          <w:rFonts w:ascii="Arial" w:cs="Arial" w:eastAsia="Arial" w:hAnsi="Arial"/>
          <w:sz w:val="24"/>
          <w:szCs w:val="24"/>
        </w:rPr>
        <w:t xml:space="preserve">The theoretical dimensions of coupling and cohesion provide a principled basis for evaluating the three architectural styles. Coupling refers to the degree of interdependence between modules or services; high coupling means that a change to one component requires changes to others. Cohesion refers to the degree to which the elements within a module belong together; high cohesion means a module has a clear, focused responsibility.</w:t>
      </w:r>
    </w:p>
    <w:p>
      <w:pPr>
        <w:spacing w:after="160"/>
        <w:jc w:val="both"/>
      </w:pPr>
      <w:r>
        <w:rPr>
          <w:rFonts w:ascii="Arial" w:cs="Arial" w:eastAsia="Arial" w:hAnsi="Arial"/>
          <w:sz w:val="24"/>
          <w:szCs w:val="24"/>
        </w:rPr>
        <w:t xml:space="preserve">The scope of change impact — the number of components that must be modified when a requirement changes — is a direct consequence of coupling. In a tightly coupled Monolithic system, a change to grading logic may require modifications to the assignment module, the progress tracking module, and the reporting module simultaneously. In a well-structured Modular Monolith, the same change is confined to the assessment module and its public interface. In a Microservices architecture, the change is isolated to the assessment service, though it may require API contract updates if consuming services depend on the changed behavior.</w:t>
      </w:r>
    </w:p>
    <w:p>
      <w:pPr>
        <w:spacing w:after="160"/>
        <w:jc w:val="both"/>
      </w:pPr>
      <w:r>
        <w:rPr>
          <w:rFonts w:ascii="Arial" w:cs="Arial" w:eastAsia="Arial" w:hAnsi="Arial"/>
          <w:sz w:val="24"/>
          <w:szCs w:val="24"/>
        </w:rPr>
        <w:t xml:space="preserve">This project operationalizes these theoretical concepts through concrete change scenarios applied uniformly across all three architectural implementations, providing empirical data on coupling and change impact rather than relying solely on theoretical prediction.</w:t>
      </w:r>
    </w:p>
    <w:p>
      <w:pPr>
        <w:pStyle w:val="Heading3"/>
      </w:pPr>
      <w:r>
        <w:rPr>
          <w:rFonts w:ascii="Arial" w:cs="Arial" w:eastAsia="Arial" w:hAnsi="Arial"/>
          <w:b/>
          <w:bCs/>
          <w:sz w:val="24"/>
          <w:szCs w:val="24"/>
        </w:rPr>
        <w:t xml:space="preserve">2.3.5   Scalability Models</w:t>
      </w:r>
    </w:p>
    <w:p>
      <w:pPr>
        <w:spacing w:after="160"/>
        <w:jc w:val="both"/>
      </w:pPr>
      <w:r>
        <w:rPr>
          <w:rFonts w:ascii="Arial" w:cs="Arial" w:eastAsia="Arial" w:hAnsi="Arial"/>
          <w:sz w:val="24"/>
          <w:szCs w:val="24"/>
        </w:rPr>
        <w:t xml:space="preserve">Scalability in the context of this study refers to the ability to increase system capacity in response to growing demand. Two scalability models are relevant: vertical scaling, which increases the capacity of individual servers, and horizontal scaling, which adds additional instances of services or servers.</w:t>
      </w:r>
    </w:p>
    <w:p>
      <w:pPr>
        <w:spacing w:after="160"/>
        <w:jc w:val="both"/>
      </w:pPr>
      <w:r>
        <w:rPr>
          <w:rFonts w:ascii="Arial" w:cs="Arial" w:eastAsia="Arial" w:hAnsi="Arial"/>
          <w:sz w:val="24"/>
          <w:szCs w:val="24"/>
        </w:rPr>
        <w:t xml:space="preserve">Monolithic architectures support only application-level horizontal scaling: additional instances of the entire application are deployed behind a load balancer. This approach is wasteful when only specific functional areas require additional capacity. Microservices architectures enable functional-level horizontal scaling: only the services experiencing high demand need to be scaled, resulting in more efficient resource utilization. Modular Monolith architectures, as single deployment units, are limited to application-level scaling in the same manner as traditional Monolithic systems, though the clear module boundaries facilitate future extraction if fine-grained scaling becomes necessary.</w:t>
      </w:r>
    </w:p>
    <w:p>
      <w:pPr>
        <w:pStyle w:val="Heading2"/>
      </w:pPr>
      <w:r>
        <w:rPr>
          <w:rFonts w:ascii="Arial" w:cs="Arial" w:eastAsia="Arial" w:hAnsi="Arial"/>
          <w:b/>
          <w:bCs/>
          <w:sz w:val="28"/>
          <w:szCs w:val="28"/>
        </w:rPr>
        <w:t xml:space="preserve">2.4   Comparison Framework</w:t>
      </w:r>
    </w:p>
    <w:p>
      <w:pPr>
        <w:spacing w:after="160"/>
        <w:jc w:val="both"/>
      </w:pPr>
      <w:r>
        <w:rPr>
          <w:rFonts w:ascii="Arial" w:cs="Arial" w:eastAsia="Arial" w:hAnsi="Arial"/>
          <w:sz w:val="24"/>
          <w:szCs w:val="24"/>
        </w:rPr>
        <w:t xml:space="preserve">Based on the theoretical principles reviewed in the preceding sections and informed by the existing comparative literature, this project adopts the following five evaluation criteria for the architectural comparison. These criteria are applied consistently across all three change scenarios defined in Chapter 1.</w:t>
      </w:r>
    </w:p>
    <w:p>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200"/>
        <w:gridCol w:w="2326"/>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Criterion</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23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Measurement Approach</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Degree of Module Separation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extent to which functional areas are encapsulated behind explicit boundaries, preventing direct access to internal state.</w:t>
            </w:r>
          </w:p>
        </w:tc>
        <w:tc>
          <w:tcPr>
            <w:tcW w:type="dxa" w:w="2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Structural analysis of inter-module dependencies and shared data access patterns.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Scope of Change Impact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number and nature of components that must be modified when a functional requirement changes.</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 of files, modules, and services affected per change scenario.</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Functional-Level Scalability</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ability to scale individual functional areas independently in response to differential load.</w:t>
            </w:r>
          </w:p>
        </w:tc>
        <w:tc>
          <w:tcPr>
            <w:tcW w:type="dxa" w:w="2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Analysis of deployment unit granularity and scaling configuration options.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 and Operational Complexity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effort required to build, deploy, configure, and monitor the system in a development and production context.</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deployment artifacts, configuration files, and infrastructure components required.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Suitability for System Scale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appropriateness of each architecture for small, medium, and large system scales based on empirical observations and theoretical properties.</w:t>
            </w:r>
          </w:p>
        </w:tc>
        <w:tc>
          <w:tcPr>
            <w:tcW w:type="dxa" w:w="2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Qualitative assessment informed by experimental results and literature.</w:t>
            </w:r>
          </w:p>
        </w:tc>
      </w:tr>
    </w:tbl>
    <w:p>
      <w:r>
        <w:rPr>
          <w:sz w:val="24"/>
          <w:szCs w:val="24"/>
        </w:rPr>
        <w:t xml:space="preserve"/>
      </w:r>
    </w:p>
    <w:p>
      <w:pPr>
        <w:spacing w:after="160"/>
        <w:jc w:val="both"/>
      </w:pPr>
      <w:r>
        <w:rPr>
          <w:rFonts w:ascii="Arial" w:cs="Arial" w:eastAsia="Arial" w:hAnsi="Arial"/>
          <w:sz w:val="24"/>
          <w:szCs w:val="24"/>
        </w:rPr>
        <w:t xml:space="preserve">This framework extends the theoretical analysis presented in the comparative literature by grounding each criterion in observable experimental measurements. The change scenarios defined in Chapter 1 — modifying grading logic, adding progress statistics, and preparing for learning analytics integration — are designed to stress-test each criterion across architectures of increasing functional complexity.</w:t>
      </w:r>
    </w:p>
    <w:p>
      <w:pPr>
        <w:pStyle w:val="Heading2"/>
      </w:pPr>
      <w:r>
        <w:rPr>
          <w:rFonts w:ascii="Arial" w:cs="Arial" w:eastAsia="Arial" w:hAnsi="Arial"/>
          <w:b/>
          <w:bCs/>
          <w:sz w:val="28"/>
          <w:szCs w:val="28"/>
        </w:rPr>
        <w:t xml:space="preserve">2.5   Summary</w:t>
      </w:r>
    </w:p>
    <w:p>
      <w:pPr>
        <w:spacing w:after="160"/>
        <w:jc w:val="both"/>
      </w:pPr>
      <w:r>
        <w:rPr>
          <w:rFonts w:ascii="Arial" w:cs="Arial" w:eastAsia="Arial" w:hAnsi="Arial"/>
          <w:sz w:val="24"/>
          <w:szCs w:val="24"/>
        </w:rPr>
        <w:t xml:space="preserve">This chapter has reviewed the relevant literature on software architecture in LMS contexts, established the theoretical foundations of Monolithic, Modular Monolith, and Microservices architectural styles, and defined the comparison framework applied in the experimental phase of this project. The key insight from the literature is that architectural choices involve trade-offs along multiple dimensions — maintainability, operational complexity, scalability, and change impact — and that the optimal choice is context-dependent rather than universal.</w:t>
      </w:r>
    </w:p>
    <w:p>
      <w:pPr>
        <w:spacing w:after="160"/>
        <w:jc w:val="both"/>
      </w:pPr>
      <w:r>
        <w:rPr>
          <w:rFonts w:ascii="Arial" w:cs="Arial" w:eastAsia="Arial" w:hAnsi="Arial"/>
          <w:sz w:val="24"/>
          <w:szCs w:val="24"/>
        </w:rPr>
        <w:t xml:space="preserve">The technologies adopted in this project — NestJS, Vue.js, PostgreSQL, and Docker — provide a stable, uniform experimental platform that isolates architectural differences as the primary independent variable. The five-criterion comparison framework operationalizes theoretical concepts of coupling, cohesion, and scalability into measurable experimental dimensions.</w:t>
      </w:r>
    </w:p>
    <w:p>
      <w:pPr>
        <w:spacing w:after="160"/>
        <w:jc w:val="both"/>
      </w:pPr>
      <w:r>
        <w:rPr>
          <w:rFonts w:ascii="Arial" w:cs="Arial" w:eastAsia="Arial" w:hAnsi="Arial"/>
          <w:sz w:val="24"/>
          <w:szCs w:val="24"/>
        </w:rPr>
        <w:t xml:space="preserve">The subsequent chapters translate these theoretical foundations and the defined comparison framework into a concrete system design (Chapter 3), three architectural implementations (Chapter 4), and a systematic experimental evaluation (Chapter 5), yielding empirical evidence on the practical trade-offs of each architectural style in an LMS context.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2E75B6"/>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2026-02-25T01:16:29.119Z</dcterms:created>
  <dcterms:modified xsi:type="dcterms:W3CDTF">2026-02-25T01:16:29.120Z</dcterms:modified>
</cp:coreProperties>
</file>

<file path=docProps/custom.xml><?xml version="1.0" encoding="utf-8"?>
<Properties xmlns="http://schemas.openxmlformats.org/officeDocument/2006/custom-properties" xmlns:vt="http://schemas.openxmlformats.org/officeDocument/2006/docPropsVTypes"/>
</file>