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KỸ SƯ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TS. Nguyen Duy Xuan Bach</w:t>
      </w:r>
    </w:p>
    <w:p>
      <w:pPr>
        <w:spacing w:after="120"/>
        <w:jc w:val="center"/>
      </w:pPr>
      <w:r>
        <w:rPr>
          <w:rFonts w:ascii="Times New Roman" w:hAnsi="Times New Roman"/>
          <w:b/>
          <w:i w:val="0"/>
          <w:sz w:val="28"/>
        </w:rPr>
        <w:t>TP. HỒ CHÍ MINH, 2026</w:t>
      </w:r>
    </w:p>
    <w:p>
      <w:pPr>
        <w:spacing w:after="120"/>
        <w:jc w:val="both"/>
      </w:pPr>
      <w:r>
        <w:rPr>
          <w:rFonts w:ascii="Times New Roman" w:hAnsi="Times New Roman"/>
          <w:b w:val="0"/>
          <w:i w:val="0"/>
          <w:sz w:val="26"/>
        </w:rPr>
      </w:r>
    </w:p>
    <w:p>
      <w:pPr>
        <w:spacing w:after="120"/>
        <w:jc w:val="both"/>
      </w:pPr>
      <w:r>
        <w:rPr>
          <w:rFonts w:ascii="Times New Roman" w:hAnsi="Times New Roman"/>
          <w:b w:val="0"/>
          <w:i/>
          <w:sz w:val="24"/>
        </w:rPr>
        <w:t>Chữ ký xác nhận của Cán bộ phản biện (CBPB) sau bảo vệ — theo yêu cầu chỉnh sửa của Hội đồng:</w:t>
      </w:r>
    </w:p>
    <w:p>
      <w:pPr>
        <w:spacing w:after="120"/>
        <w:jc w:val="right"/>
      </w:pPr>
      <w:r>
        <w:rPr>
          <w:rFonts w:ascii="Times New Roman" w:hAnsi="Times New Roman"/>
          <w:b w:val="0"/>
          <w:i w:val="0"/>
          <w:sz w:val="26"/>
        </w:rPr>
        <w:t>………………………………………</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TS. Nguyen Duy Xuan Bach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3.3: Kiến trúc phần mềm hệ thống (4 tầng: dữ liệu → mô hình → thí nghiệm → đầu ra)</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60" w:line="360" w:lineRule="auto"/>
      </w:pPr>
      <w:r>
        <w:rPr>
          <w:rFonts w:ascii="Times New Roman" w:hAnsi="Times New Roman"/>
          <w:sz w:val="26"/>
        </w:rPr>
        <w:t>Bảng 1.1: Tóm tắt phạm vi và thiết lập nghiên cứu</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3.4: Cấu hình huấn luyện chi tiết (hyperparameter)</w:t>
      </w:r>
    </w:p>
    <w:p>
      <w:pPr>
        <w:spacing w:after="60" w:line="360" w:lineRule="auto"/>
      </w:pPr>
      <w:r>
        <w:rPr>
          <w:rFonts w:ascii="Times New Roman" w:hAnsi="Times New Roman"/>
          <w:sz w:val="26"/>
        </w:rPr>
        <w:t>Bảng 3.5: Tóm tắt bộ chỉ số đánh giá và đặc tính độ nhạy lệch lớp</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các cặp so sánh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pPr>
        <w:sectPr>
          <w:pgSz w:w="12240" w:h="15840"/>
          <w:pgMar w:top="1701" w:right="1134" w:bottom="1984" w:left="1984" w:header="720" w:footer="720" w:gutter="0"/>
          <w:cols w:space="720"/>
          <w:docGrid w:linePitch="360"/>
        </w:sectPr>
      </w:pP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line="360" w:lineRule="auto"/>
        <w:jc w:val="both"/>
      </w:pPr>
      <w:r>
        <w:rPr>
          <w:rFonts w:ascii="Times New Roman" w:hAnsi="Times New Roman"/>
          <w:b w:val="0"/>
          <w:i w:val="0"/>
          <w:color w:val="000000"/>
          <w:sz w:val="26"/>
        </w:rPr>
        <w:t>Quy trình sàng lọc lâm sàng hiện đại trong chẩn đoán hình ảnh y tế đòi hỏi sự phối hợp chặt chẽ giữa các kỹ thuật viên chụp chiếu và đội ngũ bác sĩ chuyên khoa giàu kinh nghiệm. Trong các chương trình tầm soát diện rộng, khối lượng hình ảnh thu nhận từ các cơ sở y tế tạo ra áp lực rất lớn đối với nguồn nhân lực y tế. Sự xuất hiện của các hệ thống chẩn đoán hỗ trợ bằng máy học (CAD) không nhằm thay thế vai trò chuyên môn của bác sĩ, mà đóng vai trò như một cơ chế tham vấn thứ hai độc lập, giúp rút ngắn thời gian phân tích, phát hiện sớm các dấu hiệu vi mô và giảm thiểu tối đa tỷ lệ bỏ sót ca bệnh do hiện tượng quá tải hoặc mệt mỏi thị giác trong ca làm việc kéo dài.</w:t>
      </w:r>
    </w:p>
    <w:p>
      <w:pPr>
        <w:spacing w:after="120" w:line="360" w:lineRule="auto"/>
        <w:jc w:val="both"/>
      </w:pPr>
      <w:r>
        <w:rPr>
          <w:rFonts w:ascii="Times New Roman" w:hAnsi="Times New Roman"/>
          <w:b w:val="0"/>
          <w:i w:val="0"/>
          <w:color w:val="000000"/>
          <w:sz w:val="26"/>
        </w:rPr>
        <w:t>Hai kỹ thuật hình ảnh được khảo sát trong nghiên cứu này đại diện cho hai phương thái chẩn đoán đặc thù: siêu âm tuyến vú (Breast Ultrasound — BUS) và chụp cắt lớp quang học võng mạc (Optical Coherence Tomography — OCT). Siêu âm tuyến vú là phương pháp không xâm lấn, không sử dụng bức xạ ion hóa, đặc biệt hiệu quả trong việc đánh giá các tổn thương ở phụ nữ có mô tuyến vú đặc — nhóm đối tượng mà chụp X-quang tuyến vú truyền thống thường bị suy giảm đáng kể độ nhạy do hiện tượng che khuất tổn thương. Tuy nhiên, ảnh siêu âm thường chứa nhiễu đốm âm học (acoustic speckle noise), độ tương phản biên kém và sự biến thiên lớn theo thao tác đầu dò của người chụp. Ngược lại, OCT là kỹ thuật chụp cắt lớp vi thể quang học không xâm lấn có độ phân giải siêu cao bậc micromet, cho phép hiển thị rõ nét từng lớp giải phẫu tế bào của võng mạc nhằm chẩn đoán các bệnh lý đáy mắt nguy hiểm như tân mạch hắc mạc (CNV), phù hoàng điểm do đái tháo đường (DME), hay thoái hóa võng mạc do tích tụ chất drusen. Cả hai phương thái đều đòi hỏi các mô hình trích xuất đặc trưng có độ ổn định cao trước nhiễu và khả năng nắm bắt các tương quan cấu trúc cục bộ.</w:t>
      </w:r>
    </w:p>
    <w:p>
      <w:pPr>
        <w:spacing w:after="120" w:line="360" w:lineRule="auto"/>
        <w:jc w:val="both"/>
      </w:pPr>
      <w:r>
        <w:rPr>
          <w:rFonts w:ascii="Times New Roman" w:hAnsi="Times New Roman"/>
          <w:b w:val="0"/>
          <w:i w:val="0"/>
          <w:color w:val="000000"/>
          <w:sz w:val="26"/>
        </w:rPr>
        <w:t>Một rào cản mang tính bản chất trong phân tích ảnh y tế là bài toán mất cân bằng dữ liệu (class imbalance). Trong các đợt tầm soát cộng đồng, số lượng ca bệnh lý hiểm nghèo luôn chiếm tỷ lệ thiểu số so với các ca bình thường hoặc tổn thương lành tính. Khi huấn luyện các mô hình học sâu thông thường, hàm mất mát toàn cục dễ bị chi phối bởi lớp đa số, khiến mô hình có xu hướng dự đoán thiên lệch về lớp lành tính để tối ưu hóa độ chính xác tổng thể (Accuracy). Trong y khoa, chi phí của lỗi âm tính giả (False Negative — bỏ sót một bệnh nhân ung thư hoặc bỏ sót tổn thương võng mạc đe dọa thị lực) gây ra tổn thất sinh mạng và sức khỏe nghiêm trọng hơn rất nhiều so với lỗi dương tính giả (False Positive — chỉ định làm thêm xét nghiệm sinh thiết kiểm tra lại). Do đó, việc xây dựng các bộ trích xuất đặc trưng có thiên kiến quy nạp bền vững, kết hợp cùng hệ thống chỉ số đánh giá đa chiều nhạy với lớp thiểu số, là yêu cầu sống còn cho các hệ thống CAD triển khai thực tế.</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line="360" w:lineRule="auto"/>
        <w:jc w:val="both"/>
      </w:pPr>
      <w:r>
        <w:rPr>
          <w:rFonts w:ascii="Times New Roman" w:hAnsi="Times New Roman"/>
          <w:b w:val="0"/>
          <w:i w:val="0"/>
          <w:color w:val="000000"/>
          <w:sz w:val="26"/>
        </w:rPr>
        <w:t>Nhằm minh bạch hóa các giới hạn phương pháp luận và tạo tiền đề đối chứng cho toàn bộ luận văn, Bảng 1.1 tổng hợp chi tiết phạm vi thiết lập thực nghiệm, bao gồm các bộ dữ liệu, kiến trúc mô hình, cơ chế lượng tử, bộ chỉ số đánh giá và protocol kiểm định thống kê được áp dụng xuyên suốt nghiên cứu.</w:t>
      </w:r>
    </w:p>
    <w:p>
      <w:pPr>
        <w:spacing w:after="80" w:line="360" w:lineRule="auto"/>
        <w:jc w:val="left"/>
      </w:pPr>
      <w:r>
        <w:rPr>
          <w:rFonts w:ascii="Times New Roman" w:hAnsi="Times New Roman"/>
          <w:b/>
          <w:i w:val="0"/>
          <w:color w:val="000000"/>
          <w:sz w:val="24"/>
        </w:rPr>
        <w:t>Bảng 1.1: Tóm tắt phạm vi và thiết lập nghiên cứu (Nguồn: tác giả tổng hợp)</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fill="F2F2F2"/>
          </w:tcPr>
          <w:p>
            <w:pPr>
              <w:spacing w:after="40" w:before="40" w:line="276" w:lineRule="auto"/>
              <w:jc w:val="center"/>
            </w:pPr>
            <w:r/>
            <w:r>
              <w:rPr>
                <w:rFonts w:ascii="Times New Roman" w:hAnsi="Times New Roman"/>
                <w:b/>
                <w:i w:val="0"/>
                <w:color w:val="000000"/>
                <w:sz w:val="22"/>
              </w:rPr>
              <w:t>Tiêu chí phân tích</w:t>
            </w:r>
          </w:p>
        </w:tc>
        <w:tc>
          <w:tcPr>
            <w:tcW w:type="dxa" w:w="3888"/>
            <w:shd w:fill="F2F2F2"/>
          </w:tcPr>
          <w:p>
            <w:pPr>
              <w:spacing w:after="40" w:before="40" w:line="276" w:lineRule="auto"/>
              <w:jc w:val="center"/>
            </w:pPr>
            <w:r/>
            <w:r>
              <w:rPr>
                <w:rFonts w:ascii="Times New Roman" w:hAnsi="Times New Roman"/>
                <w:b/>
                <w:i w:val="0"/>
                <w:color w:val="000000"/>
                <w:sz w:val="22"/>
              </w:rPr>
              <w:t>Cấu hình thiết lập trong khóa luận</w:t>
            </w:r>
          </w:p>
        </w:tc>
        <w:tc>
          <w:tcPr>
            <w:tcW w:type="dxa" w:w="3168"/>
            <w:shd w:fill="F2F2F2"/>
          </w:tcPr>
          <w:p>
            <w:pPr>
              <w:spacing w:after="40" w:before="40" w:line="276" w:lineRule="auto"/>
              <w:jc w:val="center"/>
            </w:pPr>
            <w:r/>
            <w:r>
              <w:rPr>
                <w:rFonts w:ascii="Times New Roman" w:hAnsi="Times New Roman"/>
                <w:b/>
                <w:i w:val="0"/>
                <w:color w:val="000000"/>
                <w:sz w:val="22"/>
              </w:rPr>
              <w:t>Ghi chú phương pháp luận</w:t>
            </w:r>
          </w:p>
        </w:tc>
      </w:tr>
      <w:tr>
        <w:tc>
          <w:tcPr>
            <w:tcW w:type="dxa" w:w="2592"/>
            <w:shd w:fill="FFFFFF"/>
          </w:tcPr>
          <w:p>
            <w:pPr>
              <w:spacing w:after="40" w:before="40" w:line="276" w:lineRule="auto"/>
              <w:jc w:val="center"/>
            </w:pPr>
            <w:r/>
            <w:r>
              <w:rPr>
                <w:rFonts w:ascii="Times New Roman" w:hAnsi="Times New Roman"/>
                <w:b w:val="0"/>
                <w:i w:val="0"/>
                <w:color w:val="000000"/>
                <w:sz w:val="20"/>
              </w:rPr>
              <w:t>Bộ dữ liệu thực nghiệm</w:t>
            </w:r>
          </w:p>
        </w:tc>
        <w:tc>
          <w:tcPr>
            <w:tcW w:type="dxa" w:w="3888"/>
            <w:shd w:fill="FFFFFF"/>
          </w:tcPr>
          <w:p>
            <w:pPr>
              <w:spacing w:after="40" w:before="40" w:line="276" w:lineRule="auto"/>
              <w:jc w:val="left"/>
            </w:pPr>
            <w:r/>
            <w:r>
              <w:rPr>
                <w:rFonts w:ascii="Times New Roman" w:hAnsi="Times New Roman"/>
                <w:b w:val="0"/>
                <w:i w:val="0"/>
                <w:color w:val="000000"/>
                <w:sz w:val="20"/>
              </w:rPr>
              <w:t>BreastMNIST v2 (nhị phân, 780 ảnh) và OCTMNIST v2 (4 lớp, 5,000 ảnh subset)</w:t>
            </w:r>
          </w:p>
        </w:tc>
        <w:tc>
          <w:tcPr>
            <w:tcW w:type="dxa" w:w="3168"/>
            <w:shd w:fill="FFFFFF"/>
          </w:tcPr>
          <w:p>
            <w:pPr>
              <w:spacing w:after="40" w:before="40" w:line="276" w:lineRule="auto"/>
              <w:jc w:val="left"/>
            </w:pPr>
            <w:r/>
            <w:r>
              <w:rPr>
                <w:rFonts w:ascii="Times New Roman" w:hAnsi="Times New Roman"/>
                <w:b w:val="0"/>
                <w:i w:val="0"/>
                <w:color w:val="000000"/>
                <w:sz w:val="20"/>
              </w:rPr>
              <w:t>Đại diện hai thái cực: dữ liệu nhỏ/lệch lớp và dữ liệu lớn/đa lớp.</w:t>
            </w:r>
          </w:p>
        </w:tc>
      </w:tr>
      <w:tr>
        <w:tc>
          <w:tcPr>
            <w:tcW w:type="dxa" w:w="2592"/>
            <w:shd w:fill="FAFAFA"/>
          </w:tcPr>
          <w:p>
            <w:pPr>
              <w:spacing w:after="40" w:before="40" w:line="276" w:lineRule="auto"/>
              <w:jc w:val="center"/>
            </w:pPr>
            <w:r/>
            <w:r>
              <w:rPr>
                <w:rFonts w:ascii="Times New Roman" w:hAnsi="Times New Roman"/>
                <w:b w:val="0"/>
                <w:i w:val="0"/>
                <w:color w:val="000000"/>
                <w:sz w:val="20"/>
              </w:rPr>
              <w:t>Kích thước ảnh đầu vào</w:t>
            </w:r>
          </w:p>
        </w:tc>
        <w:tc>
          <w:tcPr>
            <w:tcW w:type="dxa" w:w="3888"/>
            <w:shd w:fill="FAFAFA"/>
          </w:tcPr>
          <w:p>
            <w:pPr>
              <w:spacing w:after="40" w:before="40" w:line="276" w:lineRule="auto"/>
              <w:jc w:val="left"/>
            </w:pPr>
            <w:r/>
            <w:r>
              <w:rPr>
                <w:rFonts w:ascii="Times New Roman" w:hAnsi="Times New Roman"/>
                <w:b w:val="0"/>
                <w:i w:val="0"/>
                <w:color w:val="000000"/>
                <w:sz w:val="20"/>
              </w:rPr>
              <w:t>28 × 28 pixel, ảnh đơn sắc (grayscale), chuẩn hóa [0, 1]</w:t>
            </w:r>
          </w:p>
        </w:tc>
        <w:tc>
          <w:tcPr>
            <w:tcW w:type="dxa" w:w="3168"/>
            <w:shd w:fill="FAFAFA"/>
          </w:tcPr>
          <w:p>
            <w:pPr>
              <w:spacing w:after="40" w:before="40" w:line="276" w:lineRule="auto"/>
              <w:jc w:val="left"/>
            </w:pPr>
            <w:r/>
            <w:r>
              <w:rPr>
                <w:rFonts w:ascii="Times New Roman" w:hAnsi="Times New Roman"/>
                <w:b w:val="0"/>
                <w:i w:val="0"/>
                <w:color w:val="000000"/>
                <w:sz w:val="20"/>
              </w:rPr>
              <w:t>Chuẩn hóa theo benchmark MedMNIST v2 [19].</w:t>
            </w:r>
          </w:p>
        </w:tc>
      </w:tr>
      <w:tr>
        <w:tc>
          <w:tcPr>
            <w:tcW w:type="dxa" w:w="2592"/>
            <w:shd w:fill="FFFFFF"/>
          </w:tcPr>
          <w:p>
            <w:pPr>
              <w:spacing w:after="40" w:before="40" w:line="276" w:lineRule="auto"/>
              <w:jc w:val="center"/>
            </w:pPr>
            <w:r/>
            <w:r>
              <w:rPr>
                <w:rFonts w:ascii="Times New Roman" w:hAnsi="Times New Roman"/>
                <w:b w:val="0"/>
                <w:i w:val="0"/>
                <w:color w:val="000000"/>
                <w:sz w:val="20"/>
              </w:rPr>
              <w:t>Cơ chế trích xuất cục bộ</w:t>
            </w:r>
          </w:p>
        </w:tc>
        <w:tc>
          <w:tcPr>
            <w:tcW w:type="dxa" w:w="3888"/>
            <w:shd w:fill="FFFFFF"/>
          </w:tcPr>
          <w:p>
            <w:pPr>
              <w:spacing w:after="40" w:before="40" w:line="276" w:lineRule="auto"/>
              <w:jc w:val="left"/>
            </w:pPr>
            <w:r/>
            <w:r>
              <w:rPr>
                <w:rFonts w:ascii="Times New Roman" w:hAnsi="Times New Roman"/>
                <w:b w:val="0"/>
                <w:i w:val="0"/>
                <w:color w:val="000000"/>
                <w:sz w:val="20"/>
              </w:rPr>
              <w:t>Cửa sổ trượt 2 × 2 pixel, bước trượt stride = 2, không đệm (valid padding)</w:t>
            </w:r>
          </w:p>
        </w:tc>
        <w:tc>
          <w:tcPr>
            <w:tcW w:type="dxa" w:w="3168"/>
            <w:shd w:fill="FFFFFF"/>
          </w:tcPr>
          <w:p>
            <w:pPr>
              <w:spacing w:after="40" w:before="40" w:line="276" w:lineRule="auto"/>
              <w:jc w:val="left"/>
            </w:pPr>
            <w:r/>
            <w:r>
              <w:rPr>
                <w:rFonts w:ascii="Times New Roman" w:hAnsi="Times New Roman"/>
                <w:b w:val="0"/>
                <w:i w:val="0"/>
                <w:color w:val="000000"/>
                <w:sz w:val="20"/>
              </w:rPr>
              <w:t>Lưới 14 × 14 vị trí trích xuất (tổng cộng 196 patch cục bộ mỗi ảnh).</w:t>
            </w:r>
          </w:p>
        </w:tc>
      </w:tr>
      <w:tr>
        <w:tc>
          <w:tcPr>
            <w:tcW w:type="dxa" w:w="2592"/>
            <w:shd w:fill="FAFAFA"/>
          </w:tcPr>
          <w:p>
            <w:pPr>
              <w:spacing w:after="40" w:before="40" w:line="276" w:lineRule="auto"/>
              <w:jc w:val="center"/>
            </w:pPr>
            <w:r/>
            <w:r>
              <w:rPr>
                <w:rFonts w:ascii="Times New Roman" w:hAnsi="Times New Roman"/>
                <w:b w:val="0"/>
                <w:i w:val="0"/>
                <w:color w:val="000000"/>
                <w:sz w:val="20"/>
              </w:rPr>
              <w:t>Mạch lượng tử (Quanvolution)</w:t>
            </w:r>
          </w:p>
        </w:tc>
        <w:tc>
          <w:tcPr>
            <w:tcW w:type="dxa" w:w="3888"/>
            <w:shd w:fill="FAFAFA"/>
          </w:tcPr>
          <w:p>
            <w:pPr>
              <w:spacing w:after="40" w:before="40" w:line="276" w:lineRule="auto"/>
              <w:jc w:val="left"/>
            </w:pPr>
            <w:r/>
            <w:r>
              <w:rPr>
                <w:rFonts w:ascii="Times New Roman" w:hAnsi="Times New Roman"/>
                <w:b w:val="0"/>
                <w:i w:val="0"/>
                <w:color w:val="000000"/>
                <w:sz w:val="20"/>
              </w:rPr>
              <w:t>4-qubit, mã hóa góc RY(π·x_i), đo kỳ vọng Pauli-Z ⟨Z_i⟩</w:t>
            </w:r>
          </w:p>
        </w:tc>
        <w:tc>
          <w:tcPr>
            <w:tcW w:type="dxa" w:w="3168"/>
            <w:shd w:fill="FAFAFA"/>
          </w:tcPr>
          <w:p>
            <w:pPr>
              <w:spacing w:after="40" w:before="40" w:line="276" w:lineRule="auto"/>
              <w:jc w:val="left"/>
            </w:pPr>
            <w:r/>
            <w:r>
              <w:rPr>
                <w:rFonts w:ascii="Times New Roman" w:hAnsi="Times New Roman"/>
                <w:b w:val="0"/>
                <w:i w:val="0"/>
                <w:color w:val="000000"/>
                <w:sz w:val="20"/>
              </w:rPr>
              <w:t>Sinh ra tensor đặc trưng kích thước 4 × 14 × 14 (784 chiều).</w:t>
            </w:r>
          </w:p>
        </w:tc>
      </w:tr>
      <w:tr>
        <w:tc>
          <w:tcPr>
            <w:tcW w:type="dxa" w:w="2592"/>
            <w:shd w:fill="FFFFFF"/>
          </w:tcPr>
          <w:p>
            <w:pPr>
              <w:spacing w:after="40" w:before="40" w:line="276" w:lineRule="auto"/>
              <w:jc w:val="center"/>
            </w:pPr>
            <w:r/>
            <w:r>
              <w:rPr>
                <w:rFonts w:ascii="Times New Roman" w:hAnsi="Times New Roman"/>
                <w:b w:val="0"/>
                <w:i w:val="0"/>
                <w:color w:val="000000"/>
                <w:sz w:val="20"/>
              </w:rPr>
              <w:t>Họ ansatz khảo sát</w:t>
            </w:r>
          </w:p>
        </w:tc>
        <w:tc>
          <w:tcPr>
            <w:tcW w:type="dxa" w:w="3888"/>
            <w:shd w:fill="FFFFFF"/>
          </w:tcPr>
          <w:p>
            <w:pPr>
              <w:spacing w:after="40" w:before="40" w:line="276" w:lineRule="auto"/>
              <w:jc w:val="left"/>
            </w:pPr>
            <w:r/>
            <w:r>
              <w:rPr>
                <w:rFonts w:ascii="Times New Roman" w:hAnsi="Times New Roman"/>
                <w:b w:val="0"/>
                <w:i w:val="0"/>
                <w:color w:val="000000"/>
                <w:sz w:val="20"/>
              </w:rPr>
              <w:t>3 họ: BasicEntanglerLayers, StronglyEntanglingLayers, RandomLayers</w:t>
            </w:r>
          </w:p>
        </w:tc>
        <w:tc>
          <w:tcPr>
            <w:tcW w:type="dxa" w:w="3168"/>
            <w:shd w:fill="FFFFFF"/>
          </w:tcPr>
          <w:p>
            <w:pPr>
              <w:spacing w:after="40" w:before="40" w:line="276" w:lineRule="auto"/>
              <w:jc w:val="left"/>
            </w:pPr>
            <w:r/>
            <w:r>
              <w:rPr>
                <w:rFonts w:ascii="Times New Roman" w:hAnsi="Times New Roman"/>
                <w:b w:val="0"/>
                <w:i w:val="0"/>
                <w:color w:val="000000"/>
                <w:sz w:val="20"/>
              </w:rPr>
              <w:t>Khảo sát cấu trúc vướng víu từ đơn giản đến phức tạp, độ sâu L ∈ {1, 2}.</w:t>
            </w:r>
          </w:p>
        </w:tc>
      </w:tr>
      <w:tr>
        <w:tc>
          <w:tcPr>
            <w:tcW w:type="dxa" w:w="2592"/>
            <w:shd w:fill="FAFAFA"/>
          </w:tcPr>
          <w:p>
            <w:pPr>
              <w:spacing w:after="40" w:before="40" w:line="276" w:lineRule="auto"/>
              <w:jc w:val="center"/>
            </w:pPr>
            <w:r/>
            <w:r>
              <w:rPr>
                <w:rFonts w:ascii="Times New Roman" w:hAnsi="Times New Roman"/>
                <w:b w:val="0"/>
                <w:i w:val="0"/>
                <w:color w:val="000000"/>
                <w:sz w:val="20"/>
              </w:rPr>
              <w:t>Baseline cổ điển đối xứng</w:t>
            </w:r>
          </w:p>
        </w:tc>
        <w:tc>
          <w:tcPr>
            <w:tcW w:type="dxa" w:w="3888"/>
            <w:shd w:fill="FAFAFA"/>
          </w:tcPr>
          <w:p>
            <w:pPr>
              <w:spacing w:after="40" w:before="40" w:line="276" w:lineRule="auto"/>
              <w:jc w:val="left"/>
            </w:pPr>
            <w:r/>
            <w:r>
              <w:rPr>
                <w:rFonts w:ascii="Times New Roman" w:hAnsi="Times New Roman"/>
                <w:b w:val="0"/>
                <w:i w:val="0"/>
                <w:color w:val="000000"/>
                <w:sz w:val="20"/>
              </w:rPr>
              <w:t>1 lớp Conv2D(1→4, kernel 2×2, stride 2, có bias)</w:t>
            </w:r>
          </w:p>
        </w:tc>
        <w:tc>
          <w:tcPr>
            <w:tcW w:type="dxa" w:w="3168"/>
            <w:shd w:fill="FAFAFA"/>
          </w:tcPr>
          <w:p>
            <w:pPr>
              <w:spacing w:after="40" w:before="40" w:line="276" w:lineRule="auto"/>
              <w:jc w:val="left"/>
            </w:pPr>
            <w:r/>
            <w:r>
              <w:rPr>
                <w:rFonts w:ascii="Times New Roman" w:hAnsi="Times New Roman"/>
                <w:b w:val="0"/>
                <w:i w:val="0"/>
                <w:color w:val="000000"/>
                <w:sz w:val="20"/>
              </w:rPr>
              <w:t>Đầu ra 4 × 14 × 14 (784 chiều), đối xứng 1:1 với mạch lượng tử.</w:t>
            </w:r>
          </w:p>
        </w:tc>
      </w:tr>
      <w:tr>
        <w:tc>
          <w:tcPr>
            <w:tcW w:type="dxa" w:w="2592"/>
            <w:shd w:fill="FFFFFF"/>
          </w:tcPr>
          <w:p>
            <w:pPr>
              <w:spacing w:after="40" w:before="40" w:line="276" w:lineRule="auto"/>
              <w:jc w:val="center"/>
            </w:pPr>
            <w:r/>
            <w:r>
              <w:rPr>
                <w:rFonts w:ascii="Times New Roman" w:hAnsi="Times New Roman"/>
                <w:b w:val="0"/>
                <w:i w:val="0"/>
                <w:color w:val="000000"/>
                <w:sz w:val="20"/>
              </w:rPr>
              <w:t>Head phân loại chung</w:t>
            </w:r>
          </w:p>
        </w:tc>
        <w:tc>
          <w:tcPr>
            <w:tcW w:type="dxa" w:w="3888"/>
            <w:shd w:fill="FFFFFF"/>
          </w:tcPr>
          <w:p>
            <w:pPr>
              <w:spacing w:after="40" w:before="40" w:line="276" w:lineRule="auto"/>
              <w:jc w:val="left"/>
            </w:pPr>
            <w:r/>
            <w:r>
              <w:rPr>
                <w:rFonts w:ascii="Times New Roman" w:hAnsi="Times New Roman"/>
                <w:b w:val="0"/>
                <w:i w:val="0"/>
                <w:color w:val="000000"/>
                <w:sz w:val="20"/>
              </w:rPr>
              <w:t>BatchNorm2d(4) → ReLU → Flatten → Linear(784, K)</w:t>
            </w:r>
          </w:p>
        </w:tc>
        <w:tc>
          <w:tcPr>
            <w:tcW w:type="dxa" w:w="3168"/>
            <w:shd w:fill="FFFFFF"/>
          </w:tcPr>
          <w:p>
            <w:pPr>
              <w:spacing w:after="40" w:before="40" w:line="276" w:lineRule="auto"/>
              <w:jc w:val="left"/>
            </w:pPr>
            <w:r/>
            <w:r>
              <w:rPr>
                <w:rFonts w:ascii="Times New Roman" w:hAnsi="Times New Roman"/>
                <w:b w:val="0"/>
                <w:i w:val="0"/>
                <w:color w:val="000000"/>
                <w:sz w:val="20"/>
              </w:rPr>
              <w:t>Cố định kiến trúc head; K=2 (1,570 tham số) hoặc K=4 (3,140 tham số).</w:t>
            </w:r>
          </w:p>
        </w:tc>
      </w:tr>
      <w:tr>
        <w:tc>
          <w:tcPr>
            <w:tcW w:type="dxa" w:w="2592"/>
            <w:shd w:fill="FAFAFA"/>
          </w:tcPr>
          <w:p>
            <w:pPr>
              <w:spacing w:after="40" w:before="40" w:line="276" w:lineRule="auto"/>
              <w:jc w:val="center"/>
            </w:pPr>
            <w:r/>
            <w:r>
              <w:rPr>
                <w:rFonts w:ascii="Times New Roman" w:hAnsi="Times New Roman"/>
                <w:b w:val="0"/>
                <w:i w:val="0"/>
                <w:color w:val="000000"/>
                <w:sz w:val="20"/>
              </w:rPr>
              <w:t>Chế độ mạch lượng tử</w:t>
            </w:r>
          </w:p>
        </w:tc>
        <w:tc>
          <w:tcPr>
            <w:tcW w:type="dxa" w:w="3888"/>
            <w:shd w:fill="FAFAFA"/>
          </w:tcPr>
          <w:p>
            <w:pPr>
              <w:spacing w:after="40" w:before="40" w:line="276" w:lineRule="auto"/>
              <w:jc w:val="left"/>
            </w:pPr>
            <w:r/>
            <w:r>
              <w:rPr>
                <w:rFonts w:ascii="Times New Roman" w:hAnsi="Times New Roman"/>
                <w:b w:val="0"/>
                <w:i w:val="0"/>
                <w:color w:val="000000"/>
                <w:sz w:val="20"/>
              </w:rPr>
              <w:t>Mạch tĩnh (Fixed, 0 tham số) và Mạch tự học (Trainable, 8 hoặc 24 tham số)</w:t>
            </w:r>
          </w:p>
        </w:tc>
        <w:tc>
          <w:tcPr>
            <w:tcW w:type="dxa" w:w="3168"/>
            <w:shd w:fill="FAFAFA"/>
          </w:tcPr>
          <w:p>
            <w:pPr>
              <w:spacing w:after="40" w:before="40" w:line="276" w:lineRule="auto"/>
              <w:jc w:val="left"/>
            </w:pPr>
            <w:r/>
            <w:r>
              <w:rPr>
                <w:rFonts w:ascii="Times New Roman" w:hAnsi="Times New Roman"/>
                <w:b w:val="0"/>
                <w:i w:val="0"/>
                <w:color w:val="000000"/>
                <w:sz w:val="20"/>
              </w:rPr>
              <w:t>So sánh vai trò điều hòa cấu trúc cố định so với vi phân lượng tử.</w:t>
            </w:r>
          </w:p>
        </w:tc>
      </w:tr>
      <w:tr>
        <w:tc>
          <w:tcPr>
            <w:tcW w:type="dxa" w:w="2592"/>
            <w:shd w:fill="FFFFFF"/>
          </w:tcPr>
          <w:p>
            <w:pPr>
              <w:spacing w:after="40" w:before="40" w:line="276" w:lineRule="auto"/>
              <w:jc w:val="center"/>
            </w:pPr>
            <w:r/>
            <w:r>
              <w:rPr>
                <w:rFonts w:ascii="Times New Roman" w:hAnsi="Times New Roman"/>
                <w:b w:val="0"/>
                <w:i w:val="0"/>
                <w:color w:val="000000"/>
                <w:sz w:val="20"/>
              </w:rPr>
              <w:t>Bộ chỉ số đánh giá</w:t>
            </w:r>
          </w:p>
        </w:tc>
        <w:tc>
          <w:tcPr>
            <w:tcW w:type="dxa" w:w="3888"/>
            <w:shd w:fill="FFFFFF"/>
          </w:tcPr>
          <w:p>
            <w:pPr>
              <w:spacing w:after="40" w:before="40" w:line="276" w:lineRule="auto"/>
              <w:jc w:val="left"/>
            </w:pPr>
            <w:r/>
            <w:r>
              <w:rPr>
                <w:rFonts w:ascii="Times New Roman" w:hAnsi="Times New Roman"/>
                <w:b w:val="0"/>
                <w:i w:val="0"/>
                <w:color w:val="000000"/>
                <w:sz w:val="20"/>
              </w:rPr>
              <w:t>6 metrics: Accuracy, Balanced Accuracy, F1 macro, MCC, ROC-AUC, PR-AUC</w:t>
            </w:r>
          </w:p>
        </w:tc>
        <w:tc>
          <w:tcPr>
            <w:tcW w:type="dxa" w:w="3168"/>
            <w:shd w:fill="FFFFFF"/>
          </w:tcPr>
          <w:p>
            <w:pPr>
              <w:spacing w:after="40" w:before="40" w:line="276" w:lineRule="auto"/>
              <w:jc w:val="left"/>
            </w:pPr>
            <w:r/>
            <w:r>
              <w:rPr>
                <w:rFonts w:ascii="Times New Roman" w:hAnsi="Times New Roman"/>
                <w:b w:val="0"/>
                <w:i w:val="0"/>
                <w:color w:val="000000"/>
                <w:sz w:val="20"/>
              </w:rPr>
              <w:t>Đánh giá đa chiều, đặc biệt nhạy với dữ liệu mất cân bằng y tế.</w:t>
            </w:r>
          </w:p>
        </w:tc>
      </w:tr>
      <w:tr>
        <w:tc>
          <w:tcPr>
            <w:tcW w:type="dxa" w:w="2592"/>
            <w:shd w:fill="FAFAFA"/>
          </w:tcPr>
          <w:p>
            <w:pPr>
              <w:spacing w:after="40" w:before="40" w:line="276" w:lineRule="auto"/>
              <w:jc w:val="center"/>
            </w:pPr>
            <w:r/>
            <w:r>
              <w:rPr>
                <w:rFonts w:ascii="Times New Roman" w:hAnsi="Times New Roman"/>
                <w:b w:val="0"/>
                <w:i w:val="0"/>
                <w:color w:val="000000"/>
                <w:sz w:val="20"/>
              </w:rPr>
              <w:t>Hạt giống ngẫu nhiên</w:t>
            </w:r>
          </w:p>
        </w:tc>
        <w:tc>
          <w:tcPr>
            <w:tcW w:type="dxa" w:w="3888"/>
            <w:shd w:fill="FAFAFA"/>
          </w:tcPr>
          <w:p>
            <w:pPr>
              <w:spacing w:after="40" w:before="40" w:line="276" w:lineRule="auto"/>
              <w:jc w:val="left"/>
            </w:pPr>
            <w:r/>
            <w:r>
              <w:rPr>
                <w:rFonts w:ascii="Times New Roman" w:hAnsi="Times New Roman"/>
                <w:b w:val="0"/>
                <w:i w:val="0"/>
                <w:color w:val="000000"/>
                <w:sz w:val="20"/>
              </w:rPr>
              <w:t>10 seeds cố định: S = {0, 42, 100, 2023, 777, 999, 1234, 5678, 1111, 2222}</w:t>
            </w:r>
          </w:p>
        </w:tc>
        <w:tc>
          <w:tcPr>
            <w:tcW w:type="dxa" w:w="3168"/>
            <w:shd w:fill="FAFAFA"/>
          </w:tcPr>
          <w:p>
            <w:pPr>
              <w:spacing w:after="40" w:before="40" w:line="276" w:lineRule="auto"/>
              <w:jc w:val="left"/>
            </w:pPr>
            <w:r/>
            <w:r>
              <w:rPr>
                <w:rFonts w:ascii="Times New Roman" w:hAnsi="Times New Roman"/>
                <w:b w:val="0"/>
                <w:i w:val="0"/>
                <w:color w:val="000000"/>
                <w:sz w:val="20"/>
              </w:rPr>
              <w:t>Triệt tiêu biến động khởi tạo, bảo đảm khả năng tái lập hoàn toàn.</w:t>
            </w:r>
          </w:p>
        </w:tc>
      </w:tr>
      <w:tr>
        <w:tc>
          <w:tcPr>
            <w:tcW w:type="dxa" w:w="2592"/>
            <w:shd w:fill="FFFFFF"/>
          </w:tcPr>
          <w:p>
            <w:pPr>
              <w:spacing w:after="40" w:before="40" w:line="276" w:lineRule="auto"/>
              <w:jc w:val="center"/>
            </w:pPr>
            <w:r/>
            <w:r>
              <w:rPr>
                <w:rFonts w:ascii="Times New Roman" w:hAnsi="Times New Roman"/>
                <w:b w:val="0"/>
                <w:i w:val="0"/>
                <w:color w:val="000000"/>
                <w:sz w:val="20"/>
              </w:rPr>
              <w:t>Kiểm định thống kê</w:t>
            </w:r>
          </w:p>
        </w:tc>
        <w:tc>
          <w:tcPr>
            <w:tcW w:type="dxa" w:w="3888"/>
            <w:shd w:fill="FFFFFF"/>
          </w:tcPr>
          <w:p>
            <w:pPr>
              <w:spacing w:after="40" w:before="40" w:line="276" w:lineRule="auto"/>
              <w:jc w:val="left"/>
            </w:pPr>
            <w:r/>
            <w:r>
              <w:rPr>
                <w:rFonts w:ascii="Times New Roman" w:hAnsi="Times New Roman"/>
                <w:b w:val="0"/>
                <w:i w:val="0"/>
                <w:color w:val="000000"/>
                <w:sz w:val="20"/>
              </w:rPr>
              <w:t>Paired Student’s t-test, Wilcoxon signed-rank (α = 0.05), Cohen’s d, CI 95%</w:t>
            </w:r>
          </w:p>
        </w:tc>
        <w:tc>
          <w:tcPr>
            <w:tcW w:type="dxa" w:w="3168"/>
            <w:shd w:fill="FFFFFF"/>
          </w:tcPr>
          <w:p>
            <w:pPr>
              <w:spacing w:after="40" w:before="40" w:line="276" w:lineRule="auto"/>
              <w:jc w:val="left"/>
            </w:pPr>
            <w:r/>
            <w:r>
              <w:rPr>
                <w:rFonts w:ascii="Times New Roman" w:hAnsi="Times New Roman"/>
                <w:b w:val="0"/>
                <w:i w:val="0"/>
                <w:color w:val="000000"/>
                <w:sz w:val="20"/>
              </w:rPr>
              <w:t>Đánh giá độ tin cậy kép (tham số và phi tham số) kèm kích thước hiệu ứng.</w:t>
            </w:r>
          </w:p>
        </w:tc>
      </w:tr>
    </w:tbl>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line="360" w:lineRule="auto"/>
        <w:jc w:val="both"/>
      </w:pPr>
      <w:r>
        <w:rPr>
          <w:rFonts w:ascii="Times New Roman" w:hAnsi="Times New Roman"/>
          <w:sz w:val="26"/>
        </w:rPr>
        <w:t>Luận văn gồm sáu chương. Chương 2 trình bày tổng quan lý thuyết về học sâu y tế, máy học lượng tử NISQ, mạng quanvolution, các nghiên cứu liên quan và phân tích bộ chuẩn MedMNIST. Chương 3 mô tả chi tiết phương pháp nghiên cứu: kiến trúc pipeline đối xứng, cơ chế mã hóa lượng tử, các biến thể ansatz, hồ sơ thiết kế phần mềm, hệ thống 6 chỉ số đánh giá, hai chiến lược tính toán và kiểm chứng đạo hàm vật lý. Chương 4 trình bày thiết lập thực nghiệm, kết quả trên hai bộ dữ liệu BreastMNIST và OCTMNIST, động học tối ưu, khảo sát ablation và phân tích chi phí tính toán. Chương 5 thảo luận và kết luận về những đóng góp mới. Chương 6 đề xuất các hướng phát triển tiếp theo.</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line="360" w:lineRule="auto"/>
        <w:jc w:val="both"/>
      </w:pPr>
      <w:r>
        <w:rPr>
          <w:rFonts w:ascii="Times New Roman" w:hAnsi="Times New Roman"/>
          <w:b w:val="0"/>
          <w:i w:val="0"/>
          <w:color w:val="000000"/>
          <w:sz w:val="26"/>
        </w:rPr>
        <w:t>Trong nỗ lực khắc phục sự khan hiếm dữ liệu y tế, kỹ thuật học chuyển giao (transfer learning) từ các mạng nơ-ron tích chập tiền huấn luyện trên các tập dữ liệu tự nhiên quy mô lớn như ImageNet đã được ứng dụng rộng rãi trong nhiều nghiên cứu lâm sàng. Tuy nhiên, sự dịch chuyển miền biểu diễn (domain shift) giữa ảnh thế giới thực (ba kênh màu RGB, các vật thể kích thước lớn, tương phản màu sắc phong phú) và ảnh chẩn đoán y tế (thường là ảnh đơn sắc một kênh, độ tương phản thấp, tổn thương mang tính vi thể) đặt ra những giới hạn căn bản. Các bộ lọc tích chập học từ ảnh tự nhiên thường tập trung vào màu sắc và kết cấu bề mặt vĩ mô, dễ bỏ qua các tương quan cấu trúc tinh tế của mô bệnh học. Hơn nữa, việc tinh chỉnh các mạng có hàng chục triệu tham số trên tập dữ liệu y tế chỉ vài trăm mẫu thường đối mặt với nguy cơ suy biến biểu diễn hoặc overfitting nghiêm trọng, đòi hỏi các cơ chế trích xuất đặc trưng gọn nhẹ, có cấu trúc chặt chẽ và không phụ thuộc vào trọng số tiền huấn luyện khổng lồ.</w:t>
      </w:r>
    </w:p>
    <w:p>
      <w:pPr>
        <w:spacing w:after="120" w:line="360" w:lineRule="auto"/>
        <w:jc w:val="both"/>
      </w:pPr>
      <w:r>
        <w:rPr>
          <w:rFonts w:ascii="Times New Roman" w:hAnsi="Times New Roman"/>
          <w:b w:val="0"/>
          <w:i w:val="0"/>
          <w:color w:val="000000"/>
          <w:sz w:val="26"/>
        </w:rPr>
        <w:t>Bên cạnh quy mô dữ liệu nhỏ, tính chất mất cân bằng lớp tự nhiên trong dữ liệu y tế là nguyên nhân khiến việc sử dụng độ chính xác tổng thể (Accuracy) đơn lẻ trở thành một sai lầm phương pháp luận phổ biến. Trên một tập dữ liệu có 80% mẫu lành tính và 20% mẫu ác tính, một bộ phân loại tầm thường luôn dự đoán nhãn lành tính vẫn đạt được Accuracy 80%, song độ nhạy lâm sàng đối với các ca bệnh hiểm nghèo lại bằng 0%. Hiện tượng này che giấu sự bất lực của mô hình trong việc phân loại lớp thiểu số. Do đó, các nghiên cứu chẩn đoán hình ảnh y sinh bắt buộc phải sử dụng các chỉ số phản ánh trung thực phân bố lỗi như Balanced Accuracy (trung bình cộng giữa Sensitivity và Specificity), điểm F1 trung bình vĩ mô (F1-score macro), hệ số tương quan Matthews (MCC) và diện tích dưới đường cong Precision-Recall (PR-AUC) — thước đo phản ánh độ chính xác thực chất khi xếp hạng các mẫu dương tính hiếm gặp mà không bị thổi phồng bởi lớp đa số.</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line="360" w:lineRule="auto"/>
        <w:jc w:val="both"/>
      </w:pPr>
      <w:r>
        <w:rPr>
          <w:rFonts w:ascii="Times New Roman" w:hAnsi="Times New Roman"/>
          <w:b w:val="0"/>
          <w:i w:val="0"/>
          <w:color w:val="000000"/>
          <w:sz w:val="26"/>
        </w:rPr>
        <w:t>Mạch lượng tử biến phân (Variational Quantum Circuit — VQC) trong kỷ nguyên NISQ thường được cấu thành từ ba thành phần cơ bản: khối mã hóa trạng thái lượng tử (quantum state preparation), khối biến phân tham số hóa U(θ) gồm các cổng quay đơn qubit và các cổng vướng víu (entangling gates), và khối đo lường để thu thập các giá trị kỳ vọng lượng tử ⟨M⟩. Việc lựa chọn chiến lược mã hóa đóng vai trò quyết định đến hiệu năng của mô hình. Trong khi mã hóa biên độ (amplitude encoding) cho phép nén 2^N giá trị cổ điển vào N qubit nhưng đòi hỏi mạch lượng tử khởi tạo có độ sâu lớn và rất nhạy cảm với nhiễu phần cứng, mã hóa góc (angle encoding) biến đổi từng đặc trưng pixel thành góc quay của cổng lượng tử đơn qubit (ví dụ RY(π·x_i)) với độ sâu mạch O(1), bảo toàn nguyên vẹn tính cục bộ không gian của patch ảnh. Một rào cản lý thuyết lớn trong tối ưu hóa VQC là hiện tượng sườn phẳng cằn cỗi (Barren Plateaus) được phát hiện bởi McClean et al. [14]. Khi số lượng qubit tăng lên và mạch vướng víu có độ sâu lớn, gradient của hàm mục tiêu theo các tham số góc quay bị triệt tiêu theo hàm mũ Var[∂_θ ⟨M⟩] ∈ O(1/2^N), khiến việc huấn luyện bằng thuật toán gradient descent bị đình trệ. Tuy nhiên, đối với kiến trúc quanvolution sử dụng kernel kích thước nhỏ (4-qubit) và độ sâu nông (L=1 hoặc L=2), không gian trạng thái Hilbert 16 chiều là đủ nhỏ để nguy cơ barren plateaus được kiểm soát, mở ra cơ hội tối ưu hóa gradient thực tế mà không bị suy biến không gian tìm kiếm.</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line="360" w:lineRule="auto"/>
        <w:jc w:val="both"/>
      </w:pPr>
      <w:r>
        <w:rPr>
          <w:rFonts w:ascii="Times New Roman" w:hAnsi="Times New Roman"/>
          <w:b w:val="0"/>
          <w:i w:val="0"/>
          <w:color w:val="000000"/>
          <w:sz w:val="26"/>
        </w:rPr>
        <w:t>Một câu hỏi kiến trúc căn bản trong việc thiết kế mạng quanvolution là sự đánh đổi giữa hai chiến lược tính toán: mạch lượng tử cố định (Fixed/Precomputed Quanvolution) và mạch lượng tử tự học (Trainable Quanvolution). Với mạch tĩnh, các góc quay của mạch lượng tử được cố định theo một cấu trúc thiết kế sẵn hoặc khởi tạo ngẫu nhiên nhưng giữ nguyên trong suốt quá trình học. Cách tiếp cận này cho phép tính toán trước (precompute) toàn bộ các bản đồ đặc trưng lượng tử của tập dữ liệu một lần duy nhất và lưu vào bộ nhớ, giúp giảm chi phí huấn luyện của các lần lặp hạt giống xuống mức tối thiểu (vài giây cho mỗi hạt giống), đồng thời mạch tĩnh đóng vai trò như một bộ lọc cố định tạo ra sự ràng buộc cấu trúc (structural regularizer), hạn chế việc mạng bị overfitting trên các tập dữ liệu nhỏ. Ngược lại, chiến lược mạch tự học cho phép các tham số góc quay θ được cập nhật đồng thời với các trọng số của head phân loại thông qua lan truyền ngược. Về mặt lý thuyết, điều này mở ra khả năng thích nghi không gian đặc trưng lượng tử theo từng bài toán cụ thể, song chi phí tính toán tăng lên hàng trăm lần do phải mô phỏng lại mạch lượng tử cho từng patch ảnh trong từng epoch, đồng thời làm tăng tính phức tạp của bề mặt tối ưu phi lồi.</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sz w:val="26"/>
        </w:rPr>
        <w:t>2.5. Các nghiên cứu liên quan trên dữ liệu y tế</w:t>
      </w:r>
    </w:p>
    <w:p>
      <w:pPr>
        <w:spacing w:before="120" w:after="60"/>
      </w:pPr>
      <w:r>
        <w:rPr>
          <w:rFonts w:ascii="Times New Roman" w:hAnsi="Times New Roman"/>
          <w:b/>
          <w:sz w:val="26"/>
        </w:rPr>
        <w:t>2.5.1. Công trình tiên phong của Henderson et al. (2020) và nền tảng Quanvolution</w:t>
      </w:r>
    </w:p>
    <w:p>
      <w:pPr>
        <w:spacing w:line="360" w:lineRule="auto" w:after="120"/>
        <w:jc w:val="both"/>
      </w:pPr>
      <w:r>
        <w:rPr>
          <w:rFonts w:ascii="Times New Roman" w:hAnsi="Times New Roman"/>
          <w:sz w:val="26"/>
        </w:rPr>
        <w:t>Henderson et al. [8] là nhóm tác giả đầu tiên đề xuất mô hình Quanvolutional Neural Network (Quanvolution), trong đó một mạch lượng tử tham số hóa hoặc ngẫu nhiên được sử dụng như một bộ lọc không gian trượt trên lưới ảnh 2D, biến đổi các patch ảnh cục bộ thành các bản đồ đặc trưng thông qua phép đo kỳ vọng lượng tử. Trên bộ dữ liệu chữ số viết tay MNIST, nghiên cứu đã chứng minh tính khả thi của việc tích hợp các phép biến đổi lượng tử phi tuyến vào quy trình phân loại ảnh cổ điển. Tuy nhiên, công trình của Henderson et al. chỉ dừng lại ở các mạch lượng tử ngẫu nhiên cố định (random quantum circuits) trên các bài toán đơn giản, chưa khảo sát trên ảnh y sinh thực tế và chưa khai thác khả năng học tham số (trainable parameters) của mạch lượng tử. Đặc biệt, nghiên cứu này thiếu một baseline cổ điển được chuẩn hóa đối xứng tham số và chưa áp dụng kiểm định thống kê trên nhiều lần lặp hạt giống độc lập.</w:t>
      </w:r>
    </w:p>
    <w:p>
      <w:pPr>
        <w:spacing w:before="120" w:after="60"/>
      </w:pPr>
      <w:r>
        <w:rPr>
          <w:rFonts w:ascii="Times New Roman" w:hAnsi="Times New Roman"/>
          <w:b/>
          <w:sz w:val="26"/>
        </w:rPr>
        <w:t>2.5.2. Công trình của Hur et al. (2022) và ranh giới với Quantum Convolutional Neural Network (QCNN)</w:t>
      </w:r>
    </w:p>
    <w:p>
      <w:pPr>
        <w:spacing w:line="360" w:lineRule="auto" w:after="120"/>
        <w:jc w:val="both"/>
      </w:pPr>
      <w:r>
        <w:rPr>
          <w:rFonts w:ascii="Times New Roman" w:hAnsi="Times New Roman"/>
          <w:sz w:val="26"/>
        </w:rPr>
        <w:t>Kế thừa nền tảng mạng tích chập lượng tử thuần chủng QCNN do Cong et al. [6] đề xuất cho vật lý lượng tử, Hur et al. đã phát triển các kiến trúc QCNN lượng tử bảo toàn đối xứng cấu trúc, sử dụng các lớp tích chập và pooling lượng tử để giảm dần số chiều hệ qubit. Tuy nhiên, việc áp dụng QCNN thuần chủng vào phân tích ảnh y tế thông thường đối mặt với hai rào cản kỹ thuật lớn: thứ nhất, việc mã hóa toàn bộ một bức ảnh 2D vào trạng thái lượng tử đòi hỏi số lượng qubit lớn hoặc mạch chuẩn bị trạng thái rất sâu, dễ bị suy hao bởi nhiễu môi trường trong kỷ nguyên NISQ; thứ hai, QCNN thuần chủng không tương thích tự nhiên với các cơ chế điều hòa và bộ tối ưu hóa tiêu chuẩn của học sâu hiện đại. Ngược lại, quanvolution là một kiến trúc lai (hybrid): mạch lượng tử chỉ xử lý cục bộ trên từng patch nhỏ 4-qubit, còn toàn bộ việc tổng hợp thông tin không gian và phân loại được đảm nhiệm bởi các tầng cổ điển. Sự phân định ranh giới này khẳng định tính khả thi và tính tương thích thực tiễn cao hơn của quanvolution trên hạ tầng tính toán hiện nay.</w:t>
      </w:r>
    </w:p>
    <w:p>
      <w:pPr>
        <w:spacing w:before="120" w:after="60"/>
      </w:pPr>
      <w:r>
        <w:rPr>
          <w:rFonts w:ascii="Times New Roman" w:hAnsi="Times New Roman"/>
          <w:b/>
          <w:sz w:val="26"/>
        </w:rPr>
        <w:t>2.5.3. Công trình của Azevedo et al. (2022) về Quantum Transfer Learning trong phát hiện ung thư vú</w:t>
      </w:r>
    </w:p>
    <w:p>
      <w:pPr>
        <w:spacing w:after="120" w:line="360" w:lineRule="auto"/>
        <w:jc w:val="both"/>
      </w:pPr>
      <w:r>
        <w:rPr>
          <w:rFonts w:ascii="Times New Roman" w:hAnsi="Times New Roman"/>
          <w:sz w:val="26"/>
        </w:rPr>
        <w:t>Azevedo et al. [2] ứng dụng quantum transfer learning cho bài toán phát hiện ung thư vú trên bộ ảnh chụp nhũ ảnh BCDR (825 ảnh, bài toán nhị phân). Kiến trúc của nhóm tác giả sử dụng mạng ResNet18 tiền huấn luyện trên ImageNet để trích xuất 512 đặc trưng cổ điển, sau đó nạp vào một mạch lượng tử 4-qubit dạng dressed quantum circuit và thử nghiệm trên cả bộ mô phỏng và phần cứng thực IBM Quantum (ibm_lagos). Đóng góp đáng chú ý của nghiên cứu là chứng minh tính khả thi của việc triển khai mô hình lượng tử lai trên phần cứng vật lý cho dữ liệu lâm sàng tuyến vú. Tuy nhiên, hạn chế phương pháp luận nằm ở chỗ mô hình baseline cổ điển được so sánh không được chuẩn hóa đối xứng tham số với mạch lượng tử, khiến việc khẳng định ưu thế phân loại thiếu tính thuyết phục nghiêm ngặt. Ngoài ra, việc chỉ đánh giá trên một lần chia tập dữ liệu (single split) duy nhất mà không có độ lệch chuẩn hay kiểm định thống kê khiến kết quả dễ bị chi phối bởi biến động ngẫu nhiên của tập kiểm thử.</w:t>
      </w:r>
    </w:p>
    <w:p>
      <w:pPr>
        <w:spacing w:before="120" w:after="60"/>
      </w:pPr>
      <w:r>
        <w:rPr>
          <w:rFonts w:ascii="Times New Roman" w:hAnsi="Times New Roman"/>
          <w:b/>
          <w:sz w:val="26"/>
        </w:rPr>
        <w:t>2.5.4. Công trình của Matondo-Mvula và Elleithy (2024) trên bộ dữ liệu BreastMNIST</w:t>
      </w:r>
    </w:p>
    <w:p>
      <w:pPr>
        <w:spacing w:after="120" w:line="360" w:lineRule="auto"/>
        <w:jc w:val="both"/>
      </w:pPr>
      <w:r>
        <w:rPr>
          <w:rFonts w:ascii="Times New Roman" w:hAnsi="Times New Roman"/>
          <w:sz w:val="26"/>
        </w:rPr>
        <w:t>Matondo-Mvula và Elleithy [13] (Entropy 2024) là công trình nghiên cứu có thiết lập gần gũi nhất với đề tài này: áp dụng trực tiếp mạng quanvolution cho bài toán phân loại ung thư vú trên bộ dữ liệu BreastMNIST. Nhóm tác giả sử dụng một kernel lượng tử kích thước 3 × 3 (đòi hỏi 9 qubit, với 15 tham số học mỗi kernel) và buộc phải hạ độ phân giải ảnh từ 28 × 28 về 14 × 14 nhằm giảm tải chi phí mô phỏng. Kết quả thực nghiệm cho thấy mô hình QCNN chỉ đạt 67% test accuracy, thấp hơn đáng kể so với mô hình baseline CNN cổ điển đạt 83.33% validation accuracy. Phân tích sâu về mặt kỹ thuật, kết quả suy giảm này bắt nguồn từ hai nguyên nhân: thứ nhất, việc dùng kernel 3 × 3 dẫn đến không gian trạng thái lượng tử 2^9 = 512 chiều quá rộng cho một mạch nông, dễ gây nghẽn biểu diễn và khó tối ưu hóa; thứ hai, việc hạ kích thước ảnh về 14 × 14 đã xóa bỏ các chi tiết rìa tổn thương vi mô quan trọng của ảnh siêu âm vú. Hơn thế nữa, nghiên cứu này không thực hiện đánh giá đa hạt giống và thiếu hoàn toàn kiểm định ý nghĩa thống kê — đây chính là các khoảng trống phương pháp luận mà khóa luận này tập trung khắc phục triệt để.</w:t>
      </w:r>
    </w:p>
    <w:p>
      <w:pPr>
        <w:spacing w:before="120" w:after="60"/>
      </w:pPr>
      <w:r>
        <w:rPr>
          <w:rFonts w:ascii="Times New Roman" w:hAnsi="Times New Roman"/>
          <w:b/>
          <w:sz w:val="26"/>
        </w:rPr>
        <w:t>2.5.5. Nghiên cứu của Vu et al. (2024) và các hướng tiếp cận tối ưu hóa cấu trúc mạch</w:t>
      </w:r>
    </w:p>
    <w:p>
      <w:pPr>
        <w:spacing w:after="120" w:line="360" w:lineRule="auto"/>
        <w:jc w:val="both"/>
      </w:pPr>
      <w:r>
        <w:rPr>
          <w:rFonts w:ascii="Times New Roman" w:hAnsi="Times New Roman"/>
          <w:sz w:val="26"/>
        </w:rPr>
        <w:t>Vu, Le và Pham [18] (Quantum Machine Intelligence 2024, bài 29, L. H. Le) đã tiến hành một khảo sát có hệ thống về ảnh hưởng của các thành phần feature trong mạng quanvolution cho bài toán phân loại ảnh tổng quát, chỉ ra rằng việc lựa chọn số lượng qubit, cơ chế mã hóa và cấu trúc liên kết cổng vướng víu quyết định trực tiếp đến chất lượng của bản đồ đặc trưng đầu ra. Cùng hướng nghiên cứu về tối ưu hóa mạch, Altares-López et al. [1] ứng dụng thuật toán di truyền để tự động thiết kế các bản đồ đặc trưng lượng tử, khẳng định không gian thiết kế mạch lượng tử có tính phi lồi cao và việc lựa chọn cấu trúc mạch phù hợp có vai trò then chốt hơn việc tăng số lượng tham số thuần túy. Hoang et al. [9] đề xuất tầng truyền đặc trưng (feature propagation layer) cho HQCNN đa lớp, giải quyết bài toán xử lý theo lô (batching) khi tích hợp mạch lượng tử vi phân vào mạng cổ điển. Nghiên cứu của Kübler et al. [11] về thiên kiến quy nạp của quantum kernel và góc nhìn phản biện của Schuld và Killoran [15] về việc định hình lại mục tiêu nghiên cứu QML đã cung cấp nền tảng triết lý khoa học cho đề tài này: thay vì tìm kiếm lợi thế lượng tử một cách áp đặt, cần xác định chính xác điều kiện dữ liệu mà mạch lượng tử mang lại giá trị thực chất thông qua một quy trình benchmark đối xứng.</w:t>
      </w:r>
    </w:p>
    <w:p>
      <w:pPr>
        <w:spacing w:after="0"/>
        <w:jc w:val="both"/>
      </w:pPr>
      <w:r/>
    </w:p>
    <w:p>
      <w:pPr>
        <w:spacing w:after="0"/>
        <w:jc w:val="both"/>
      </w:pPr>
      <w:r/>
    </w:p>
    <w:p>
      <w:pPr>
        <w:spacing w:before="160" w:after="60"/>
      </w:pPr>
      <w:r>
        <w:rPr>
          <w:rFonts w:ascii="Times New Roman" w:hAnsi="Times New Roman"/>
          <w:b/>
          <w:sz w:val="26"/>
        </w:rPr>
        <w:t>2.6. Bài toán MedMNIST và vị trí benchmark</w:t>
      </w:r>
    </w:p>
    <w:p>
      <w:pPr>
        <w:spacing w:line="360" w:lineRule="auto" w:after="120"/>
        <w:jc w:val="both"/>
      </w:pPr>
      <w:r>
        <w:rPr>
          <w:rFonts w:ascii="Times New Roman" w:hAnsi="Times New Roman"/>
          <w:sz w:val="26"/>
        </w:rPr>
        <w:t>Để giải quyết tình trạng thiếu vắng các bộ dữ liệu y sinh chuẩn hóa có quy mô tính toán phù hợp cho các nghiên cứu thuật toán mới, Yang et al. [19] (Scientific Data 2023) đã công bố bộ chuẩn MedMNIST v2. Đây là bộ sưu tập gồm 12 bài toán phân loại ảnh 2D và 6 bài toán 3D, bao quát nhiều phương thái hình ảnh lâm sàng đa dạng như X-quang, chụp cắt lớp vi tính (CT), cộng hưởng từ (MRI), siêu âm, OCT và mô bệnh học. Toàn bộ hình ảnh trong MedMNIST v2 đều được tiền xử lý và chuẩn hóa về kích thước 28 × 28 pixel. Triết lý thiết kế của MedMNIST tương đồng với vai trò của MNIST và CIFAR-10 trong cộng đồng thị giác máy tính cổ điển: hạ thấp tối đa rào cản tài nguyên phần cứng, cho phép các nhóm nghiên cứu tập trung đánh giá cốt lõi kiến trúc mô hình và thuật toán học mà không bị phân tán bởi các quy trình tiền xử lý ảnh phức tạp.</w:t>
      </w:r>
    </w:p>
    <w:p>
      <w:pPr>
        <w:spacing w:line="360" w:lineRule="auto" w:after="120"/>
        <w:jc w:val="both"/>
      </w:pPr>
      <w:r>
        <w:rPr>
          <w:rFonts w:ascii="Times New Roman" w:hAnsi="Times New Roman"/>
          <w:sz w:val="26"/>
        </w:rPr>
        <w:t>Điểm đặc sắc của MedMNIST v2 là dù được chuẩn hóa kích thước nhỏ, bộ dữ liệu vẫn bảo tồn trọn vẹn những thách thức lâm sàng thực tế: độ tương phản biên mờ nhạt, tỷ lệ nhiễu quang học cao và đặc biệt là phân bố mất cân bằng lớp nghiêm trọng. Trong khuôn khổ khóa luận này, hai bộ dữ liệu con được lựa chọn có chủ đích để tạo thành một 'phép thử kép' (two-pronged stress test) đối chứng: (1) BreastMNIST — tập dữ liệu nhị phân quy mô nhỏ (780 ảnh siêu âm vú) với tỷ lệ lệch lớp 73% lành tính / 27% ác tính, đóng vai trò kiểm tra khả năng điều hòa cấu trúc và chống overfitting của mạch lượng tử; (2) OCTMNIST — bài toán 4 lớp bệnh lý võng mạc với không gian dữ liệu lớn (subset 5,000 ảnh từ hơn 100,000 ảnh gốc), đóng vai trò kiểm tra dung lượng biểu diễn và xác định điểm nghẽn biểu đạt (expressibility bottleneck) của mạch lượng tử nông khi đối đầu với bài toán đa lớp phức tạp. Thiết lập này cho phép khóa luận định vị một cách trung thực ranh giới hiệu quả của mô hình quanvolution theo từng chế độ dữ liệu.</w:t>
      </w:r>
    </w:p>
    <w:p>
      <w:pPr>
        <w:spacing w:after="120"/>
        <w:jc w:val="left"/>
      </w:pPr>
      <w:r>
        <w:rPr>
          <w:rFonts w:ascii="Times New Roman" w:hAnsi="Times New Roman"/>
          <w:b/>
          <w:sz w:val="26"/>
        </w:rPr>
        <w:t>2.7.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10"/>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tác giả tổng hợp từ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 Hình 3.2 so sánh trực quan feature map tạo bởi tích chập cổ điển và bởi phép đo kỳ vọng lượng tử trên cùng một ảnh.</w:t>
      </w:r>
    </w:p>
    <w:p>
      <w:pPr>
        <w:jc w:val="center"/>
      </w:pPr>
      <w:r>
        <w:drawing>
          <wp:inline xmlns:a="http://schemas.openxmlformats.org/drawingml/2006/main" xmlns:pic="http://schemas.openxmlformats.org/drawingml/2006/picture">
            <wp:extent cx="5580000" cy="1598291"/>
            <wp:docPr id="2" name="Picture 2"/>
            <wp:cNvGraphicFramePr>
              <a:graphicFrameLocks noChangeAspect="1"/>
            </wp:cNvGraphicFramePr>
            <a:graphic>
              <a:graphicData uri="http://schemas.openxmlformats.org/drawingml/2006/picture">
                <pic:pic>
                  <pic:nvPicPr>
                    <pic:cNvPr id="0" name="Fig2_feature_comparison.png"/>
                    <pic:cNvPicPr/>
                  </pic:nvPicPr>
                  <pic:blipFill>
                    <a:blip r:embed="rId11"/>
                    <a:stretch>
                      <a:fillRect/>
                    </a:stretch>
                  </pic:blipFill>
                  <pic:spPr>
                    <a:xfrm>
                      <a:off x="0" y="0"/>
                      <a:ext cx="5580000" cy="1598291"/>
                    </a:xfrm>
                    <a:prstGeom prst="rect"/>
                  </pic:spPr>
                </pic:pic>
              </a:graphicData>
            </a:graphic>
          </wp:inline>
        </w:drawing>
      </w:r>
    </w:p>
    <w:p>
      <w:pPr>
        <w:spacing w:after="200"/>
        <w:jc w:val="center"/>
      </w:pPr>
      <w:r>
        <w:rPr>
          <w:rFonts w:ascii="Times New Roman" w:hAnsi="Times New Roman"/>
          <w:b/>
          <w:i/>
          <w:sz w:val="24"/>
        </w:rPr>
        <w:t>Hình 3.2: So sánh feature map — tích chập cổ điển và expectation value lượng tử (Nguồn: tác giả tổng hợp từ kết quả thực nghiệm đề tài)</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tóm tắt tại Bảng 3.1:</w:t>
      </w:r>
    </w:p>
    <w:p>
      <w:pPr>
        <w:spacing w:after="200"/>
        <w:jc w:val="center"/>
      </w:pPr>
      <w:r>
        <w:rPr>
          <w:rFonts w:ascii="Times New Roman" w:hAnsi="Times New Roman"/>
          <w:b/>
          <w:i/>
          <w:sz w:val="24"/>
        </w:rPr>
        <w:t>Bảng 3.1: Ba họ ansatz và số tham số tương ứng (N_q = 4)</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Họ ansatz</w:t>
            </w:r>
          </w:p>
        </w:tc>
        <w:tc>
          <w:tcPr>
            <w:tcW w:type="dxa" w:w="1824"/>
          </w:tcPr>
          <w:p>
            <w:r/>
            <w:r>
              <w:rPr>
                <w:rFonts w:ascii="Times New Roman" w:hAnsi="Times New Roman"/>
                <w:b/>
                <w:sz w:val="22"/>
              </w:rPr>
              <w:t>Cổng quay</w:t>
            </w:r>
          </w:p>
        </w:tc>
        <w:tc>
          <w:tcPr>
            <w:tcW w:type="dxa" w:w="1824"/>
          </w:tcPr>
          <w:p>
            <w:r/>
            <w:r>
              <w:rPr>
                <w:rFonts w:ascii="Times New Roman" w:hAnsi="Times New Roman"/>
                <w:b/>
                <w:sz w:val="22"/>
              </w:rPr>
              <w:t>Lớp rối (entangling)</w:t>
            </w:r>
          </w:p>
        </w:tc>
        <w:tc>
          <w:tcPr>
            <w:tcW w:type="dxa" w:w="1824"/>
          </w:tcPr>
          <w:p>
            <w:r/>
            <w:r>
              <w:rPr>
                <w:rFonts w:ascii="Times New Roman" w:hAnsi="Times New Roman"/>
                <w:b/>
                <w:sz w:val="22"/>
              </w:rPr>
              <w:t>Tham số/tầng</w:t>
            </w:r>
          </w:p>
        </w:tc>
        <w:tc>
          <w:tcPr>
            <w:tcW w:type="dxa" w:w="1824"/>
          </w:tcPr>
          <w:p>
            <w:r/>
            <w:r>
              <w:rPr>
                <w:rFonts w:ascii="Times New Roman" w:hAnsi="Times New Roman"/>
                <w:b/>
                <w:sz w:val="22"/>
              </w:rPr>
              <w:t>Tham số (L=2 / L=1)</w:t>
            </w:r>
          </w:p>
        </w:tc>
      </w:tr>
      <w:tr>
        <w:tc>
          <w:tcPr>
            <w:tcW w:type="dxa" w:w="1824"/>
          </w:tcPr>
          <w:p>
            <w:r/>
            <w:r>
              <w:rPr>
                <w:rFonts w:ascii="Times New Roman" w:hAnsi="Times New Roman"/>
                <w:sz w:val="22"/>
              </w:rPr>
              <w:t>Basic Entangling</w:t>
            </w:r>
          </w:p>
        </w:tc>
        <w:tc>
          <w:tcPr>
            <w:tcW w:type="dxa" w:w="1824"/>
          </w:tcPr>
          <w:p>
            <w:r/>
            <w:r>
              <w:rPr>
                <w:rFonts w:ascii="Times New Roman" w:hAnsi="Times New Roman"/>
                <w:sz w:val="22"/>
              </w:rPr>
              <w:t>R_Y(θ_i) — 1 trục</w:t>
            </w:r>
          </w:p>
        </w:tc>
        <w:tc>
          <w:tcPr>
            <w:tcW w:type="dxa" w:w="1824"/>
          </w:tcPr>
          <w:p>
            <w:r/>
            <w:r>
              <w:rPr>
                <w:rFonts w:ascii="Times New Roman" w:hAnsi="Times New Roman"/>
                <w:sz w:val="22"/>
              </w:rPr>
              <w:t>CNOT vòng q0→q1→q2→q3→q0</w:t>
            </w:r>
          </w:p>
        </w:tc>
        <w:tc>
          <w:tcPr>
            <w:tcW w:type="dxa" w:w="1824"/>
          </w:tcPr>
          <w:p>
            <w:r/>
            <w:r>
              <w:rPr>
                <w:rFonts w:ascii="Times New Roman" w:hAnsi="Times New Roman"/>
                <w:sz w:val="22"/>
              </w:rPr>
              <w:t>4L</w:t>
            </w:r>
          </w:p>
        </w:tc>
        <w:tc>
          <w:tcPr>
            <w:tcW w:type="dxa" w:w="1824"/>
          </w:tcPr>
          <w:p>
            <w:r/>
            <w:r>
              <w:rPr>
                <w:rFonts w:ascii="Times New Roman" w:hAnsi="Times New Roman"/>
                <w:sz w:val="22"/>
              </w:rPr>
              <w:t>8 / 4</w:t>
            </w:r>
          </w:p>
        </w:tc>
      </w:tr>
      <w:tr>
        <w:tc>
          <w:tcPr>
            <w:tcW w:type="dxa" w:w="1824"/>
          </w:tcPr>
          <w:p>
            <w:r/>
            <w:r>
              <w:rPr>
                <w:rFonts w:ascii="Times New Roman" w:hAnsi="Times New Roman"/>
                <w:sz w:val="22"/>
              </w:rPr>
              <w:t>Strongly Entangling</w:t>
            </w:r>
          </w:p>
        </w:tc>
        <w:tc>
          <w:tcPr>
            <w:tcW w:type="dxa" w:w="1824"/>
          </w:tcPr>
          <w:p>
            <w:r/>
            <w:r>
              <w:rPr>
                <w:rFonts w:ascii="Times New Roman" w:hAnsi="Times New Roman"/>
                <w:sz w:val="22"/>
              </w:rPr>
              <w:t>U₃ = R_Z(ω)R_Y(θ)R_Z(φ) — 3 trục</w:t>
            </w:r>
          </w:p>
        </w:tc>
        <w:tc>
          <w:tcPr>
            <w:tcW w:type="dxa" w:w="1824"/>
          </w:tcPr>
          <w:p>
            <w:r/>
            <w:r>
              <w:rPr>
                <w:rFonts w:ascii="Times New Roman" w:hAnsi="Times New Roman"/>
                <w:sz w:val="22"/>
              </w:rPr>
              <w:t>Rối tuần hoàn các cặp qubit</w:t>
            </w:r>
          </w:p>
        </w:tc>
        <w:tc>
          <w:tcPr>
            <w:tcW w:type="dxa" w:w="1824"/>
          </w:tcPr>
          <w:p>
            <w:r/>
            <w:r>
              <w:rPr>
                <w:rFonts w:ascii="Times New Roman" w:hAnsi="Times New Roman"/>
                <w:sz w:val="22"/>
              </w:rPr>
              <w:t>12L</w:t>
            </w:r>
          </w:p>
        </w:tc>
        <w:tc>
          <w:tcPr>
            <w:tcW w:type="dxa" w:w="1824"/>
          </w:tcPr>
          <w:p>
            <w:r/>
            <w:r>
              <w:rPr>
                <w:rFonts w:ascii="Times New Roman" w:hAnsi="Times New Roman"/>
                <w:sz w:val="22"/>
              </w:rPr>
              <w:t>24 / 12</w:t>
            </w:r>
          </w:p>
        </w:tc>
      </w:tr>
      <w:tr>
        <w:tc>
          <w:tcPr>
            <w:tcW w:type="dxa" w:w="1824"/>
          </w:tcPr>
          <w:p>
            <w:r/>
            <w:r>
              <w:rPr>
                <w:rFonts w:ascii="Times New Roman" w:hAnsi="Times New Roman"/>
                <w:sz w:val="22"/>
              </w:rPr>
              <w:t>Random (đóng băng)</w:t>
            </w:r>
          </w:p>
        </w:tc>
        <w:tc>
          <w:tcPr>
            <w:tcW w:type="dxa" w:w="1824"/>
          </w:tcPr>
          <w:p>
            <w:r/>
            <w:r>
              <w:rPr>
                <w:rFonts w:ascii="Times New Roman" w:hAnsi="Times New Roman"/>
                <w:sz w:val="22"/>
              </w:rPr>
              <w:t>Cổng quay 3 trục ngẫu nhiên Haar</w:t>
            </w:r>
          </w:p>
        </w:tc>
        <w:tc>
          <w:tcPr>
            <w:tcW w:type="dxa" w:w="1824"/>
          </w:tcPr>
          <w:p>
            <w:r/>
            <w:r>
              <w:rPr>
                <w:rFonts w:ascii="Times New Roman" w:hAnsi="Times New Roman"/>
                <w:sz w:val="22"/>
              </w:rPr>
              <w:t>Cặp CNOT ngẫu nhiên</w:t>
            </w:r>
          </w:p>
        </w:tc>
        <w:tc>
          <w:tcPr>
            <w:tcW w:type="dxa" w:w="1824"/>
          </w:tcPr>
          <w:p>
            <w:r/>
            <w:r>
              <w:rPr>
                <w:rFonts w:ascii="Times New Roman" w:hAnsi="Times New Roman"/>
                <w:sz w:val="22"/>
              </w:rPr>
              <w:t>0 (frozen)</w:t>
            </w:r>
          </w:p>
        </w:tc>
        <w:tc>
          <w:tcPr>
            <w:tcW w:type="dxa" w:w="1824"/>
          </w:tcPr>
          <w:p>
            <w:r/>
            <w:r>
              <w:rPr>
                <w:rFonts w:ascii="Times New Roman" w:hAnsi="Times New Roman"/>
                <w:sz w:val="22"/>
              </w:rPr>
              <w:t>0 / 0</w:t>
            </w:r>
          </w:p>
        </w:tc>
      </w:tr>
    </w:tbl>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 (Nguồn: đếm tự động từ instantiation PyTorch — measure_params_cost.py)</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2"/>
              </w:rPr>
              <w:t>Mô hình</w:t>
            </w:r>
          </w:p>
        </w:tc>
        <w:tc>
          <w:tcPr>
            <w:tcW w:type="dxa" w:w="1520"/>
          </w:tcPr>
          <w:p>
            <w:r/>
            <w:r>
              <w:rPr>
                <w:rFonts w:ascii="Times New Roman" w:hAnsi="Times New Roman"/>
                <w:b/>
                <w:sz w:val="22"/>
              </w:rPr>
              <w:t>Kernel (L=2 / L=1)</w:t>
            </w:r>
          </w:p>
        </w:tc>
        <w:tc>
          <w:tcPr>
            <w:tcW w:type="dxa" w:w="1520"/>
          </w:tcPr>
          <w:p>
            <w:r/>
            <w:r>
              <w:rPr>
                <w:rFonts w:ascii="Times New Roman" w:hAnsi="Times New Roman"/>
                <w:b/>
                <w:sz w:val="22"/>
              </w:rPr>
              <w:t>BatchNorm2d(4)</w:t>
            </w:r>
          </w:p>
        </w:tc>
        <w:tc>
          <w:tcPr>
            <w:tcW w:type="dxa" w:w="1520"/>
          </w:tcPr>
          <w:p>
            <w:r/>
            <w:r>
              <w:rPr>
                <w:rFonts w:ascii="Times New Roman" w:hAnsi="Times New Roman"/>
                <w:b/>
                <w:sz w:val="22"/>
              </w:rPr>
              <w:t>Head (K=2)</w:t>
            </w:r>
          </w:p>
        </w:tc>
        <w:tc>
          <w:tcPr>
            <w:tcW w:type="dxa" w:w="1520"/>
          </w:tcPr>
          <w:p>
            <w:r/>
            <w:r>
              <w:rPr>
                <w:rFonts w:ascii="Times New Roman" w:hAnsi="Times New Roman"/>
                <w:b/>
                <w:sz w:val="22"/>
              </w:rPr>
              <w:t>Head (K=4)</w:t>
            </w:r>
          </w:p>
        </w:tc>
        <w:tc>
          <w:tcPr>
            <w:tcW w:type="dxa" w:w="1520"/>
          </w:tcPr>
          <w:p>
            <w:r/>
            <w:r>
              <w:rPr>
                <w:rFonts w:ascii="Times New Roman" w:hAnsi="Times New Roman"/>
                <w:b/>
                <w:sz w:val="22"/>
              </w:rPr>
              <w:t>Tổng (K=2, L=2 / K=4, L=1)</w:t>
            </w:r>
          </w:p>
        </w:tc>
      </w:tr>
      <w:tr>
        <w:tc>
          <w:tcPr>
            <w:tcW w:type="dxa" w:w="1520"/>
          </w:tcPr>
          <w:p>
            <w:r/>
            <w:r>
              <w:rPr>
                <w:rFonts w:ascii="Times New Roman" w:hAnsi="Times New Roman"/>
                <w:sz w:val="22"/>
              </w:rPr>
              <w:t>Classical CNN</w:t>
            </w:r>
          </w:p>
        </w:tc>
        <w:tc>
          <w:tcPr>
            <w:tcW w:type="dxa" w:w="1520"/>
          </w:tcPr>
          <w:p>
            <w:r/>
            <w:r>
              <w:rPr>
                <w:rFonts w:ascii="Times New Roman" w:hAnsi="Times New Roman"/>
                <w:sz w:val="22"/>
              </w:rPr>
              <w:t>20 (conv có bias)</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1,598 / 3,168</w:t>
            </w:r>
          </w:p>
        </w:tc>
      </w:tr>
      <w:tr>
        <w:tc>
          <w:tcPr>
            <w:tcW w:type="dxa" w:w="1520"/>
          </w:tcPr>
          <w:p>
            <w:r/>
            <w:r>
              <w:rPr>
                <w:rFonts w:ascii="Times New Roman" w:hAnsi="Times New Roman"/>
                <w:sz w:val="22"/>
              </w:rPr>
              <w:t>Fixed (mọi ansatz)</w:t>
            </w:r>
          </w:p>
        </w:tc>
        <w:tc>
          <w:tcPr>
            <w:tcW w:type="dxa" w:w="1520"/>
          </w:tcPr>
          <w:p>
            <w:r/>
            <w:r>
              <w:rPr>
                <w:rFonts w:ascii="Times New Roman" w:hAnsi="Times New Roman"/>
                <w:sz w:val="22"/>
              </w:rPr>
              <w:t>0</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1,578 / 3,148</w:t>
            </w:r>
          </w:p>
        </w:tc>
      </w:tr>
      <w:tr>
        <w:tc>
          <w:tcPr>
            <w:tcW w:type="dxa" w:w="1520"/>
          </w:tcPr>
          <w:p>
            <w:r/>
            <w:r>
              <w:rPr>
                <w:rFonts w:ascii="Times New Roman" w:hAnsi="Times New Roman"/>
                <w:sz w:val="22"/>
              </w:rPr>
              <w:t>Trainable Basic</w:t>
            </w:r>
          </w:p>
        </w:tc>
        <w:tc>
          <w:tcPr>
            <w:tcW w:type="dxa" w:w="1520"/>
          </w:tcPr>
          <w:p>
            <w:r/>
            <w:r>
              <w:rPr>
                <w:rFonts w:ascii="Times New Roman" w:hAnsi="Times New Roman"/>
                <w:sz w:val="22"/>
              </w:rPr>
              <w:t>8 / 4</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1,586 / 3,152</w:t>
            </w:r>
          </w:p>
        </w:tc>
      </w:tr>
      <w:tr>
        <w:tc>
          <w:tcPr>
            <w:tcW w:type="dxa" w:w="1520"/>
          </w:tcPr>
          <w:p>
            <w:r/>
            <w:r>
              <w:rPr>
                <w:rFonts w:ascii="Times New Roman" w:hAnsi="Times New Roman"/>
                <w:sz w:val="22"/>
              </w:rPr>
              <w:t>Trainable Strongly</w:t>
            </w:r>
          </w:p>
        </w:tc>
        <w:tc>
          <w:tcPr>
            <w:tcW w:type="dxa" w:w="1520"/>
          </w:tcPr>
          <w:p>
            <w:r/>
            <w:r>
              <w:rPr>
                <w:rFonts w:ascii="Times New Roman" w:hAnsi="Times New Roman"/>
                <w:sz w:val="22"/>
              </w:rPr>
              <w:t>24 / 12</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1,602 / 3,160</w:t>
            </w:r>
          </w:p>
        </w:tc>
      </w:tr>
    </w:tbl>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(Bảng 3.3), toàn bộ mã nguồn đặt trên GitHub với seed cố định và gắn tag phiên bản nộp hội nghị (soict-submission-v4). Luồng dữ liệu chuẩn: run_gd3.py → thí nghiệm 50 runs (BreastMNIST) / 60 runs (OCTMNIST) → full_trainable_*.json → reconcile_verify.py (kiểm định số liệu) → regenerate_figs_bigfont.py (biểu đồ 300 DPI). Mọi thay đổi số liệu phải đi qua kịch bản kiểm định tự động để loại trừ lỗi sao chép tay. Hình 3.3 trực quan hóa kiến trúc bốn tầng của hệ thống.</w:t>
      </w:r>
    </w:p>
    <w:p>
      <w:pPr>
        <w:jc w:val="center"/>
      </w:pPr>
      <w:r>
        <w:drawing>
          <wp:inline xmlns:a="http://schemas.openxmlformats.org/drawingml/2006/main" xmlns:pic="http://schemas.openxmlformats.org/drawingml/2006/picture">
            <wp:extent cx="5580000" cy="3412230"/>
            <wp:docPr id="3" name="Picture 3"/>
            <wp:cNvGraphicFramePr>
              <a:graphicFrameLocks noChangeAspect="1"/>
            </wp:cNvGraphicFramePr>
            <a:graphic>
              <a:graphicData uri="http://schemas.openxmlformats.org/drawingml/2006/picture">
                <pic:pic>
                  <pic:nvPicPr>
                    <pic:cNvPr id="0" name="fig_software_architecture.png"/>
                    <pic:cNvPicPr/>
                  </pic:nvPicPr>
                  <pic:blipFill>
                    <a:blip r:embed="rId12"/>
                    <a:stretch>
                      <a:fillRect/>
                    </a:stretch>
                  </pic:blipFill>
                  <pic:spPr>
                    <a:xfrm>
                      <a:off x="0" y="0"/>
                      <a:ext cx="5580000" cy="3412230"/>
                    </a:xfrm>
                    <a:prstGeom prst="rect"/>
                  </pic:spPr>
                </pic:pic>
              </a:graphicData>
            </a:graphic>
          </wp:inline>
        </w:drawing>
      </w:r>
    </w:p>
    <w:p>
      <w:pPr>
        <w:spacing w:after="200"/>
        <w:jc w:val="center"/>
      </w:pPr>
      <w:r>
        <w:rPr>
          <w:rFonts w:ascii="Times New Roman" w:hAnsi="Times New Roman"/>
          <w:b/>
          <w:i/>
          <w:sz w:val="24"/>
        </w:rPr>
        <w:t>Hình 3.3: Kiến trúc phần mềm hệ thống — bốn tầng từ dữ liệu đến tài liệu/demo (Nguồn: tác giả thiết kế từ cấu trúc mã nguồn src/)</w:t>
      </w:r>
    </w:p>
    <w:p>
      <w:pPr>
        <w:spacing w:after="120" w:line="360" w:lineRule="auto"/>
        <w:jc w:val="both"/>
      </w:pPr>
      <w:r>
        <w:rPr>
          <w:rFonts w:ascii="Times New Roman" w:hAnsi="Times New Roman"/>
          <w:b w:val="0"/>
          <w:i w:val="0"/>
          <w:color w:val="000000"/>
          <w:sz w:val="26"/>
        </w:rPr>
        <w:t>Để bảo đảm tính toàn vẹn số liệu và khả năng tái lập trong toàn bộ quy trình thực nghiệm, pipeline phần mềm được thiết kế với cơ chế kiểm soát ngoại lệ và xác thực dữ liệu đa tầng (Data Integrity and Exception Handling Flow). Trước khi đi vào khối lượng tử, mọi ảnh đầu vào đều được kiểm tra tính hợp lệ về kích thước (28 × 28 pixel) và khoảng giá trị pixel [0, 1]. Trong quá trình trích xuất đặc trưng lượng tử, tensor đầu ra 4 × 14 × 14 được kiểm tra tính liên tục để bảo đảm không xuất hiện các giá trị NaN hoặc vô cùng (Inf) sinh ra từ phép đo kỳ vọng Pauli-Z. Hạt giống ngẫu nhiên được kiểm soát tập trung qua hàm seed_everything khống chế đồng thời thư viện ngẫu nhiên của Python, NumPy và PyTorch trên cả CPU và GPU. Kết quả dự đoán và chỉ số đánh giá của từng hạt giống (per-seed metrics) được xuất trực tiếp ra định dạng JSON có cấu trúc. Quy trình này loại trừ hoàn toàn sự can thiệp thủ công vào dữ liệu thô và cho phép kịch bản kiểm định reconcile_verify.py đối chiếu tự động với kết quả báo cáo.</w:t>
      </w:r>
    </w:p>
    <w:p>
      <w:pPr>
        <w:spacing w:after="200"/>
        <w:jc w:val="center"/>
      </w:pPr>
      <w:r>
        <w:rPr>
          <w:rFonts w:ascii="Times New Roman" w:hAnsi="Times New Roman"/>
          <w:b/>
          <w:i/>
          <w:sz w:val="24"/>
        </w:rPr>
        <w:t>Bảng 3.3: Thành phần mã nguồn và vai trò trong pipeline (Nguồn: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Mô-đun</w:t>
            </w:r>
          </w:p>
        </w:tc>
        <w:tc>
          <w:tcPr>
            <w:tcW w:type="dxa" w:w="3041"/>
          </w:tcPr>
          <w:p>
            <w:r/>
            <w:r>
              <w:rPr>
                <w:rFonts w:ascii="Times New Roman" w:hAnsi="Times New Roman"/>
                <w:b/>
                <w:sz w:val="22"/>
              </w:rPr>
              <w:t>Thành phần chính</w:t>
            </w:r>
          </w:p>
        </w:tc>
        <w:tc>
          <w:tcPr>
            <w:tcW w:type="dxa" w:w="3041"/>
          </w:tcPr>
          <w:p>
            <w:r/>
            <w:r>
              <w:rPr>
                <w:rFonts w:ascii="Times New Roman" w:hAnsi="Times New Roman"/>
                <w:b/>
                <w:sz w:val="22"/>
              </w:rPr>
              <w:t>Vai trò trong pipeline</w:t>
            </w:r>
          </w:p>
        </w:tc>
      </w:tr>
      <w:tr>
        <w:tc>
          <w:tcPr>
            <w:tcW w:type="dxa" w:w="3041"/>
          </w:tcPr>
          <w:p>
            <w:r/>
            <w:r>
              <w:rPr>
                <w:rFonts w:ascii="Times New Roman" w:hAnsi="Times New Roman"/>
                <w:sz w:val="22"/>
              </w:rPr>
              <w:t>src/data</w:t>
            </w:r>
          </w:p>
        </w:tc>
        <w:tc>
          <w:tcPr>
            <w:tcW w:type="dxa" w:w="3041"/>
          </w:tcPr>
          <w:p>
            <w:r/>
            <w:r>
              <w:rPr>
                <w:rFonts w:ascii="Times New Roman" w:hAnsi="Times New Roman"/>
                <w:sz w:val="22"/>
              </w:rPr>
              <w:t>medmnist_loader.py, precompute_features.py</w:t>
            </w:r>
          </w:p>
        </w:tc>
        <w:tc>
          <w:tcPr>
            <w:tcW w:type="dxa" w:w="3041"/>
          </w:tcPr>
          <w:p>
            <w:r/>
            <w:r>
              <w:rPr>
                <w:rFonts w:ascii="Times New Roman" w:hAnsi="Times New Roman"/>
                <w:sz w:val="22"/>
              </w:rPr>
              <w:t>Nạp MedMNIST, chuẩn hóa [0,1], chia split cố định, precompute quantum features cho mạch tĩnh</w:t>
            </w:r>
          </w:p>
        </w:tc>
      </w:tr>
      <w:tr>
        <w:tc>
          <w:tcPr>
            <w:tcW w:type="dxa" w:w="3041"/>
          </w:tcPr>
          <w:p>
            <w:r/>
            <w:r>
              <w:rPr>
                <w:rFonts w:ascii="Times New Roman" w:hAnsi="Times New Roman"/>
                <w:sz w:val="22"/>
              </w:rPr>
              <w:t>src/models</w:t>
            </w:r>
          </w:p>
        </w:tc>
        <w:tc>
          <w:tcPr>
            <w:tcW w:type="dxa" w:w="3041"/>
          </w:tcPr>
          <w:p>
            <w:r/>
            <w:r>
              <w:rPr>
                <w:rFonts w:ascii="Times New Roman" w:hAnsi="Times New Roman"/>
                <w:sz w:val="22"/>
              </w:rPr>
              <w:t>circuits.py, trainable_quanv.py, quantum_model.py, classical_cnn.py</w:t>
            </w:r>
          </w:p>
        </w:tc>
        <w:tc>
          <w:tcPr>
            <w:tcW w:type="dxa" w:w="3041"/>
          </w:tcPr>
          <w:p>
            <w:r/>
            <w:r>
              <w:rPr>
                <w:rFonts w:ascii="Times New Roman" w:hAnsi="Times New Roman"/>
                <w:sz w:val="22"/>
              </w:rPr>
              <w:t>Định nghĩa 6 mạch (3 ansatz × L=1,2), TorchLayer differentiable, hai mạng có head giống hệt nhau</w:t>
            </w:r>
          </w:p>
        </w:tc>
      </w:tr>
      <w:tr>
        <w:tc>
          <w:tcPr>
            <w:tcW w:type="dxa" w:w="3041"/>
          </w:tcPr>
          <w:p>
            <w:r/>
            <w:r>
              <w:rPr>
                <w:rFonts w:ascii="Times New Roman" w:hAnsi="Times New Roman"/>
                <w:sz w:val="22"/>
              </w:rPr>
              <w:t>src/experiments</w:t>
            </w:r>
          </w:p>
        </w:tc>
        <w:tc>
          <w:tcPr>
            <w:tcW w:type="dxa" w:w="3041"/>
          </w:tcPr>
          <w:p>
            <w:r/>
            <w:r>
              <w:rPr>
                <w:rFonts w:ascii="Times New Roman" w:hAnsi="Times New Roman"/>
                <w:sz w:val="22"/>
              </w:rPr>
              <w:t>run_gd3.py, trainable_experiment.py</w:t>
            </w:r>
          </w:p>
        </w:tc>
        <w:tc>
          <w:tcPr>
            <w:tcW w:type="dxa" w:w="3041"/>
          </w:tcPr>
          <w:p>
            <w:r/>
            <w:r>
              <w:rPr>
                <w:rFonts w:ascii="Times New Roman" w:hAnsi="Times New Roman"/>
                <w:sz w:val="22"/>
              </w:rPr>
              <w:t>Vòng lặp 10 seeds, huấn luyện, đánh giá 6 metrics, kiểm định thống kê, xuất JSON có cấu trúc</w:t>
            </w:r>
          </w:p>
        </w:tc>
      </w:tr>
      <w:tr>
        <w:tc>
          <w:tcPr>
            <w:tcW w:type="dxa" w:w="3041"/>
          </w:tcPr>
          <w:p>
            <w:r/>
            <w:r>
              <w:rPr>
                <w:rFonts w:ascii="Times New Roman" w:hAnsi="Times New Roman"/>
                <w:sz w:val="22"/>
              </w:rPr>
              <w:t>src/utils + src/visual</w:t>
            </w:r>
          </w:p>
        </w:tc>
        <w:tc>
          <w:tcPr>
            <w:tcW w:type="dxa" w:w="3041"/>
          </w:tcPr>
          <w:p>
            <w:r/>
            <w:r>
              <w:rPr>
                <w:rFonts w:ascii="Times New Roman" w:hAnsi="Times New Roman"/>
                <w:sz w:val="22"/>
              </w:rPr>
              <w:t>metrics.py, plot_gd3_dynamics.py</w:t>
            </w:r>
          </w:p>
        </w:tc>
        <w:tc>
          <w:tcPr>
            <w:tcW w:type="dxa" w:w="3041"/>
          </w:tcPr>
          <w:p>
            <w:r/>
            <w:r>
              <w:rPr>
                <w:rFonts w:ascii="Times New Roman" w:hAnsi="Times New Roman"/>
                <w:sz w:val="22"/>
              </w:rPr>
              <w:t>Bộ 6 metrics y tế, seed utils, vẽ biểu đồ 300 DPI</w:t>
            </w:r>
          </w:p>
        </w:tc>
      </w:tr>
    </w:tbl>
    <w:p>
      <w:pPr>
        <w:spacing w:before="160" w:after="60"/>
      </w:pPr>
      <w:r>
        <w:rPr>
          <w:rFonts w:ascii="Times New Roman" w:hAnsi="Times New Roman"/>
          <w:b/>
          <w:sz w:val="26"/>
        </w:rPr>
        <w:t>3.5. Bộ chỉ số đánh giá</w:t>
      </w:r>
    </w:p>
    <w:p>
      <w:pPr>
        <w:spacing w:line="360" w:lineRule="auto" w:after="120"/>
        <w:jc w:val="both"/>
      </w:pPr>
      <w:r>
        <w:rPr>
          <w:rFonts w:ascii="Times New Roman" w:hAnsi="Times New Roman"/>
          <w:sz w:val="26"/>
        </w:rPr>
        <w:t>Trong các bài toán chẩn đoán hình ảnh y tế, đặc biệt khi dữ liệu có tính chất lệch lớp nghiêm trọng hoặc phân loại đa lớp phức tạp, việc sử dụng một chỉ số đơn lẻ không thể phản ánh toàn diện hành vi của mô hình. Khóa luận xây dựng một hệ thống gồm sáu chỉ số đánh giá chuẩn mực, bao quát từ khả năng phân tách ngưỡng nhị phân đến sự tương quan ma trận nhầm lẫn và độ nhạy đối với các lớp thiểu số. Các chỉ số được định nghĩa toán học và ý nghĩa lâm sàng cụ thể như sau:</w:t>
      </w:r>
    </w:p>
    <w:p>
      <w:pPr>
        <w:spacing w:line="360" w:lineRule="auto" w:after="120"/>
        <w:jc w:val="both"/>
      </w:pPr>
      <w:r>
        <w:rPr>
          <w:rFonts w:ascii="Times New Roman" w:hAnsi="Times New Roman"/>
          <w:b/>
          <w:sz w:val="26"/>
        </w:rPr>
        <w:t xml:space="preserve">1. Độ chính xác tổng thể (Accuracy): </w:t>
      </w:r>
      <w:r>
        <w:rPr>
          <w:rFonts w:ascii="Times New Roman" w:hAnsi="Times New Roman"/>
          <w:sz w:val="26"/>
        </w:rPr>
        <w:t>Được xác định bằng tỷ lệ giữa tổng số mẫu dự đoán đúng trên toàn bộ số lượng mẫu khảo sát: Accuracy = (TP + TN) / (TP + TN + FP + FN). Mặc dù là chỉ số phổ biến nhất, Accuracy bị chi phối nặng nề bởi lớp đa số và hoàn toàn có thể tạo ra ảo giác về một mô hình hiệu quả ngay cả khi mô hình bỏ sót toàn bộ các ca bệnh ác tính hiếm gặp.</w:t>
      </w:r>
    </w:p>
    <w:p>
      <w:pPr>
        <w:spacing w:line="360" w:lineRule="auto" w:after="120"/>
        <w:jc w:val="both"/>
      </w:pPr>
      <w:r>
        <w:rPr>
          <w:rFonts w:ascii="Times New Roman" w:hAnsi="Times New Roman"/>
          <w:b/>
          <w:sz w:val="26"/>
        </w:rPr>
        <w:t xml:space="preserve">2. Độ chính xác cân bằng (Balanced Accuracy — BAcc): </w:t>
      </w:r>
      <w:r>
        <w:rPr>
          <w:rFonts w:ascii="Times New Roman" w:hAnsi="Times New Roman"/>
          <w:sz w:val="26"/>
        </w:rPr>
        <w:t>Được định nghĩa là trung bình cộng giữa độ nhạy (Sensitivity/TPR) và độ đặc hiệu (Specificity/TNR): BAcc = (TPR + TNR) / 2 = 0.5 · [TP / (TP + FN) + TN / (TN + FP)]. Đối với bài toán đa lớp K nhãn, Balanced Accuracy là trung bình cộng tỷ lệ nhận diện đúng trên từng lớp: BAcc = (1/K) · ∑_{k=1}^K [TP_k / (TP_k + FN_k)]. Chỉ số này gán trọng số bình đẳng cho mỗi lớp bệnh, ngăn ngừa việc mô hình ưu tiên lớp chiếm số lượng lớn.</w:t>
      </w:r>
    </w:p>
    <w:p>
      <w:pPr>
        <w:spacing w:line="360" w:lineRule="auto" w:after="120"/>
        <w:jc w:val="both"/>
      </w:pPr>
      <w:r>
        <w:rPr>
          <w:rFonts w:ascii="Times New Roman" w:hAnsi="Times New Roman"/>
          <w:b/>
          <w:sz w:val="26"/>
        </w:rPr>
        <w:t xml:space="preserve">3. Điểm F1 trung bình vĩ mô (F1-score Macro): </w:t>
      </w:r>
      <w:r>
        <w:rPr>
          <w:rFonts w:ascii="Times New Roman" w:hAnsi="Times New Roman"/>
          <w:sz w:val="26"/>
        </w:rPr>
        <w:t>F1-score là trung bình điều hòa giữa độ chuẩn xác (Precision) và độ nhạy (Recall): F1 = 2 · (Precision · Recall) / (Precision + Recall). Trong thiết lập đa lớp hoặc nhị phân lệch lớp, nghiên cứu áp dụng quy ước trung bình vĩ mô (Macro-averaging): tính điểm F1 riêng biệt cho từng lớp k rồi lấy trung bình số học: F1_macro = (1/K) · ∑_{k=1}^K F1_k. Cơ chế này phạt rất nặng các mô hình có độ nhạy thấp trên lớp thiểu số.</w:t>
      </w:r>
    </w:p>
    <w:p>
      <w:pPr>
        <w:spacing w:line="360" w:lineRule="auto" w:after="120"/>
        <w:jc w:val="both"/>
      </w:pPr>
      <w:r>
        <w:rPr>
          <w:rFonts w:ascii="Times New Roman" w:hAnsi="Times New Roman"/>
          <w:b/>
          <w:sz w:val="26"/>
        </w:rPr>
        <w:t xml:space="preserve">4. Hệ số tương quan Matthews (Matthews Correlation Coefficient — MCC): </w:t>
      </w:r>
      <w:r>
        <w:rPr>
          <w:rFonts w:ascii="Times New Roman" w:hAnsi="Times New Roman"/>
          <w:sz w:val="26"/>
        </w:rPr>
        <w:t>MCC là thước đo tương quan nghiêm ngặt nhất trong phân tích ma trận nhầm lẫn nhị phân, tính đến cả bốn thành phần TP, TN, FP, FN: MCC = (TP · TN − FP · FN) / √[(TP + FP)(TP + FN)(TN + FP)(TN + FN)]. MCC nhận giá trị trong đoạn [−1, +1], trong đó +1 tương ứng dự đoán hoàn hảo, 0 tương ứng đoán ngẫu nhiên và −1 tương ứng dự đoán hoàn toàn đảo nghịch. MCC chỉ đạt giá trị cao khi mô hình dự đoán chính xác đồng thời cả ca dương tính và ca âm tính.</w:t>
      </w:r>
    </w:p>
    <w:p>
      <w:pPr>
        <w:spacing w:line="360" w:lineRule="auto" w:after="120"/>
        <w:jc w:val="both"/>
      </w:pPr>
      <w:r>
        <w:rPr>
          <w:rFonts w:ascii="Times New Roman" w:hAnsi="Times New Roman"/>
          <w:b/>
          <w:sz w:val="26"/>
        </w:rPr>
        <w:t xml:space="preserve">5. Diện tích dưới đường cong ROC (ROC-AUC One-vs-Rest Macro): </w:t>
      </w:r>
      <w:r>
        <w:rPr>
          <w:rFonts w:ascii="Times New Roman" w:hAnsi="Times New Roman"/>
          <w:sz w:val="26"/>
        </w:rPr>
        <w:t>Đường cong ROC (Receiver Operating Characteristic) biểu diễn mối tương quan giữa Tỷ lệ dương tính thật (TPR) và Tỷ lệ dương tính giả (FPR) trên toàn bộ dải ngưỡng phân loại từ 0 đến 1. Về mặt lý thuyết xác suất, ROC-AUC tương đương với xác suất mà mô hình sẽ xếp hạng một mẫu dương tính ngẫu nhiên có điểm tin cậy cao hơn một mẫu âm tính ngẫu nhiên: ROC-AUC = P(f(x^+) &gt; f(x^-)). Đối với bài toán đa lớp (như OCTMNIST với K = 4), nghiên cứu sử dụng kỹ thuật One-vs-Rest (OvR) kết hợp trung bình vĩ mô macro.</w:t>
      </w:r>
    </w:p>
    <w:p>
      <w:pPr>
        <w:spacing w:line="360" w:lineRule="auto" w:after="120"/>
        <w:jc w:val="both"/>
      </w:pPr>
      <w:r>
        <w:rPr>
          <w:rFonts w:ascii="Times New Roman" w:hAnsi="Times New Roman"/>
          <w:b/>
          <w:sz w:val="26"/>
        </w:rPr>
        <w:t xml:space="preserve">6. Diện tích dưới đường cong Precision-Recall (PR-AUC): </w:t>
      </w:r>
      <w:r>
        <w:rPr>
          <w:rFonts w:ascii="Times New Roman" w:hAnsi="Times New Roman"/>
          <w:sz w:val="26"/>
        </w:rPr>
        <w:t>Đường cong Precision-Recall biểu diễn mối quan hệ đánh đổi giữa Precision và Recall ở các ngưỡng phân loại khác nhau. PR-AUC là tích phân diện tích dưới đường cong này. Trong phân tích ảnh y tế lệch lớp, PR-AUC là 'chỉ số vàng' lâm sàng quan trọng nhất, bởi vì nó hoàn toàn tập trung vào chất lượng dự đoán của lớp thiểu số (ác tính) và không bị làm sai lệch bởi số lượng áp đảo của các ca âm tính thật (TN).</w:t>
      </w:r>
    </w:p>
    <w:p>
      <w:pPr>
        <w:spacing w:before="120" w:after="80"/>
        <w:jc w:val="left"/>
      </w:pPr>
      <w:r>
        <w:rPr>
          <w:rFonts w:ascii="Times New Roman" w:hAnsi="Times New Roman"/>
          <w:b/>
          <w:sz w:val="24"/>
        </w:rPr>
        <w:t>Bảng 3.5: Tóm tắt bộ chỉ số đánh giá và đặc tính độ nhạy lệch lớp (Nguồn: tác giả tổng hợp)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60"/>
            <w:shd w:fill="F2F2F2"/>
          </w:tcPr>
          <w:p>
            <w:pPr>
              <w:spacing w:after="40" w:before="40" w:line="276" w:lineRule="auto"/>
              <w:jc w:val="center"/>
            </w:pPr>
            <w:r/>
            <w:r>
              <w:rPr>
                <w:rFonts w:ascii="Times New Roman" w:hAnsi="Times New Roman"/>
                <w:b/>
                <w:i w:val="0"/>
                <w:color w:val="000000"/>
                <w:sz w:val="22"/>
              </w:rPr>
              <w:t>Chỉ số đánh giá</w:t>
            </w:r>
          </w:p>
        </w:tc>
        <w:tc>
          <w:tcPr>
            <w:tcW w:type="dxa" w:w="3168"/>
            <w:shd w:fill="F2F2F2"/>
          </w:tcPr>
          <w:p>
            <w:pPr>
              <w:spacing w:after="40" w:before="40" w:line="276" w:lineRule="auto"/>
              <w:jc w:val="center"/>
            </w:pPr>
            <w:r/>
            <w:r>
              <w:rPr>
                <w:rFonts w:ascii="Times New Roman" w:hAnsi="Times New Roman"/>
                <w:b/>
                <w:i w:val="0"/>
                <w:color w:val="000000"/>
                <w:sz w:val="22"/>
              </w:rPr>
              <w:t>Công thức xác định</w:t>
            </w:r>
          </w:p>
        </w:tc>
        <w:tc>
          <w:tcPr>
            <w:tcW w:type="dxa" w:w="1296"/>
            <w:shd w:fill="F2F2F2"/>
          </w:tcPr>
          <w:p>
            <w:pPr>
              <w:spacing w:after="40" w:before="40" w:line="276" w:lineRule="auto"/>
              <w:jc w:val="center"/>
            </w:pPr>
            <w:r/>
            <w:r>
              <w:rPr>
                <w:rFonts w:ascii="Times New Roman" w:hAnsi="Times New Roman"/>
                <w:b/>
                <w:i w:val="0"/>
                <w:color w:val="000000"/>
                <w:sz w:val="22"/>
              </w:rPr>
              <w:t>Miền giá trị</w:t>
            </w:r>
          </w:p>
        </w:tc>
        <w:tc>
          <w:tcPr>
            <w:tcW w:type="dxa" w:w="3456"/>
            <w:shd w:fill="F2F2F2"/>
          </w:tcPr>
          <w:p>
            <w:pPr>
              <w:spacing w:after="40" w:before="40" w:line="276" w:lineRule="auto"/>
              <w:jc w:val="center"/>
            </w:pPr>
            <w:r/>
            <w:r>
              <w:rPr>
                <w:rFonts w:ascii="Times New Roman" w:hAnsi="Times New Roman"/>
                <w:b/>
                <w:i w:val="0"/>
                <w:color w:val="000000"/>
                <w:sz w:val="22"/>
              </w:rPr>
              <w:t>Đặc tính đối với lệch lớp &amp; Ý nghĩa lâm sàng</w:t>
            </w:r>
          </w:p>
        </w:tc>
      </w:tr>
      <w:tr>
        <w:tc>
          <w:tcPr>
            <w:tcW w:type="dxa" w:w="2160"/>
            <w:shd w:fill="FFFFFF"/>
          </w:tcPr>
          <w:p>
            <w:pPr>
              <w:spacing w:after="40" w:before="40" w:line="276" w:lineRule="auto"/>
              <w:jc w:val="center"/>
            </w:pPr>
            <w:r/>
            <w:r>
              <w:rPr>
                <w:rFonts w:ascii="Times New Roman" w:hAnsi="Times New Roman"/>
                <w:b w:val="0"/>
                <w:i w:val="0"/>
                <w:color w:val="000000"/>
                <w:sz w:val="20"/>
              </w:rPr>
              <w:t>Accuracy</w:t>
            </w:r>
          </w:p>
        </w:tc>
        <w:tc>
          <w:tcPr>
            <w:tcW w:type="dxa" w:w="3168"/>
            <w:shd w:fill="FFFFFF"/>
          </w:tcPr>
          <w:p>
            <w:pPr>
              <w:spacing w:after="40" w:before="40" w:line="276" w:lineRule="auto"/>
              <w:jc w:val="left"/>
            </w:pPr>
            <w:r/>
            <w:r>
              <w:rPr>
                <w:rFonts w:ascii="Times New Roman" w:hAnsi="Times New Roman"/>
                <w:b w:val="0"/>
                <w:i w:val="0"/>
                <w:color w:val="000000"/>
                <w:sz w:val="20"/>
              </w:rPr>
              <w:t>Accuracy = (TP + TN) / (TP + TN + FP + FN)</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Bị chi phối bởi lớp đa số; không phản ánh trung thực nguy cơ bỏ sót bệnh.</w:t>
            </w:r>
          </w:p>
        </w:tc>
      </w:tr>
      <w:tr>
        <w:tc>
          <w:tcPr>
            <w:tcW w:type="dxa" w:w="2160"/>
            <w:shd w:fill="FAFAFA"/>
          </w:tcPr>
          <w:p>
            <w:pPr>
              <w:spacing w:after="40" w:before="40" w:line="276" w:lineRule="auto"/>
              <w:jc w:val="center"/>
            </w:pPr>
            <w:r/>
            <w:r>
              <w:rPr>
                <w:rFonts w:ascii="Times New Roman" w:hAnsi="Times New Roman"/>
                <w:b w:val="0"/>
                <w:i w:val="0"/>
                <w:color w:val="000000"/>
                <w:sz w:val="20"/>
              </w:rPr>
              <w:t>Balanced Accuracy</w:t>
            </w:r>
          </w:p>
        </w:tc>
        <w:tc>
          <w:tcPr>
            <w:tcW w:type="dxa" w:w="3168"/>
            <w:shd w:fill="FAFAFA"/>
          </w:tcPr>
          <w:p>
            <w:pPr>
              <w:spacing w:after="40" w:before="40" w:line="276" w:lineRule="auto"/>
              <w:jc w:val="left"/>
            </w:pPr>
            <w:r/>
            <w:r>
              <w:rPr>
                <w:rFonts w:ascii="Times New Roman" w:hAnsi="Times New Roman"/>
                <w:b w:val="0"/>
                <w:i w:val="0"/>
                <w:color w:val="000000"/>
                <w:sz w:val="20"/>
              </w:rPr>
              <w:t>BAcc = 1/K · ∑ (TP_k / (TP_k + FN_k)) = (Sensitivity + Specificity) / 2</w:t>
            </w:r>
          </w:p>
        </w:tc>
        <w:tc>
          <w:tcPr>
            <w:tcW w:type="dxa" w:w="1296"/>
            <w:shd w:fill="FAFAFA"/>
          </w:tcPr>
          <w:p>
            <w:pPr>
              <w:spacing w:after="40" w:before="40" w:line="276" w:lineRule="auto"/>
              <w:jc w:val="center"/>
            </w:pPr>
            <w:r/>
            <w:r>
              <w:rPr>
                <w:rFonts w:ascii="Times New Roman" w:hAnsi="Times New Roman"/>
                <w:b w:val="0"/>
                <w:i w:val="0"/>
                <w:color w:val="000000"/>
                <w:sz w:val="20"/>
              </w:rPr>
              <w:t>[0, 1]</w:t>
            </w:r>
          </w:p>
        </w:tc>
        <w:tc>
          <w:tcPr>
            <w:tcW w:type="dxa" w:w="3456"/>
            <w:shd w:fill="FAFAFA"/>
          </w:tcPr>
          <w:p>
            <w:pPr>
              <w:spacing w:after="40" w:before="40" w:line="276" w:lineRule="auto"/>
              <w:jc w:val="left"/>
            </w:pPr>
            <w:r/>
            <w:r>
              <w:rPr>
                <w:rFonts w:ascii="Times New Roman" w:hAnsi="Times New Roman"/>
                <w:b w:val="0"/>
                <w:i w:val="0"/>
                <w:color w:val="000000"/>
                <w:sz w:val="20"/>
              </w:rPr>
              <w:t>Trọng số công bằng giữa các lớp; tránh ảo giác hiệu năng cao trên lớp đa số.</w:t>
            </w:r>
          </w:p>
        </w:tc>
      </w:tr>
      <w:tr>
        <w:tc>
          <w:tcPr>
            <w:tcW w:type="dxa" w:w="2160"/>
            <w:shd w:fill="FFFFFF"/>
          </w:tcPr>
          <w:p>
            <w:pPr>
              <w:spacing w:after="40" w:before="40" w:line="276" w:lineRule="auto"/>
              <w:jc w:val="center"/>
            </w:pPr>
            <w:r/>
            <w:r>
              <w:rPr>
                <w:rFonts w:ascii="Times New Roman" w:hAnsi="Times New Roman"/>
                <w:b w:val="0"/>
                <w:i w:val="0"/>
                <w:color w:val="000000"/>
                <w:sz w:val="20"/>
              </w:rPr>
              <w:t>F1-score (Macro)</w:t>
            </w:r>
          </w:p>
        </w:tc>
        <w:tc>
          <w:tcPr>
            <w:tcW w:type="dxa" w:w="3168"/>
            <w:shd w:fill="FFFFFF"/>
          </w:tcPr>
          <w:p>
            <w:pPr>
              <w:spacing w:after="40" w:before="40" w:line="276" w:lineRule="auto"/>
              <w:jc w:val="left"/>
            </w:pPr>
            <w:r/>
            <w:r>
              <w:rPr>
                <w:rFonts w:ascii="Times New Roman" w:hAnsi="Times New Roman"/>
                <w:b w:val="0"/>
                <w:i w:val="0"/>
                <w:color w:val="000000"/>
                <w:sz w:val="20"/>
              </w:rPr>
              <w:t>F1_macro = 1/K · ∑ [2 · P_k · R_k / (P_k + R_k)]</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Trung hòa giữa Precision và Recall; phạt nặng mô hình bỏ qua lớp thiểu số.</w:t>
            </w:r>
          </w:p>
        </w:tc>
      </w:tr>
      <w:tr>
        <w:tc>
          <w:tcPr>
            <w:tcW w:type="dxa" w:w="2160"/>
            <w:shd w:fill="FAFAFA"/>
          </w:tcPr>
          <w:p>
            <w:pPr>
              <w:spacing w:after="40" w:before="40" w:line="276" w:lineRule="auto"/>
              <w:jc w:val="center"/>
            </w:pPr>
            <w:r/>
            <w:r>
              <w:rPr>
                <w:rFonts w:ascii="Times New Roman" w:hAnsi="Times New Roman"/>
                <w:b w:val="0"/>
                <w:i w:val="0"/>
                <w:color w:val="000000"/>
                <w:sz w:val="20"/>
              </w:rPr>
              <w:t>MCC</w:t>
            </w:r>
          </w:p>
        </w:tc>
        <w:tc>
          <w:tcPr>
            <w:tcW w:type="dxa" w:w="3168"/>
            <w:shd w:fill="FAFAFA"/>
          </w:tcPr>
          <w:p>
            <w:pPr>
              <w:spacing w:after="40" w:before="40" w:line="276" w:lineRule="auto"/>
              <w:jc w:val="left"/>
            </w:pPr>
            <w:r/>
            <w:r>
              <w:rPr>
                <w:rFonts w:ascii="Times New Roman" w:hAnsi="Times New Roman"/>
                <w:b w:val="0"/>
                <w:i w:val="0"/>
                <w:color w:val="000000"/>
                <w:sz w:val="20"/>
              </w:rPr>
              <w:t>MCC = (TP·TN − FP·FN) / √((TP+FP)(TP+FN)(TN+FP)(TN+FN))</w:t>
            </w:r>
          </w:p>
        </w:tc>
        <w:tc>
          <w:tcPr>
            <w:tcW w:type="dxa" w:w="1296"/>
            <w:shd w:fill="FAFAFA"/>
          </w:tcPr>
          <w:p>
            <w:pPr>
              <w:spacing w:after="40" w:before="40" w:line="276" w:lineRule="auto"/>
              <w:jc w:val="center"/>
            </w:pPr>
            <w:r/>
            <w:r>
              <w:rPr>
                <w:rFonts w:ascii="Times New Roman" w:hAnsi="Times New Roman"/>
                <w:b w:val="0"/>
                <w:i w:val="0"/>
                <w:color w:val="000000"/>
                <w:sz w:val="20"/>
              </w:rPr>
              <w:t>[−1, 1]</w:t>
            </w:r>
          </w:p>
        </w:tc>
        <w:tc>
          <w:tcPr>
            <w:tcW w:type="dxa" w:w="3456"/>
            <w:shd w:fill="FAFAFA"/>
          </w:tcPr>
          <w:p>
            <w:pPr>
              <w:spacing w:after="40" w:before="40" w:line="276" w:lineRule="auto"/>
              <w:jc w:val="left"/>
            </w:pPr>
            <w:r/>
            <w:r>
              <w:rPr>
                <w:rFonts w:ascii="Times New Roman" w:hAnsi="Times New Roman"/>
                <w:b w:val="0"/>
                <w:i w:val="0"/>
                <w:color w:val="000000"/>
                <w:sz w:val="20"/>
              </w:rPr>
              <w:t>Thước đo tương quan chặt chẽ nhất; chỉ cao khi dự đoán đúng cả 4 góc ma trận.</w:t>
            </w:r>
          </w:p>
        </w:tc>
      </w:tr>
      <w:tr>
        <w:tc>
          <w:tcPr>
            <w:tcW w:type="dxa" w:w="2160"/>
            <w:shd w:fill="FFFFFF"/>
          </w:tcPr>
          <w:p>
            <w:pPr>
              <w:spacing w:after="40" w:before="40" w:line="276" w:lineRule="auto"/>
              <w:jc w:val="center"/>
            </w:pPr>
            <w:r/>
            <w:r>
              <w:rPr>
                <w:rFonts w:ascii="Times New Roman" w:hAnsi="Times New Roman"/>
                <w:b w:val="0"/>
                <w:i w:val="0"/>
                <w:color w:val="000000"/>
                <w:sz w:val="20"/>
              </w:rPr>
              <w:t>ROC-AUC (OvR Macro)</w:t>
            </w:r>
          </w:p>
        </w:tc>
        <w:tc>
          <w:tcPr>
            <w:tcW w:type="dxa" w:w="3168"/>
            <w:shd w:fill="FFFFFF"/>
          </w:tcPr>
          <w:p>
            <w:pPr>
              <w:spacing w:after="40" w:before="40" w:line="276" w:lineRule="auto"/>
              <w:jc w:val="left"/>
            </w:pPr>
            <w:r/>
            <w:r>
              <w:rPr>
                <w:rFonts w:ascii="Times New Roman" w:hAnsi="Times New Roman"/>
                <w:b w:val="0"/>
                <w:i w:val="0"/>
                <w:color w:val="000000"/>
                <w:sz w:val="20"/>
              </w:rPr>
              <w:t>Xác suất xếp mẫu dương cao hơn mẫu âm ngẫu nhiên: P(f(x+) &gt; f(x-))</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Đo khả năng phân tách tổng quát không phụ thuộc vào ngưỡng phân loại nhị phân.</w:t>
            </w:r>
          </w:p>
        </w:tc>
      </w:tr>
      <w:tr>
        <w:tc>
          <w:tcPr>
            <w:tcW w:type="dxa" w:w="2160"/>
            <w:shd w:fill="FAFAFA"/>
          </w:tcPr>
          <w:p>
            <w:pPr>
              <w:spacing w:after="40" w:before="40" w:line="276" w:lineRule="auto"/>
              <w:jc w:val="center"/>
            </w:pPr>
            <w:r/>
            <w:r>
              <w:rPr>
                <w:rFonts w:ascii="Times New Roman" w:hAnsi="Times New Roman"/>
                <w:b w:val="0"/>
                <w:i w:val="0"/>
                <w:color w:val="000000"/>
                <w:sz w:val="20"/>
              </w:rPr>
              <w:t>PR-AUC (OvR Macro)</w:t>
            </w:r>
          </w:p>
        </w:tc>
        <w:tc>
          <w:tcPr>
            <w:tcW w:type="dxa" w:w="3168"/>
            <w:shd w:fill="FAFAFA"/>
          </w:tcPr>
          <w:p>
            <w:pPr>
              <w:spacing w:after="40" w:before="40" w:line="276" w:lineRule="auto"/>
              <w:jc w:val="left"/>
            </w:pPr>
            <w:r/>
            <w:r>
              <w:rPr>
                <w:rFonts w:ascii="Times New Roman" w:hAnsi="Times New Roman"/>
                <w:b w:val="0"/>
                <w:i w:val="0"/>
                <w:color w:val="000000"/>
                <w:sz w:val="20"/>
              </w:rPr>
              <w:t>Diện tích dưới đường cong Precision-Recall: ∫ P(R) dR</w:t>
            </w:r>
          </w:p>
        </w:tc>
        <w:tc>
          <w:tcPr>
            <w:tcW w:type="dxa" w:w="1296"/>
            <w:shd w:fill="FAFAFA"/>
          </w:tcPr>
          <w:p>
            <w:pPr>
              <w:spacing w:after="40" w:before="40" w:line="276" w:lineRule="auto"/>
              <w:jc w:val="center"/>
            </w:pPr>
            <w:r/>
            <w:r>
              <w:rPr>
                <w:rFonts w:ascii="Times New Roman" w:hAnsi="Times New Roman"/>
                <w:b w:val="0"/>
                <w:i w:val="0"/>
                <w:color w:val="000000"/>
                <w:sz w:val="20"/>
              </w:rPr>
              <w:t>[0, 1]</w:t>
            </w:r>
          </w:p>
        </w:tc>
        <w:tc>
          <w:tcPr>
            <w:tcW w:type="dxa" w:w="3456"/>
            <w:shd w:fill="FAFAFA"/>
          </w:tcPr>
          <w:p>
            <w:pPr>
              <w:spacing w:after="40" w:before="40" w:line="276" w:lineRule="auto"/>
              <w:jc w:val="left"/>
            </w:pPr>
            <w:r/>
            <w:r>
              <w:rPr>
                <w:rFonts w:ascii="Times New Roman" w:hAnsi="Times New Roman"/>
                <w:b w:val="0"/>
                <w:i w:val="0"/>
                <w:color w:val="000000"/>
                <w:sz w:val="20"/>
              </w:rPr>
              <w:t>Chỉ số vàng trong chẩn đoán y tế; nhạy bén khi xếp hạng chính xác ca bệnh hiếm gặp.</w:t>
            </w:r>
          </w:p>
        </w:tc>
      </w:tr>
    </w:tbl>
    <w:p>
      <w:pPr>
        <w:spacing w:after="120"/>
        <w:jc w:val="left"/>
      </w:pPr>
      <w:r>
        <w:rPr>
          <w:rFonts w:ascii="Times New Roman" w:hAnsi="Times New Roman"/>
          <w:b/>
          <w:sz w:val="26"/>
        </w:rPr>
        <w:t>3.6.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200"/>
        <w:jc w:val="center"/>
      </w:pPr>
      <w:r>
        <w:rPr>
          <w:rFonts w:ascii="Times New Roman" w:hAnsi="Times New Roman"/>
          <w:b/>
          <w:i/>
          <w:sz w:val="24"/>
        </w:rPr>
        <w:t>Bảng 3.4: Cấu hình huấn luyện chi tiết (Nguồn: tài liệu dự án — protocol đồng nhất mọi mô hình)</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Hyperparameter</w:t>
            </w:r>
          </w:p>
        </w:tc>
        <w:tc>
          <w:tcPr>
            <w:tcW w:type="dxa" w:w="3041"/>
          </w:tcPr>
          <w:p>
            <w:r/>
            <w:r>
              <w:rPr>
                <w:rFonts w:ascii="Times New Roman" w:hAnsi="Times New Roman"/>
                <w:b/>
                <w:sz w:val="22"/>
              </w:rPr>
              <w:t>Giá trị</w:t>
            </w:r>
          </w:p>
        </w:tc>
        <w:tc>
          <w:tcPr>
            <w:tcW w:type="dxa" w:w="3041"/>
          </w:tcPr>
          <w:p>
            <w:r/>
            <w:r>
              <w:rPr>
                <w:rFonts w:ascii="Times New Roman" w:hAnsi="Times New Roman"/>
                <w:b/>
                <w:sz w:val="22"/>
              </w:rPr>
              <w:t>Ghi chú</w:t>
            </w:r>
          </w:p>
        </w:tc>
      </w:tr>
      <w:tr>
        <w:tc>
          <w:tcPr>
            <w:tcW w:type="dxa" w:w="3041"/>
          </w:tcPr>
          <w:p>
            <w:r/>
            <w:r>
              <w:rPr>
                <w:rFonts w:ascii="Times New Roman" w:hAnsi="Times New Roman"/>
                <w:sz w:val="22"/>
              </w:rPr>
              <w:t>Optimizer</w:t>
            </w:r>
          </w:p>
        </w:tc>
        <w:tc>
          <w:tcPr>
            <w:tcW w:type="dxa" w:w="3041"/>
          </w:tcPr>
          <w:p>
            <w:r/>
            <w:r>
              <w:rPr>
                <w:rFonts w:ascii="Times New Roman" w:hAnsi="Times New Roman"/>
                <w:sz w:val="22"/>
              </w:rPr>
              <w:t>Adam</w:t>
            </w:r>
          </w:p>
        </w:tc>
        <w:tc>
          <w:tcPr>
            <w:tcW w:type="dxa" w:w="3041"/>
          </w:tcPr>
          <w:p>
            <w:r/>
            <w:r>
              <w:rPr>
                <w:rFonts w:ascii="Times New Roman" w:hAnsi="Times New Roman"/>
                <w:sz w:val="22"/>
              </w:rPr>
              <w:t>Tách nhóm tham số lượng tử / cổ điển</w:t>
            </w:r>
          </w:p>
        </w:tc>
      </w:tr>
      <w:tr>
        <w:tc>
          <w:tcPr>
            <w:tcW w:type="dxa" w:w="3041"/>
          </w:tcPr>
          <w:p>
            <w:r/>
            <w:r>
              <w:rPr>
                <w:rFonts w:ascii="Times New Roman" w:hAnsi="Times New Roman"/>
                <w:sz w:val="22"/>
              </w:rPr>
              <w:t>Learning rate (cổ điển)</w:t>
            </w:r>
          </w:p>
        </w:tc>
        <w:tc>
          <w:tcPr>
            <w:tcW w:type="dxa" w:w="3041"/>
          </w:tcPr>
          <w:p>
            <w:r/>
            <w:r>
              <w:rPr>
                <w:rFonts w:ascii="Times New Roman" w:hAnsi="Times New Roman"/>
                <w:sz w:val="22"/>
              </w:rPr>
              <w:t>0.001</w:t>
            </w:r>
          </w:p>
        </w:tc>
        <w:tc>
          <w:tcPr>
            <w:tcW w:type="dxa" w:w="3041"/>
          </w:tcPr>
          <w:p>
            <w:r/>
            <w:r>
              <w:rPr>
                <w:rFonts w:ascii="Times New Roman" w:hAnsi="Times New Roman"/>
                <w:sz w:val="22"/>
              </w:rPr>
              <w:t>Head + BatchNorm</w:t>
            </w:r>
          </w:p>
        </w:tc>
      </w:tr>
      <w:tr>
        <w:tc>
          <w:tcPr>
            <w:tcW w:type="dxa" w:w="3041"/>
          </w:tcPr>
          <w:p>
            <w:r/>
            <w:r>
              <w:rPr>
                <w:rFonts w:ascii="Times New Roman" w:hAnsi="Times New Roman"/>
                <w:sz w:val="22"/>
              </w:rPr>
              <w:t>Learning rate (lượng tử θ)</w:t>
            </w:r>
          </w:p>
        </w:tc>
        <w:tc>
          <w:tcPr>
            <w:tcW w:type="dxa" w:w="3041"/>
          </w:tcPr>
          <w:p>
            <w:r/>
            <w:r>
              <w:rPr>
                <w:rFonts w:ascii="Times New Roman" w:hAnsi="Times New Roman"/>
                <w:sz w:val="22"/>
              </w:rPr>
              <w:t>0.01</w:t>
            </w:r>
          </w:p>
        </w:tc>
        <w:tc>
          <w:tcPr>
            <w:tcW w:type="dxa" w:w="3041"/>
          </w:tcPr>
          <w:p>
            <w:r/>
            <w:r>
              <w:rPr>
                <w:rFonts w:ascii="Times New Roman" w:hAnsi="Times New Roman"/>
                <w:sz w:val="22"/>
              </w:rPr>
              <w:t>Learning rate kép, góc quay hội tụ nhanh hơn</w:t>
            </w:r>
          </w:p>
        </w:tc>
      </w:tr>
      <w:tr>
        <w:tc>
          <w:tcPr>
            <w:tcW w:type="dxa" w:w="3041"/>
          </w:tcPr>
          <w:p>
            <w:r/>
            <w:r>
              <w:rPr>
                <w:rFonts w:ascii="Times New Roman" w:hAnsi="Times New Roman"/>
                <w:sz w:val="22"/>
              </w:rPr>
              <w:t>Loss</w:t>
            </w:r>
          </w:p>
        </w:tc>
        <w:tc>
          <w:tcPr>
            <w:tcW w:type="dxa" w:w="3041"/>
          </w:tcPr>
          <w:p>
            <w:r/>
            <w:r>
              <w:rPr>
                <w:rFonts w:ascii="Times New Roman" w:hAnsi="Times New Roman"/>
                <w:sz w:val="22"/>
              </w:rPr>
              <w:t>CrossEntropy</w:t>
            </w:r>
          </w:p>
        </w:tc>
        <w:tc>
          <w:tcPr>
            <w:tcW w:type="dxa" w:w="3041"/>
          </w:tcPr>
          <w:p>
            <w:r/>
            <w:r>
              <w:rPr>
                <w:rFonts w:ascii="Times New Roman" w:hAnsi="Times New Roman"/>
                <w:sz w:val="22"/>
              </w:rPr>
              <w:t>Nhãn nhị phân / 4 lớp</w:t>
            </w:r>
          </w:p>
        </w:tc>
      </w:tr>
      <w:tr>
        <w:tc>
          <w:tcPr>
            <w:tcW w:type="dxa" w:w="3041"/>
          </w:tcPr>
          <w:p>
            <w:r/>
            <w:r>
              <w:rPr>
                <w:rFonts w:ascii="Times New Roman" w:hAnsi="Times New Roman"/>
                <w:sz w:val="22"/>
              </w:rPr>
              <w:t>Batch size</w:t>
            </w:r>
          </w:p>
        </w:tc>
        <w:tc>
          <w:tcPr>
            <w:tcW w:type="dxa" w:w="3041"/>
          </w:tcPr>
          <w:p>
            <w:r/>
            <w:r>
              <w:rPr>
                <w:rFonts w:ascii="Times New Roman" w:hAnsi="Times New Roman"/>
                <w:sz w:val="22"/>
              </w:rPr>
              <w:t>32</w:t>
            </w:r>
          </w:p>
        </w:tc>
        <w:tc>
          <w:tcPr>
            <w:tcW w:type="dxa" w:w="3041"/>
          </w:tcPr>
          <w:p>
            <w:r/>
            <w:r>
              <w:rPr>
                <w:rFonts w:ascii="Times New Roman" w:hAnsi="Times New Roman"/>
                <w:sz w:val="22"/>
              </w:rPr>
              <w:t>BreastMNIST 546 train → 18 batch/epoch</w:t>
            </w:r>
          </w:p>
        </w:tc>
      </w:tr>
      <w:tr>
        <w:tc>
          <w:tcPr>
            <w:tcW w:type="dxa" w:w="3041"/>
          </w:tcPr>
          <w:p>
            <w:r/>
            <w:r>
              <w:rPr>
                <w:rFonts w:ascii="Times New Roman" w:hAnsi="Times New Roman"/>
                <w:sz w:val="22"/>
              </w:rPr>
              <w:t>Epochs</w:t>
            </w:r>
          </w:p>
        </w:tc>
        <w:tc>
          <w:tcPr>
            <w:tcW w:type="dxa" w:w="3041"/>
          </w:tcPr>
          <w:p>
            <w:r/>
            <w:r>
              <w:rPr>
                <w:rFonts w:ascii="Times New Roman" w:hAnsi="Times New Roman"/>
                <w:sz w:val="22"/>
              </w:rPr>
              <w:t>20</w:t>
            </w:r>
          </w:p>
        </w:tc>
        <w:tc>
          <w:tcPr>
            <w:tcW w:type="dxa" w:w="3041"/>
          </w:tcPr>
          <w:p>
            <w:r/>
            <w:r>
              <w:rPr>
                <w:rFonts w:ascii="Times New Roman" w:hAnsi="Times New Roman"/>
                <w:sz w:val="22"/>
              </w:rPr>
              <w:t>Plateau hội tụ 12–15 (xem Chương 4)</w:t>
            </w:r>
          </w:p>
        </w:tc>
      </w:tr>
      <w:tr>
        <w:tc>
          <w:tcPr>
            <w:tcW w:type="dxa" w:w="3041"/>
          </w:tcPr>
          <w:p>
            <w:r/>
            <w:r>
              <w:rPr>
                <w:rFonts w:ascii="Times New Roman" w:hAnsi="Times New Roman"/>
                <w:sz w:val="22"/>
              </w:rPr>
              <w:t>Seeds</w:t>
            </w:r>
          </w:p>
        </w:tc>
        <w:tc>
          <w:tcPr>
            <w:tcW w:type="dxa" w:w="3041"/>
          </w:tcPr>
          <w:p>
            <w:r/>
            <w:r>
              <w:rPr>
                <w:rFonts w:ascii="Times New Roman" w:hAnsi="Times New Roman"/>
                <w:sz w:val="22"/>
              </w:rPr>
              <w:t>10 (S = {0, 42, 100, 2023, 777, 999, 1234, 5678, 1111, 2222})</w:t>
            </w:r>
          </w:p>
        </w:tc>
        <w:tc>
          <w:tcPr>
            <w:tcW w:type="dxa" w:w="3041"/>
          </w:tcPr>
          <w:p>
            <w:r/>
            <w:r>
              <w:rPr>
                <w:rFonts w:ascii="Times New Roman" w:hAnsi="Times New Roman"/>
                <w:sz w:val="22"/>
              </w:rPr>
              <w:t>Độc lập toàn phần (data split, init, shuffle)</w:t>
            </w:r>
          </w:p>
        </w:tc>
      </w:tr>
      <w:tr>
        <w:tc>
          <w:tcPr>
            <w:tcW w:type="dxa" w:w="3041"/>
          </w:tcPr>
          <w:p>
            <w:r/>
            <w:r>
              <w:rPr>
                <w:rFonts w:ascii="Times New Roman" w:hAnsi="Times New Roman"/>
                <w:sz w:val="22"/>
              </w:rPr>
              <w:t>Checkpoint</w:t>
            </w:r>
          </w:p>
        </w:tc>
        <w:tc>
          <w:tcPr>
            <w:tcW w:type="dxa" w:w="3041"/>
          </w:tcPr>
          <w:p>
            <w:r/>
            <w:r>
              <w:rPr>
                <w:rFonts w:ascii="Times New Roman" w:hAnsi="Times New Roman"/>
                <w:sz w:val="22"/>
              </w:rPr>
              <w:t>Best val ROC-AUC</w:t>
            </w:r>
          </w:p>
        </w:tc>
        <w:tc>
          <w:tcPr>
            <w:tcW w:type="dxa" w:w="3041"/>
          </w:tcPr>
          <w:p>
            <w:r/>
            <w:r>
              <w:rPr>
                <w:rFonts w:ascii="Times New Roman" w:hAnsi="Times New Roman"/>
                <w:sz w:val="22"/>
              </w:rPr>
              <w:t>Đánh giá test trên checkpoint tốt nhất</w:t>
            </w:r>
          </w:p>
        </w:tc>
      </w:tr>
      <w:tr>
        <w:tc>
          <w:tcPr>
            <w:tcW w:type="dxa" w:w="3041"/>
          </w:tcPr>
          <w:p>
            <w:r/>
            <w:r>
              <w:rPr>
                <w:rFonts w:ascii="Times New Roman" w:hAnsi="Times New Roman"/>
                <w:sz w:val="22"/>
              </w:rPr>
              <w:t>Mô phỏng</w:t>
            </w:r>
          </w:p>
        </w:tc>
        <w:tc>
          <w:tcPr>
            <w:tcW w:type="dxa" w:w="3041"/>
          </w:tcPr>
          <w:p>
            <w:r/>
            <w:r>
              <w:rPr>
                <w:rFonts w:ascii="Times New Roman" w:hAnsi="Times New Roman"/>
                <w:sz w:val="22"/>
              </w:rPr>
              <w:t>default.qubit (statevector, không nhiễu)</w:t>
            </w:r>
          </w:p>
        </w:tc>
        <w:tc>
          <w:tcPr>
            <w:tcW w:type="dxa" w:w="3041"/>
          </w:tcPr>
          <w:p>
            <w:r/>
            <w:r>
              <w:rPr>
                <w:rFonts w:ascii="Times New Roman" w:hAnsi="Times New Roman"/>
                <w:sz w:val="22"/>
              </w:rPr>
              <w:t>Analytic backprop + kiểm chứng Parameter-Shift</w:t>
            </w:r>
          </w:p>
        </w:tc>
      </w:tr>
    </w:tbl>
    <w:p>
      <w:pPr>
        <w:spacing w:after="120"/>
        <w:jc w:val="both"/>
      </w:pPr>
      <w:r>
        <w:rPr>
          <w:rFonts w:ascii="Times New Roman" w:hAnsi="Times New Roman"/>
          <w:b w:val="0"/>
          <w:i w:val="0"/>
          <w:sz w:val="26"/>
        </w:rPr>
        <w:t>Vòng lặp huấn luyện một epoch của mạch tự học tóm tắt bằng mã giả như sau (protocol giống hệt baseline CNN, chỉ khác khối trích xuất đặc trưng là mạch lượng tử differentiable):</w:t>
      </w:r>
    </w:p>
    <w:p>
      <w:pPr>
        <w:spacing w:after="20"/>
        <w:jc w:val="both"/>
      </w:pPr>
      <w:r>
        <w:rPr>
          <w:rFonts w:ascii="Courier New" w:hAnsi="Courier New"/>
          <w:b w:val="0"/>
          <w:i w:val="0"/>
          <w:sz w:val="22"/>
        </w:rPr>
        <w:t>set_seed(SEED); head ← QuanvolutionClassifier(784→K); θ ← init_uniform(0, 2π)</w:t>
      </w:r>
    </w:p>
    <w:p>
      <w:pPr>
        <w:spacing w:after="20"/>
        <w:jc w:val="both"/>
      </w:pPr>
      <w:r>
        <w:rPr>
          <w:rFonts w:ascii="Courier New" w:hAnsi="Courier New"/>
          <w:b w:val="0"/>
          <w:i w:val="0"/>
          <w:sz w:val="22"/>
        </w:rPr>
        <w:t>for epoch in 1..20:</w:t>
      </w:r>
    </w:p>
    <w:p>
      <w:pPr>
        <w:spacing w:after="20"/>
        <w:jc w:val="both"/>
      </w:pPr>
      <w:r>
        <w:rPr>
          <w:rFonts w:ascii="Courier New" w:hAnsi="Courier New"/>
          <w:b w:val="0"/>
          <w:i w:val="0"/>
          <w:sz w:val="22"/>
        </w:rPr>
        <w:t xml:space="preserve">    for (x_img, y) in train_loader:</w:t>
      </w:r>
    </w:p>
    <w:p>
      <w:pPr>
        <w:spacing w:after="20"/>
        <w:jc w:val="both"/>
      </w:pPr>
      <w:r>
        <w:rPr>
          <w:rFonts w:ascii="Courier New" w:hAnsi="Courier New"/>
          <w:b w:val="0"/>
          <w:i w:val="0"/>
          <w:sz w:val="22"/>
        </w:rPr>
        <w:t xml:space="preserve">        f ← QuanvLayer(x_img)                  # 196 patches × mạch 4-qubit (differentiable)</w:t>
      </w:r>
    </w:p>
    <w:p>
      <w:pPr>
        <w:spacing w:after="20"/>
        <w:jc w:val="both"/>
      </w:pPr>
      <w:r>
        <w:rPr>
          <w:rFonts w:ascii="Courier New" w:hAnsi="Courier New"/>
          <w:b w:val="0"/>
          <w:i w:val="0"/>
          <w:sz w:val="22"/>
        </w:rPr>
        <w:t xml:space="preserve">        logits ← BN → ReLU → Linear(f)          # head cổ điển đối xứng</w:t>
      </w:r>
    </w:p>
    <w:p>
      <w:pPr>
        <w:spacing w:after="20"/>
        <w:jc w:val="both"/>
      </w:pPr>
      <w:r>
        <w:rPr>
          <w:rFonts w:ascii="Courier New" w:hAnsi="Courier New"/>
          <w:b w:val="0"/>
          <w:i w:val="0"/>
          <w:sz w:val="22"/>
        </w:rPr>
        <w:t xml:space="preserve">        loss ← CrossEntropy(logits, y); backward(); Adam.step()   # lr kép 0.01(θ) / 0.001(head)</w:t>
      </w:r>
    </w:p>
    <w:p>
      <w:pPr>
        <w:spacing w:after="20"/>
        <w:jc w:val="both"/>
      </w:pPr>
      <w:r>
        <w:rPr>
          <w:rFonts w:ascii="Courier New" w:hAnsi="Courier New"/>
          <w:b w:val="0"/>
          <w:i w:val="0"/>
          <w:sz w:val="22"/>
        </w:rPr>
        <w:t xml:space="preserve">    va_auc ← evaluate(val_loader)</w:t>
      </w:r>
    </w:p>
    <w:p>
      <w:pPr>
        <w:spacing w:after="20"/>
        <w:jc w:val="both"/>
      </w:pPr>
      <w:r>
        <w:rPr>
          <w:rFonts w:ascii="Courier New" w:hAnsi="Courier New"/>
          <w:b w:val="0"/>
          <w:i w:val="0"/>
          <w:sz w:val="22"/>
        </w:rPr>
        <w:t xml:space="preserve">    if va_auc &gt; best: best ← va_auc; checkpoint ← state_dict()</w:t>
      </w:r>
    </w:p>
    <w:p>
      <w:pPr>
        <w:spacing w:after="20"/>
        <w:jc w:val="both"/>
      </w:pPr>
      <w:r>
        <w:rPr>
          <w:rFonts w:ascii="Courier New" w:hAnsi="Courier New"/>
          <w:b w:val="0"/>
          <w:i w:val="0"/>
          <w:sz w:val="22"/>
        </w:rPr>
        <w:t>test_metrics ← evaluate(test_loader, checkpoint=best)</w:t>
      </w:r>
    </w:p>
    <w:p>
      <w:pPr>
        <w:spacing w:after="120"/>
        <w:jc w:val="left"/>
      </w:pPr>
      <w:r>
        <w:rPr>
          <w:rFonts w:ascii="Times New Roman" w:hAnsi="Times New Roman"/>
          <w:b/>
          <w:sz w:val="26"/>
        </w:rPr>
        <w:t>3.7.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line="360" w:lineRule="auto"/>
        <w:jc w:val="both"/>
      </w:pPr>
      <w:r>
        <w:rPr>
          <w:rFonts w:ascii="Times New Roman" w:hAnsi="Times New Roman"/>
          <w:b w:val="0"/>
          <w:i w:val="0"/>
          <w:color w:val="000000"/>
          <w:sz w:val="26"/>
        </w:rPr>
        <w:t>Đặc tính chi tiết của hai tập dữ liệu y tế được mô tả như sau: Bộ dữ liệu BreastMNIST được chuẩn hóa từ tập ảnh siêu âm vú Breast Ultrasound Images (BUSI), thu nhận tại Bệnh viện Ung bướu Cairo (Ai Cập). Tập dữ liệu gốc gồm ba nhóm: lành tính (benign), ác tính (malignant) và bình thường (normal). Trong chuẩn benchmark MedMNIST v2 [19], nhóm bình thường và lành tính được gộp chung để tạo thành bài toán phân loại nhị phân Lành tính so với Ác tính. Tổng cộng tập dữ liệu gồm 780 ảnh siêu âm kích thước 28 × 28 pixel, được chia theo tỷ lệ chuẩn: 546 ảnh huấn luyện, 78 ảnh kiểm định xác thực và 156 ảnh kiểm thử độc lập. Phân bố lớp mang tính lệch nặng tự nhiên: khoảng 73% mẫu thuộc nhóm lành tính và chỉ 27% mẫu thuộc nhóm ác tính. Thách thức lâm sàng cốt lõi của BreastMNIST là kích thước tập mẫu rất nhỏ (chỉ 546 ảnh huấn luyện) kết hợp với độ tương phản mô mềm thấp và nhiễu đốm âm học đặc trưng của đầu dò siêu âm.</w:t>
      </w:r>
    </w:p>
    <w:p>
      <w:pPr>
        <w:spacing w:after="120" w:line="360" w:lineRule="auto"/>
        <w:jc w:val="both"/>
      </w:pPr>
      <w:r>
        <w:rPr>
          <w:rFonts w:ascii="Times New Roman" w:hAnsi="Times New Roman"/>
          <w:b w:val="0"/>
          <w:i w:val="0"/>
          <w:color w:val="000000"/>
          <w:sz w:val="26"/>
        </w:rPr>
        <w:t>Bộ dữ liệu OCTMNIST được chuẩn hóa từ tập dữ liệu hình ảnh chụp cắt lớp quang học võng mạc quy mô lớn do Kermany et al. công bố, thu nhận tại Trung tâm Nhãn khoa Shiley thuộc Đại học California San Diego và các bệnh viện đối tác. Bộ dữ liệu lâm sàng gốc gồm 109,309 ảnh OCT thuộc 4 nhóm bệnh lý đáy mắt: (1) Tân mạch hắc mạc (Choroidal Neovascularization — CNV), một biến chứng nguy hiểm của thoái hóa hoàng điểm thể ướt; (2) Phù hoàng điểm do đái tháo đường (Diabetic Macular Edema — DME), nguyên nhân hàng đầu gây mù lòa ở người mắc đái tháo đường; (3) Tích tụ chất lắng drusen (Drusen), dấu hiệu chỉ điểm sớm của thoái hóa hoàng điểm thể khô; và (4) Võng mạc bình thường (Normal). Nhằm bảo đảm tính khả thi của việc huấn luyện vi phân mạch lượng tử và thực hiện lặp 10 hạt giống độc lập trên hạ tầng phần cứng tiêu chuẩn, khóa luận sử dụng tập con chuẩn hóa 5,000 ảnh (3,500 train / 500 val / 1,000 test) phân bố cân bằng giữa 4 lớp bệnh. Đây là bài toán đa lớp phức tạp, đòi hỏi mô hình phải nhận diện được các tổn thương tế bào vi thể ở ranh giới đáy võng mạc.</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4" name="Picture 4"/>
            <wp:cNvGraphicFramePr>
              <a:graphicFrameLocks noChangeAspect="1"/>
            </wp:cNvGraphicFramePr>
            <a:graphic>
              <a:graphicData uri="http://schemas.openxmlformats.org/drawingml/2006/picture">
                <pic:pic>
                  <pic:nvPicPr>
                    <pic:cNvPr id="0" name="Fig3_breastmnist_benchmark.png"/>
                    <pic:cNvPicPr/>
                  </pic:nvPicPr>
                  <pic:blipFill>
                    <a:blip r:embed="rId13"/>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 (Nguồn: tác giả tổng hợp từ kết quả thực nghiệm đề tài)</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both"/>
      </w:pPr>
      <w:r>
        <w:rPr>
          <w:rFonts w:ascii="Times New Roman" w:hAnsi="Times New Roman"/>
          <w:b w:val="0"/>
          <w:i w:val="0"/>
          <w:sz w:val="26"/>
        </w:rPr>
        <w:t>Cơ chế giải thích: trên vùng dữ liệu 546 mẫu, head phân loại với 1,578 tham số dễ khớp nhiễu (noise-fitting) khi nhận đặc trưng tự do từ conv cổ điển; mạch tĩnh đóng vai trò cấu trúc ràng buộc (structural regularizer) — đặc trưng đầu ra bị giới hạn trong khoảng [−1,1] bởi phép đo kỳ vọng, không gian tìm kiếm của head bị thu hẹp, nên mô hình tổng thể ít nhạy với thay đổi seed. Điều này thể hiện rõ nhất ở PR-AUC — metric nhạy với sắp xếp thứ tự các mẫu thiểu số — nơi mạch strongly-entangling với không gian Hilbert giàu rối lượng tử giữ vững thứ tự xếp hạng các ca ác tính hiếm gặp. Đây là biểu hiện của Quantum Inductive Bias: cấu trúc của phép biến đổi lượng tử, chứ không phải số lượng tham số, là yếu tố mang lại lợi thế.</w:t>
      </w:r>
    </w:p>
    <w:p>
      <w:pPr>
        <w:spacing w:after="120" w:line="360" w:lineRule="auto"/>
        <w:jc w:val="both"/>
      </w:pPr>
      <w:r>
        <w:rPr>
          <w:rFonts w:ascii="Times New Roman" w:hAnsi="Times New Roman"/>
          <w:b w:val="0"/>
          <w:i w:val="0"/>
          <w:color w:val="000000"/>
          <w:sz w:val="26"/>
        </w:rPr>
        <w:t>Diễn giải chi tiết theo từng chỉ số đánh giá trên BreastMNIST: Phân tích đồng thời 6 chỉ số trên Bảng 4.1 cho thấy sự phân kỳ rõ rệt giữa các thước đo tổng thể và thước đo chuyên biệt cho dữ liệu lệch lớp. Classical CNN đạt Accuracy 0.8103 ± 0.0279 và F1-score macro 0.8802 ± 0.0172, nhưng Balanced Accuracy chỉ dừng ở 0.6875 ± 0.0473 và hệ số tương quan MCC chỉ đạt 0.4702 ± 0.0865. Điều này phản ánh xu hướng điển hình của mô hình cổ điển khi tối ưu hóa trên tập mẫu nhỏ mất cân bằng: ưu tiên phân loại đúng lớp đa số (lành tính) để đạt điểm Accuracy cao, nhưng độ nhạy trên lớp thiểu số bị hạn chế. Ngược lại, mô hình Fixed Basic L2 đạt ROC-AUC cao nhất 0.8521 ± 0.0095 (vượt Classical CNN 0.8336 ± 0.0259 với p_ttest = 0.0298, p_wilcoxon = 0.0254, Cohen’s d = +0.815), đồng thời duy trì Balanced Accuracy 0.6816 ± 0.0517 và MCC 0.4626 ± 0.0711 với độ lệch chuẩn cực kỳ ổn định (nhỏ hơn CNN khoảng 2.7 lần). Đặc biệt, mô hình Fixed Strongly L2 đạt PR-AUC cao nhất tuyệt đối 0.9182 ± 0.0071, vượt trội so với Classical CNN (0.9041 ± 0.0100) với ý nghĩa thống kê rất cao (p_ttest = 0.0023, p_wilcoxon = 0.0059) và kích thước hiệu ứng rất lớn (d = +1.332). Trong bối cảnh lâm sàng, PR-AUC là thước đo phản ánh độ chính xác thực chất khi xếp hạng các ca dương tính; ưu thế vượt trội của Fixed Strongly khẳng định không gian đặc trưng lượng tử vướng víu giúp tách biệt ranh giới tổn thương ác tính chuẩn xác hơn hẳn mà không cần huấn luyện thêm bất kỳ tham số nào trong kernel. Về phía mô hình tự học, Trainable Strongly L2 đạt Balanced Accuracy cao nhất trong toàn bộ các mô hình (0.6945 ± 0.0451, cải thiện +0.0344 so với bản tĩnh Fixed Strongly 0.6602 ± 0.0213, d = +0.677) và MCC đạt 0.4549 ± 0.0945, cho thấy việc tối ưu hóa tham số góc lượng tử có xu hướng cân bằng hóa ranh giới phân tách lớp, dù đi kèm chi phí phương sai dao động lớn hơn giữa các hạt giống.</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5" name="Picture 5"/>
            <wp:cNvGraphicFramePr>
              <a:graphicFrameLocks noChangeAspect="1"/>
            </wp:cNvGraphicFramePr>
            <a:graphic>
              <a:graphicData uri="http://schemas.openxmlformats.org/drawingml/2006/picture">
                <pic:pic>
                  <pic:nvPicPr>
                    <pic:cNvPr id="0" name="Fig3_octmnist_benchmark.png"/>
                    <pic:cNvPicPr/>
                  </pic:nvPicPr>
                  <pic:blipFill>
                    <a:blip r:embed="rId14"/>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 (Nguồn: tác giả tổng hợp từ kết quả thực nghiệm đề tài)</w:t>
      </w:r>
    </w:p>
    <w:p>
      <w:pPr>
        <w:spacing w:after="120"/>
        <w:jc w:val="both"/>
      </w:pPr>
      <w:r>
        <w:rPr>
          <w:rFonts w:ascii="Times New Roman" w:hAnsi="Times New Roman"/>
          <w:b w:val="0"/>
          <w:i w:val="0"/>
          <w:sz w:val="26"/>
        </w:rPr>
        <w:t>Bảng 4.3 tổng hợp kiểm định thống kê cho các cặp so sánh then chốt của toàn bộ benchmark.</w:t>
      </w:r>
    </w:p>
    <w:p>
      <w:pPr>
        <w:spacing w:after="200"/>
        <w:jc w:val="center"/>
      </w:pPr>
      <w:r>
        <w:rPr>
          <w:rFonts w:ascii="Times New Roman" w:hAnsi="Times New Roman"/>
          <w:b/>
          <w:i/>
          <w:sz w:val="24"/>
        </w:rPr>
        <w:t>Bảng 4.3: Kiểm định thống kê các cặp so sánh then chốt — Nguồn: tác giả tính toán từ dữ liệu 10-seed (paired t-test, Wilcoxon signed-rank, Cohen’s 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Cặp so sánh</w:t>
            </w:r>
          </w:p>
        </w:tc>
        <w:tc>
          <w:tcPr>
            <w:tcW w:type="dxa" w:w="1520"/>
          </w:tcPr>
          <w:p>
            <w:r/>
            <w:r>
              <w:rPr>
                <w:rFonts w:ascii="Times New Roman" w:hAnsi="Times New Roman"/>
                <w:b/>
                <w:sz w:val="20"/>
              </w:rPr>
              <w:t>Metric</w:t>
            </w:r>
          </w:p>
        </w:tc>
        <w:tc>
          <w:tcPr>
            <w:tcW w:type="dxa" w:w="1520"/>
          </w:tcPr>
          <w:p>
            <w:r/>
            <w:r>
              <w:rPr>
                <w:rFonts w:ascii="Times New Roman" w:hAnsi="Times New Roman"/>
                <w:b/>
                <w:sz w:val="20"/>
              </w:rPr>
              <w:t>Δ (mean diff)</w:t>
            </w:r>
          </w:p>
        </w:tc>
        <w:tc>
          <w:tcPr>
            <w:tcW w:type="dxa" w:w="1520"/>
          </w:tcPr>
          <w:p>
            <w:r/>
            <w:r>
              <w:rPr>
                <w:rFonts w:ascii="Times New Roman" w:hAnsi="Times New Roman"/>
                <w:b/>
                <w:sz w:val="20"/>
              </w:rPr>
              <w:t>p (t-test)</w:t>
            </w:r>
          </w:p>
        </w:tc>
        <w:tc>
          <w:tcPr>
            <w:tcW w:type="dxa" w:w="1520"/>
          </w:tcPr>
          <w:p>
            <w:r/>
            <w:r>
              <w:rPr>
                <w:rFonts w:ascii="Times New Roman" w:hAnsi="Times New Roman"/>
                <w:b/>
                <w:sz w:val="20"/>
              </w:rPr>
              <w:t>p (Wilcoxon)</w:t>
            </w:r>
          </w:p>
        </w:tc>
        <w:tc>
          <w:tcPr>
            <w:tcW w:type="dxa" w:w="1520"/>
          </w:tcPr>
          <w:p>
            <w:r/>
            <w:r>
              <w:rPr>
                <w:rFonts w:ascii="Times New Roman" w:hAnsi="Times New Roman"/>
                <w:b/>
                <w:sz w:val="20"/>
              </w:rPr>
              <w:t>Cohen's d</w:t>
            </w:r>
          </w:p>
        </w:tc>
      </w:tr>
      <w:tr>
        <w:tc>
          <w:tcPr>
            <w:tcW w:type="dxa" w:w="1520"/>
          </w:tcPr>
          <w:p>
            <w:r/>
            <w:r>
              <w:rPr>
                <w:rFonts w:ascii="Times New Roman" w:hAnsi="Times New Roman"/>
                <w:sz w:val="20"/>
              </w:rPr>
              <w:t>Breast: Classical CNN vs Fixed Basic</w:t>
            </w:r>
          </w:p>
        </w:tc>
        <w:tc>
          <w:tcPr>
            <w:tcW w:type="dxa" w:w="1520"/>
          </w:tcPr>
          <w:p>
            <w:r/>
            <w:r>
              <w:rPr>
                <w:rFonts w:ascii="Times New Roman" w:hAnsi="Times New Roman"/>
                <w:sz w:val="20"/>
              </w:rPr>
              <w:t>ROC-AUC</w:t>
            </w:r>
          </w:p>
        </w:tc>
        <w:tc>
          <w:tcPr>
            <w:tcW w:type="dxa" w:w="1520"/>
          </w:tcPr>
          <w:p>
            <w:r/>
            <w:r>
              <w:rPr>
                <w:rFonts w:ascii="Times New Roman" w:hAnsi="Times New Roman"/>
                <w:sz w:val="20"/>
              </w:rPr>
              <w:t>-0.0186</w:t>
            </w:r>
          </w:p>
        </w:tc>
        <w:tc>
          <w:tcPr>
            <w:tcW w:type="dxa" w:w="1520"/>
          </w:tcPr>
          <w:p>
            <w:r/>
            <w:r>
              <w:rPr>
                <w:rFonts w:ascii="Times New Roman" w:hAnsi="Times New Roman"/>
                <w:sz w:val="20"/>
              </w:rPr>
              <w:t>0.0298</w:t>
            </w:r>
          </w:p>
        </w:tc>
        <w:tc>
          <w:tcPr>
            <w:tcW w:type="dxa" w:w="1520"/>
          </w:tcPr>
          <w:p>
            <w:r/>
            <w:r>
              <w:rPr>
                <w:rFonts w:ascii="Times New Roman" w:hAnsi="Times New Roman"/>
                <w:sz w:val="20"/>
              </w:rPr>
              <w:t>0.0254</w:t>
            </w:r>
          </w:p>
        </w:tc>
        <w:tc>
          <w:tcPr>
            <w:tcW w:type="dxa" w:w="1520"/>
          </w:tcPr>
          <w:p>
            <w:r/>
            <w:r>
              <w:rPr>
                <w:rFonts w:ascii="Times New Roman" w:hAnsi="Times New Roman"/>
                <w:sz w:val="20"/>
              </w:rPr>
              <w:t>-0.815</w:t>
            </w:r>
          </w:p>
        </w:tc>
      </w:tr>
      <w:tr>
        <w:tc>
          <w:tcPr>
            <w:tcW w:type="dxa" w:w="1520"/>
          </w:tcPr>
          <w:p>
            <w:r/>
            <w:r>
              <w:rPr>
                <w:rFonts w:ascii="Times New Roman" w:hAnsi="Times New Roman"/>
                <w:sz w:val="20"/>
              </w:rPr>
              <w:t>Breast: Classical CNN vs Fixed Strongly</w:t>
            </w:r>
          </w:p>
        </w:tc>
        <w:tc>
          <w:tcPr>
            <w:tcW w:type="dxa" w:w="1520"/>
          </w:tcPr>
          <w:p>
            <w:r/>
            <w:r>
              <w:rPr>
                <w:rFonts w:ascii="Times New Roman" w:hAnsi="Times New Roman"/>
                <w:sz w:val="20"/>
              </w:rPr>
              <w:t>PR-AUC</w:t>
            </w:r>
          </w:p>
        </w:tc>
        <w:tc>
          <w:tcPr>
            <w:tcW w:type="dxa" w:w="1520"/>
          </w:tcPr>
          <w:p>
            <w:r/>
            <w:r>
              <w:rPr>
                <w:rFonts w:ascii="Times New Roman" w:hAnsi="Times New Roman"/>
                <w:sz w:val="20"/>
              </w:rPr>
              <w:t>-0.0140</w:t>
            </w:r>
          </w:p>
        </w:tc>
        <w:tc>
          <w:tcPr>
            <w:tcW w:type="dxa" w:w="1520"/>
          </w:tcPr>
          <w:p>
            <w:r/>
            <w:r>
              <w:rPr>
                <w:rFonts w:ascii="Times New Roman" w:hAnsi="Times New Roman"/>
                <w:sz w:val="20"/>
              </w:rPr>
              <w:t>0.0023</w:t>
            </w:r>
          </w:p>
        </w:tc>
        <w:tc>
          <w:tcPr>
            <w:tcW w:type="dxa" w:w="1520"/>
          </w:tcPr>
          <w:p>
            <w:r/>
            <w:r>
              <w:rPr>
                <w:rFonts w:ascii="Times New Roman" w:hAnsi="Times New Roman"/>
                <w:sz w:val="20"/>
              </w:rPr>
              <w:t>0.0059</w:t>
            </w:r>
          </w:p>
        </w:tc>
        <w:tc>
          <w:tcPr>
            <w:tcW w:type="dxa" w:w="1520"/>
          </w:tcPr>
          <w:p>
            <w:r/>
            <w:r>
              <w:rPr>
                <w:rFonts w:ascii="Times New Roman" w:hAnsi="Times New Roman"/>
                <w:sz w:val="20"/>
              </w:rPr>
              <w:t>-1.332</w:t>
            </w:r>
          </w:p>
        </w:tc>
      </w:tr>
      <w:tr>
        <w:tc>
          <w:tcPr>
            <w:tcW w:type="dxa" w:w="1520"/>
          </w:tcPr>
          <w:p>
            <w:r/>
            <w:r>
              <w:rPr>
                <w:rFonts w:ascii="Times New Roman" w:hAnsi="Times New Roman"/>
                <w:sz w:val="20"/>
              </w:rPr>
              <w:t>Breast: Fixed Strongly vs Trainable Strongly</w:t>
            </w:r>
          </w:p>
        </w:tc>
        <w:tc>
          <w:tcPr>
            <w:tcW w:type="dxa" w:w="1520"/>
          </w:tcPr>
          <w:p>
            <w:r/>
            <w:r>
              <w:rPr>
                <w:rFonts w:ascii="Times New Roman" w:hAnsi="Times New Roman"/>
                <w:sz w:val="20"/>
              </w:rPr>
              <w:t>BAcc</w:t>
            </w:r>
          </w:p>
        </w:tc>
        <w:tc>
          <w:tcPr>
            <w:tcW w:type="dxa" w:w="1520"/>
          </w:tcPr>
          <w:p>
            <w:r/>
            <w:r>
              <w:rPr>
                <w:rFonts w:ascii="Times New Roman" w:hAnsi="Times New Roman"/>
                <w:sz w:val="20"/>
              </w:rPr>
              <w:t>-0.0344</w:t>
            </w:r>
          </w:p>
        </w:tc>
        <w:tc>
          <w:tcPr>
            <w:tcW w:type="dxa" w:w="1520"/>
          </w:tcPr>
          <w:p>
            <w:r/>
            <w:r>
              <w:rPr>
                <w:rFonts w:ascii="Times New Roman" w:hAnsi="Times New Roman"/>
                <w:sz w:val="20"/>
              </w:rPr>
              <w:t>0.0611</w:t>
            </w:r>
          </w:p>
        </w:tc>
        <w:tc>
          <w:tcPr>
            <w:tcW w:type="dxa" w:w="1520"/>
          </w:tcPr>
          <w:p>
            <w:r/>
            <w:r>
              <w:rPr>
                <w:rFonts w:ascii="Times New Roman" w:hAnsi="Times New Roman"/>
                <w:sz w:val="20"/>
              </w:rPr>
              <w:t>0.0879</w:t>
            </w:r>
          </w:p>
        </w:tc>
        <w:tc>
          <w:tcPr>
            <w:tcW w:type="dxa" w:w="1520"/>
          </w:tcPr>
          <w:p>
            <w:r/>
            <w:r>
              <w:rPr>
                <w:rFonts w:ascii="Times New Roman" w:hAnsi="Times New Roman"/>
                <w:sz w:val="20"/>
              </w:rPr>
              <w:t>-0.677</w:t>
            </w:r>
          </w:p>
        </w:tc>
      </w:tr>
      <w:tr>
        <w:tc>
          <w:tcPr>
            <w:tcW w:type="dxa" w:w="1520"/>
          </w:tcPr>
          <w:p>
            <w:r/>
            <w:r>
              <w:rPr>
                <w:rFonts w:ascii="Times New Roman" w:hAnsi="Times New Roman"/>
                <w:sz w:val="20"/>
              </w:rPr>
              <w:t>OCT: Classical CNN vs Trainable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+0.0583</w:t>
            </w:r>
          </w:p>
        </w:tc>
        <w:tc>
          <w:tcPr>
            <w:tcW w:type="dxa" w:w="1520"/>
          </w:tcPr>
          <w:p>
            <w:r/>
            <w:r>
              <w:rPr>
                <w:rFonts w:ascii="Times New Roman" w:hAnsi="Times New Roman"/>
                <w:sz w:val="20"/>
              </w:rPr>
              <w:t>0.0001</w:t>
            </w:r>
          </w:p>
        </w:tc>
        <w:tc>
          <w:tcPr>
            <w:tcW w:type="dxa" w:w="1520"/>
          </w:tcPr>
          <w:p>
            <w:r/>
            <w:r>
              <w:rPr>
                <w:rFonts w:ascii="Times New Roman" w:hAnsi="Times New Roman"/>
                <w:sz w:val="20"/>
              </w:rPr>
              <w:t>0.0020</w:t>
            </w:r>
          </w:p>
        </w:tc>
        <w:tc>
          <w:tcPr>
            <w:tcW w:type="dxa" w:w="1520"/>
          </w:tcPr>
          <w:p>
            <w:r/>
            <w:r>
              <w:rPr>
                <w:rFonts w:ascii="Times New Roman" w:hAnsi="Times New Roman"/>
                <w:sz w:val="20"/>
              </w:rPr>
              <w:t>+2.108</w:t>
            </w:r>
          </w:p>
        </w:tc>
      </w:tr>
      <w:tr>
        <w:tc>
          <w:tcPr>
            <w:tcW w:type="dxa" w:w="1520"/>
          </w:tcPr>
          <w:p>
            <w:r/>
            <w:r>
              <w:rPr>
                <w:rFonts w:ascii="Times New Roman" w:hAnsi="Times New Roman"/>
                <w:sz w:val="20"/>
              </w:rPr>
              <w:t>OCT: Trainable Strongly vs Fixed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+0.0232</w:t>
            </w:r>
          </w:p>
        </w:tc>
        <w:tc>
          <w:tcPr>
            <w:tcW w:type="dxa" w:w="1520"/>
          </w:tcPr>
          <w:p>
            <w:r/>
            <w:r>
              <w:rPr>
                <w:rFonts w:ascii="Times New Roman" w:hAnsi="Times New Roman"/>
                <w:sz w:val="20"/>
              </w:rPr>
              <w:t>0.0090</w:t>
            </w:r>
          </w:p>
        </w:tc>
        <w:tc>
          <w:tcPr>
            <w:tcW w:type="dxa" w:w="1520"/>
          </w:tcPr>
          <w:p>
            <w:r/>
            <w:r>
              <w:rPr>
                <w:rFonts w:ascii="Times New Roman" w:hAnsi="Times New Roman"/>
                <w:sz w:val="20"/>
              </w:rPr>
              <w:t>0.0098</w:t>
            </w:r>
          </w:p>
        </w:tc>
        <w:tc>
          <w:tcPr>
            <w:tcW w:type="dxa" w:w="1520"/>
          </w:tcPr>
          <w:p>
            <w:r/>
            <w:r>
              <w:rPr>
                <w:rFonts w:ascii="Times New Roman" w:hAnsi="Times New Roman"/>
                <w:sz w:val="20"/>
              </w:rPr>
              <w:t>+1.050</w:t>
            </w:r>
          </w:p>
        </w:tc>
      </w:tr>
      <w:tr>
        <w:tc>
          <w:tcPr>
            <w:tcW w:type="dxa" w:w="1520"/>
          </w:tcPr>
          <w:p>
            <w:r/>
            <w:r>
              <w:rPr>
                <w:rFonts w:ascii="Times New Roman" w:hAnsi="Times New Roman"/>
                <w:sz w:val="20"/>
              </w:rPr>
              <w:t>OCT: Trainable Strongly vs Fixed Champion</w:t>
            </w:r>
          </w:p>
        </w:tc>
        <w:tc>
          <w:tcPr>
            <w:tcW w:type="dxa" w:w="1520"/>
          </w:tcPr>
          <w:p>
            <w:r/>
            <w:r>
              <w:rPr>
                <w:rFonts w:ascii="Times New Roman" w:hAnsi="Times New Roman"/>
                <w:sz w:val="20"/>
              </w:rPr>
              <w:t>ROC-AUC</w:t>
            </w:r>
          </w:p>
        </w:tc>
        <w:tc>
          <w:tcPr>
            <w:tcW w:type="dxa" w:w="1520"/>
          </w:tcPr>
          <w:p>
            <w:r/>
            <w:r>
              <w:rPr>
                <w:rFonts w:ascii="Times New Roman" w:hAnsi="Times New Roman"/>
                <w:sz w:val="20"/>
              </w:rPr>
              <w:t>+0.0010</w:t>
            </w:r>
          </w:p>
        </w:tc>
        <w:tc>
          <w:tcPr>
            <w:tcW w:type="dxa" w:w="1520"/>
          </w:tcPr>
          <w:p>
            <w:r/>
            <w:r>
              <w:rPr>
                <w:rFonts w:ascii="Times New Roman" w:hAnsi="Times New Roman"/>
                <w:sz w:val="20"/>
              </w:rPr>
              <w:t>0.8875</w:t>
            </w:r>
          </w:p>
        </w:tc>
        <w:tc>
          <w:tcPr>
            <w:tcW w:type="dxa" w:w="1520"/>
          </w:tcPr>
          <w:p>
            <w:r/>
            <w:r>
              <w:rPr>
                <w:rFonts w:ascii="Times New Roman" w:hAnsi="Times New Roman"/>
                <w:sz w:val="20"/>
              </w:rPr>
              <w:t>0.6250</w:t>
            </w:r>
          </w:p>
        </w:tc>
        <w:tc>
          <w:tcPr>
            <w:tcW w:type="dxa" w:w="1520"/>
          </w:tcPr>
          <w:p>
            <w:r/>
            <w:r>
              <w:rPr>
                <w:rFonts w:ascii="Times New Roman" w:hAnsi="Times New Roman"/>
                <w:sz w:val="20"/>
              </w:rPr>
              <w:t>+0.046</w:t>
            </w:r>
          </w:p>
        </w:tc>
      </w:tr>
    </w:tbl>
    <w:p>
      <w:pPr>
        <w:spacing w:after="80"/>
        <w:jc w:val="both"/>
      </w:pPr>
      <w:r>
        <w:rPr>
          <w:rFonts w:ascii="Times New Roman" w:hAnsi="Times New Roman"/>
          <w:b w:val="0"/>
          <w:i w:val="0"/>
          <w:sz w:val="26"/>
        </w:rPr>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both"/>
      </w:pPr>
      <w:r>
        <w:rPr>
          <w:rFonts w:ascii="Times New Roman" w:hAnsi="Times New Roman"/>
          <w:b w:val="0"/>
          <w:i w:val="0"/>
          <w:sz w:val="26"/>
        </w:rPr>
        <w:t>Cơ chế giải thích: phân loại 4 bệnh lý võng mạc đòi hỏi đặc trưng không gian có độ phân giải tinh — ranh giới giữa các giai đoạn bệnh chỉ khác biệt ở vài pixel. Mạch 4-qubit với L=1 nén thông tin 4 pixel xuống 4 số thực trong [−1,1] qua một tầng biến phân, đồng thời head chỉ có 3,140 tham số tuyến tính trên nền BatchNorm (Linear 784→4 với K = 4) — tổng dung lượng biểu diễn nhỏ so với tính mảnh của bài toán. Ngược lại, CNN cổ điển học trực tiếp 784 đặc trưng pixel với kernel có trọng số tự do, giữ được gradient không gian ở mức cần thiết. Kết quả này nhất quán với mệnh đề "power of data" [10]: khi dữ liệu đủ lớn, mô hình cổ điển được huấn luyện tốt sẽ vượt mô hình lượng tử nông; và nhất quán với cảnh báo của Schuld và Killoran [15] rằng so sánh thiếu công bằng dễ tạo ra kỳ vọng sai lầm về lợi thế lượng tử.</w:t>
      </w:r>
    </w:p>
    <w:p>
      <w:pPr>
        <w:spacing w:after="120" w:line="360" w:lineRule="auto"/>
        <w:jc w:val="both"/>
      </w:pPr>
      <w:r>
        <w:rPr>
          <w:rFonts w:ascii="Times New Roman" w:hAnsi="Times New Roman"/>
          <w:b w:val="0"/>
          <w:i w:val="0"/>
          <w:color w:val="000000"/>
          <w:sz w:val="26"/>
        </w:rPr>
        <w:t>Diễn giải chi tiết theo từng chỉ số đánh giá trên OCTMNIST: Đối với bài toán phân loại 4 bệnh lý võng mạc trên không gian 5,000 ảnh, toàn bộ các chỉ số trên Bảng 4.2 đều phản ánh độ khó gia tăng rõ rệt so với bài toán nhị phân. Mức phân loại ngẫu nhiên lý thuyết cho bài toán 4 lớp cân bằng là 0.25 (25%). Classical CNN dẫn đầu tuyệt đối trên toàn bộ 6 chỉ số: ROC-AUC đạt 0.7505 ± 0.0240, PR-AUC đạt 0.4991 ± 0.0297, Accuracy đạt 0.4433 ± 0.0135, Balanced Accuracy đạt 0.3206 ± 0.0175 và F1-score macro đạt 0.3156 ± 0.0198. Khoảng cách hiệu năng giữa CNN cổ điển và mô hình lượng tử tự học tốt nhất (Trainable Strongly, ROC-AUC 0.6922 ± 0.0199) lên tới Δ = +0.0583 (p ≈ 0.0001, Cohen’s d = +2.108), và đối với Balanced Accuracy là Δ = +0.0257 (d = +1.874). Sự chênh lệch này khẳng định một kết luận phương pháp luận quan trọng: khi kích thước tập dữ liệu tăng lên và bài toán đòi hỏi phân biệt các chi tiết vi thể đa lớp, lớp tích chập cổ điển với 20 tham số tự do học trực tiếp từ dữ liệu vượt trội hơn hẳn phép nén đặc trưng lượng tử 4-qubit. Khi so sánh nội bộ giữa các mô hình quanvolution, tính năng tự học thể hiện ưu thế rõ ràng trong cùng một họ mạch: Trainable Strongly đạt ROC-AUC 0.6922 ± 0.0199, vượt trội có ý nghĩa thống kê so với Fixed Strongly đạt 0.6690 ± 0.0055 (Δ = +0.0232, p_wilcoxon = 0.0098, Cohen’s d = +1.050) và PR-AUC cải thiện từ 0.4175 lên 0.4365. Tuy nhiên, khi đối chiếu Trainable Strongly với cấu hình quán quân tĩnh random_L1 từ giai đoạn khảo sát GĐ2 (ROC-AUC 0.6912 ± 0.0071, Balanced Accuracy 0.2997 ± 0.0202, PR-AUC 0.4443 ± 0.0088), mô hình tự học hoàn toàn không tạo ra sự khác biệt có ý nghĩa thống kê (Δ = +0.0010, p = 0.8875, d = +0.046). Điều này cho thấy một mạch tĩnh được lựa chọn tối ưu thông qua ablation có thể đạt hiệu năng tương đương một mạch tự học phức tạp, trong khi tiết kiệm hàng trăm lần chi phí tính toán.</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spacing w:after="120" w:line="360" w:lineRule="auto"/>
        <w:jc w:val="both"/>
      </w:pPr>
      <w:r>
        <w:rPr>
          <w:rFonts w:ascii="Times New Roman" w:hAnsi="Times New Roman"/>
          <w:b w:val="0"/>
          <w:i w:val="0"/>
          <w:color w:val="000000"/>
          <w:sz w:val="26"/>
        </w:rPr>
        <w:t>Giải thích chi tiết ý nghĩa các đồ thị động học tối ưu: (1) Hình 4.3 biểu diễn đường cong suy giảm hàm mất mát huấn luyện (train loss) và kiểm định (val loss) qua 20 epochs trên cả hai bộ dữ liệu. Trên BreastMNIST, Classical CNN giảm loss huấn luyện rất nhanh nhưng val loss sớm đi vào trạng thái bão hòa và có xu hướng tăng nhẹ sau epoch 12, biểu hiện của hiện tượng quá khớp (overfitting) nhẹ khi học trên tập dữ liệu nhỏ 546 mẫu. Ngược lại, các mô hình quanvolution (đặc biệt là Fixed Basic) cho thấy đường cong hội tụ mượt mà, khoảng cách giữa train loss và val loss được duy trì ổn định, minh chứng thực nghiệm cho vai trò của kernel lượng tử như một cơ chế điều hòa cấu trúc tự nhiên. Trên OCTMNIST, cả hai phía đều hội tụ ổn định, song CNN đạt cực tiểu loss sâu hơn rõ rệt. (2) Hình 4.4 theo dõi quỹ đạo dịch chuyển của 24 góc quay lượng tử θ(t) trong mạch Trainable Strongly qua 20 epochs. Đồ thị cho thấy các tham số góc khởi tạo đều trong khoảng [0, 2π] dịch chuyển trơn tru theo hướng giảm gradient trong 10 epochs đầu tiên và dần ổn định tại các điểm hội tụ cục bộ trong các epochs cuối. Không có tham số nào bị dao động mất kiểm soát hoặc bị kẹt cứng tại chỗ, chứng minh quy trình tối ưu hóa với learning rate kép (0.01 cho góc lượng tử và 0.001 cho head cổ điển) hoạt động hiệu quả và có kiểm soát. (3) Hình 4.5 trực quan hóa động học của chuẩn gradient L2 theo từng epoch. Chuẩn gradient trung bình của mạch Trainable Strongly duy trì ổn định trong khoảng 0.2–0.5 theo hạt giống (với đỉnh cực đại của từng hạt giống cá lẻ tiệm cận 1.3), hoàn toàn cách xa ngưỡng suy biến gradient (10⁻⁵ đến 10⁻⁷). Đây là bằng chứng thực nghiệm trực tiếp khẳng định việc tối ưu hóa mạch lượng tử không bị cản trở bởi hiện tượng sườn phẳng cằn cỗi (Barren Plateaus), đảm bảo các kết luận thực nghiệm xuất phát từ bản chất của phép biến đổi đặc trưng chứ không phải do sự thất bại của thuật toán tối ưu.</w:t>
      </w:r>
    </w:p>
    <w:p>
      <w:pPr>
        <w:jc w:val="center"/>
      </w:pPr>
      <w:r>
        <w:drawing>
          <wp:inline xmlns:a="http://schemas.openxmlformats.org/drawingml/2006/main" xmlns:pic="http://schemas.openxmlformats.org/drawingml/2006/picture">
            <wp:extent cx="5400000" cy="2333109"/>
            <wp:docPr id="6" name="Picture 6"/>
            <wp:cNvGraphicFramePr>
              <a:graphicFrameLocks noChangeAspect="1"/>
            </wp:cNvGraphicFramePr>
            <a:graphic>
              <a:graphicData uri="http://schemas.openxmlformats.org/drawingml/2006/picture">
                <pic:pic>
                  <pic:nvPicPr>
                    <pic:cNvPr id="0" name="Fig4a_breastmnist_curves.png"/>
                    <pic:cNvPicPr/>
                  </pic:nvPicPr>
                  <pic:blipFill>
                    <a:blip r:embed="rId15"/>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 — Nguồn: tác giả tổng hợp từ kết quả thực nghiệm đề tài</w:t>
      </w:r>
    </w:p>
    <w:p>
      <w:pPr>
        <w:jc w:val="center"/>
      </w:pPr>
      <w:r>
        <w:drawing>
          <wp:inline xmlns:a="http://schemas.openxmlformats.org/drawingml/2006/main" xmlns:pic="http://schemas.openxmlformats.org/drawingml/2006/picture">
            <wp:extent cx="5400000" cy="2236671"/>
            <wp:docPr id="7" name="Picture 7"/>
            <wp:cNvGraphicFramePr>
              <a:graphicFrameLocks noChangeAspect="1"/>
            </wp:cNvGraphicFramePr>
            <a:graphic>
              <a:graphicData uri="http://schemas.openxmlformats.org/drawingml/2006/picture">
                <pic:pic>
                  <pic:nvPicPr>
                    <pic:cNvPr id="0" name="Fig4c_theta_trajectories.png"/>
                    <pic:cNvPicPr/>
                  </pic:nvPicPr>
                  <pic:blipFill>
                    <a:blip r:embed="rId16"/>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 Nguồn: tác giả tổng hợp từ kết quả thực nghiệm đề tài</w:t>
      </w:r>
    </w:p>
    <w:p>
      <w:pPr>
        <w:jc w:val="center"/>
      </w:pPr>
      <w:r>
        <w:drawing>
          <wp:inline xmlns:a="http://schemas.openxmlformats.org/drawingml/2006/main" xmlns:pic="http://schemas.openxmlformats.org/drawingml/2006/picture">
            <wp:extent cx="4500000" cy="2380952"/>
            <wp:docPr id="8" name="Picture 8"/>
            <wp:cNvGraphicFramePr>
              <a:graphicFrameLocks noChangeAspect="1"/>
            </wp:cNvGraphicFramePr>
            <a:graphic>
              <a:graphicData uri="http://schemas.openxmlformats.org/drawingml/2006/picture">
                <pic:pic>
                  <pic:nvPicPr>
                    <pic:cNvPr id="0" name="Fig4d_gradient_norms.png"/>
                    <pic:cNvPicPr/>
                  </pic:nvPicPr>
                  <pic:blipFill>
                    <a:blip r:embed="rId17"/>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 — Nguồn: tác giả tổng hợp từ kết quả thực nghiệm đề tài</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 — Nguồn: run khảo sát GĐ2,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9" name="Picture 9"/>
            <wp:cNvGraphicFramePr>
              <a:graphicFrameLocks noChangeAspect="1"/>
            </wp:cNvGraphicFramePr>
            <a:graphic>
              <a:graphicData uri="http://schemas.openxmlformats.org/drawingml/2006/picture">
                <pic:pic>
                  <pic:nvPicPr>
                    <pic:cNvPr id="0" name="circuit_ablation_breastmnist.png"/>
                    <pic:cNvPicPr/>
                  </pic:nvPicPr>
                  <pic:blipFill>
                    <a:blip r:embed="rId18"/>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 — Nguồn: tài liệu dự án</w:t>
      </w:r>
    </w:p>
    <w:p>
      <w:pPr>
        <w:spacing w:after="120"/>
        <w:jc w:val="both"/>
      </w:pPr>
      <w:r>
        <w:rPr>
          <w:rFonts w:ascii="Times New Roman" w:hAnsi="Times New Roman"/>
          <w:b w:val="0"/>
          <w:i w:val="0"/>
          <w:sz w:val="26"/>
        </w:rPr>
        <w:t>Diễn giải kết quả ablation: trên BreastMNIST, mạch basic_L2 (0.8508) vượt mọi cấu hình strongly (0.8104–0.8322) — tăng số trục quay và độ sâu trong dữ liệu nhỏ làm tăng dung lượng mô hình mà thiếu dữ liệu để khống chế, phản tác dụng; thứ hạng này nhất quán với kết quả cuối cùng của ma trận ba tầng ở Bảng 4.1. Trên OCTMNIST, khoảng cách giữa các cấu hình thu hẹp đáng kể (0.6628–0.6905) và random_L1 dẫn đầu — khi biểu diễn bị chặn bởi capacity bottleneck, lựa chọn ansatz ít quan trọng hơn việc dữ liệu có đủ lớn hay không. Hai quan sát này cùng chỉ về một kết luận thiết kế: với mạch nông 4-qubit, cấu trúc mạch đơn giản có cấu trúc (basic) phù hợp dữ liệu nhỏ, và lợi thế ansatz phai nhạt khi dữ liệu lớn.</w:t>
      </w:r>
    </w:p>
    <w:p>
      <w:pPr>
        <w:spacing w:after="120" w:line="360" w:lineRule="auto"/>
        <w:jc w:val="both"/>
      </w:pPr>
      <w:r>
        <w:rPr>
          <w:rFonts w:ascii="Times New Roman" w:hAnsi="Times New Roman"/>
          <w:b w:val="0"/>
          <w:i w:val="0"/>
          <w:color w:val="000000"/>
          <w:sz w:val="26"/>
        </w:rPr>
        <w:t>Kết nối khảo sát ablation với lựa chọn cấu hình cho ma trận thực nghiệm cuối cùng: Kết quả khảo sát 6 cấu hình mạch tĩnh ở GĐ2 (Bảng 4.4 và Hình 4.6) cung cấp cơ sở phương pháp luận vững chắc cho việc thiết lập ma trận ba tầng ở GĐ3. Trên BreastMNIST, cấu hình basic_L2 đạt ROC-AUC trung bình cao nhất (0.8508), vượt trội so với các cấu hình strongly-entangling (0.8104–0.8322) và random (0.8198–0.8375). Trong chế độ dữ liệu nhỏ, việc tăng độ sâu mạch và bổ sung quá nhiều trục quay vướng víu làm tăng tính biểu đạt lý thuyết nhưng đồng thời làm phân tán đặc trưng cục bộ, khiến tầng tuyến tính phía sau không đủ dữ liệu để học được ranh giới quyết định hiệu quả. Do đó, cấu trúc mạch đơn giản với các cổng RY và CNOT lân cận vòng là lựa chọn tối ưu, vừa đủ để tạo tính phi tuyến mà không làm phức tạp hóa không gian đặc trưng. Ngược lại, trên OCTMNIST, cấu hình random_L1 đạt ROC-AUC dẫn đầu (0.6905) trong khảo sát GĐ2. Khi dữ liệu lớn hơn và bài toán phân tách đa lớp đòi hỏi độ phân tán đặc trưng cao để phân biệt các dạng tổn thương mô bệnh học khác nhau, một mạch ngẫu nhiên đơn tầng (L=1) tạo ra sự đa dạng chiếu đặc trưng tốt hơn mà không bị giới hạn bởi các phép quay góc cố định đơn điệu. Việc đưa random_L1 vào ma trận GĐ3 làm đối chứng trực tiếp với Trainable Strongly đã chứng minh một phát hiện có giá trị thực tiễn cao: việc tối ưu hóa cấu trúc mạch tĩnh thông qua ablation có thể mang lại hiệu năng tương đương với mô hình tự học mà hoàn toàn triệt tiêu chi phí tính toán gradient lượng tử.</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 — Nguồn: đo bằng measure_params_cost.py (tài liệu dự 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line="360" w:lineRule="auto"/>
        <w:jc w:val="both"/>
      </w:pPr>
      <w:r>
        <w:rPr>
          <w:rFonts w:ascii="Times New Roman" w:hAnsi="Times New Roman"/>
          <w:sz w:val="26"/>
        </w:rPr>
        <w:t>Khóa luận đã xây dựng một khung thực nghiệm đối xứng, có đối chứng nghiêm ngặt và khả tái lập hoàn toàn nhằm so sánh mạng tích chập lượng tử (Quanvolutional Neural Network) ở cả hai chế độ mạch tĩnh và mạch tự học với baseline CNN cổ điển trên chuẩn y tế MedMNIST. Ba kết luận học thuật then chốt được rút ra: (1) Ưu thế lượng tử phụ thuộc chặt chẽ vào chế độ dữ liệu (data-regime): quanvolution thể hiện ưu thế vượt trội trên miền dữ liệu nhỏ và mất cân bằng lớp nghiêm trọng (BreastMNIST), nơi kernel lượng tử đóng vai trò như một cơ chế điều hòa cấu trúc tự nhiên; ngược lại, mô hình lượng tử nông chịu thua quyết liệt trước CNN cổ điển trên miền dữ liệu lớn và phân loại đa lớp (OCTMNIST), nơi mạch 4-qubit chạm phải điểm nghẽn biểu diễn. (2) Mạch tĩnh 0 tham số cung cấp thiên kiến quy nạp mạnh mẽ: cấu hình Fixed Basic L2 cải thiện độ ổn định phương sai gấp khoảng 2.7 lần so với CNN cổ điển trên BreastMNIST, và cấu hình Fixed Strongly L2 đạt PR-AUC cao nhất (0.9182 ± 0.0071) mà không đòi hỏi bất kỳ chi phí huấn luyện kernel nào. (3) Khả năng tự học của mạch lượng tử chỉ phát huy tác dụng cục bộ trong cùng một họ mạch (Trainable Strongly vượt Fixed Strongly trên OCTMNIST), song không vượt được một mạch tĩnh được lựa chọn tối ưu thông qua ablation (random_L1). Những phát hiện này hoàn toàn nhất quán với mệnh đề lý thuyết về 'sức mạnh của dữ liệu' [10] và cảnh báo của Schuld và Killoran [15] về sự cần thiết của các benchmark công bằng trong máy học lượng tử.</w:t>
      </w:r>
    </w:p>
    <w:p>
      <w:pPr>
        <w:spacing w:after="120"/>
        <w:jc w:val="left"/>
      </w:pPr>
      <w:r>
        <w:rPr>
          <w:rFonts w:ascii="Times New Roman" w:hAnsi="Times New Roman"/>
          <w:b/>
          <w:i w:val="0"/>
          <w:sz w:val="26"/>
        </w:rPr>
        <w:t>5.2. Những đóng góp mới</w:t>
      </w:r>
    </w:p>
    <w:p>
      <w:pPr>
        <w:spacing w:after="120" w:line="360" w:lineRule="auto"/>
        <w:jc w:val="both"/>
      </w:pPr>
      <w:r>
        <w:rPr>
          <w:rFonts w:ascii="Times New Roman" w:hAnsi="Times New Roman"/>
          <w:sz w:val="26"/>
        </w:rPr>
        <w:t>Khóa luận đóng góp bốn giá trị khoa học và kỹ thuật mới: (1) Khung benchmark đối xứng 1:1 với ma trận thực nghiệm ba tầng và quy trình kiểm định thống kê kép (paired t-test và Wilcoxon signed-rank), khắc phục triệt để ba hạn chế phương pháp luận lớn của các nghiên cứu trước đây (L1: thiếu đối xứng tham số; L2: thiếu đánh giá đa seed; L3: tranh luận mạch tĩnh/tự học). (2) Bằng chứng thực nghiệm đầu tiên phân định rõ ranh giới hiệu quả của mạng quanvolution 4-qubit theo hai chế độ dữ liệu đối lập, lượng hóa chính xác sự đánh đổi giữa dung lượng biểu diễn, chi phí tính toán và tính ổn định tối ưu hóa. (3) Bộ tài liệu nghiên cứu khả tái lập hoàn toàn, bao gồm mã nguồn chuẩn hóa với seed cố định, dữ liệu thô kết quả per-seed, kịch bản kiểm định số liệu độc lập và hệ thống demo phòng vệ trực quan đạt độ sai lệch feature map dưới 1.47×10⁻⁸. (4) Bài báo khoa học quốc tế đúc kết toàn bộ kết quả nghiên cứu đã hoàn thiện, nộp và đang trong quá trình bình duyệt tại Hội nghị Quốc tế SOICT 2026 (xuất bản trong kỷ yếu CCIS của Nhà xuất bản Springer).</w:t>
      </w:r>
    </w:p>
    <w:p>
      <w:r>
        <w:br w:type="page"/>
      </w:r>
    </w:p>
    <w:p>
      <w:pPr>
        <w:spacing w:after="200"/>
        <w:jc w:val="left"/>
      </w:pPr>
      <w:r>
        <w:rPr>
          <w:rFonts w:ascii="Times New Roman" w:hAnsi="Times New Roman"/>
          <w:b/>
          <w:i w:val="0"/>
          <w:sz w:val="28"/>
        </w:rPr>
        <w:t>CHƯƠNG 6. HƯỚNG PHÁT TRIỂN</w:t>
      </w:r>
    </w:p>
    <w:p>
      <w:pPr>
        <w:spacing w:after="80" w:line="360" w:lineRule="auto"/>
        <w:jc w:val="both"/>
      </w:pPr>
      <w:r>
        <w:rPr>
          <w:rFonts w:ascii="Times New Roman" w:hAnsi="Times New Roman"/>
          <w:sz w:val="26"/>
        </w:rPr>
        <w:t>Từ các kết quả thực nghiệm và những giới hạn đã được nhận diện, khóa luận đề xuất bốn hướng nghiên cứu phát triển tiếp theo:</w:t>
      </w:r>
    </w:p>
    <w:p>
      <w:pPr>
        <w:spacing w:after="60" w:line="360" w:lineRule="auto"/>
        <w:jc w:val="both"/>
      </w:pPr>
      <w:r>
        <w:rPr>
          <w:rFonts w:ascii="Times New Roman" w:hAnsi="Times New Roman"/>
          <w:b/>
          <w:i w:val="0"/>
          <w:color w:val="000000"/>
          <w:sz w:val="26"/>
        </w:rPr>
        <w:t>6.1. Tăng tốc mô phỏng GPU và mở rộng quy mô kernel lượng tử</w:t>
      </w:r>
    </w:p>
    <w:p>
      <w:pPr>
        <w:spacing w:after="120" w:line="360" w:lineRule="auto"/>
        <w:jc w:val="both"/>
      </w:pPr>
      <w:r>
        <w:rPr>
          <w:rFonts w:ascii="Times New Roman" w:hAnsi="Times New Roman"/>
          <w:b w:val="0"/>
          <w:i w:val="0"/>
          <w:color w:val="000000"/>
          <w:sz w:val="26"/>
        </w:rPr>
        <w:t>Một trong những rào cản lớn nhất của nghiên cứu này là chi phí mô phỏng statevector trên CPU (chiếm hơn 99.9% thời gian suy luận). Hướng phát triển cấp thiết là tích hợp các backend mô phỏng mạng tensor hiệu năng cao trên GPU, chẳng hạn như NVIDIA cuQuantum và thư viện PennyLane-Lightning-GPU. Việc tăng tốc tính toán trên GPU sẽ cho phép mở rộng kích thước kernel từ 2 × 2 (4-qubit) lên 3 × 3 (9-qubit) hoặc 4 × 4 (16-qubit) với bước trượt linh hoạt, giúp kiểm chứng xem kernel lượng tử quy mô lớn hơn có thể vượt qua điểm nghẽn biểu diễn trên OCTMNIST hay không.</w:t>
      </w:r>
    </w:p>
    <w:p>
      <w:pPr>
        <w:spacing w:after="60" w:line="360" w:lineRule="auto"/>
        <w:jc w:val="both"/>
      </w:pPr>
      <w:r>
        <w:rPr>
          <w:rFonts w:ascii="Times New Roman" w:hAnsi="Times New Roman"/>
          <w:b/>
          <w:i w:val="0"/>
          <w:color w:val="000000"/>
          <w:sz w:val="26"/>
        </w:rPr>
        <w:t>6.2. Kiểm thử và đánh giá trên phần cứng lượng tử NISQ thực tế có nhiễu</w:t>
      </w:r>
    </w:p>
    <w:p>
      <w:pPr>
        <w:spacing w:after="120" w:line="360" w:lineRule="auto"/>
        <w:jc w:val="both"/>
      </w:pPr>
      <w:r>
        <w:rPr>
          <w:rFonts w:ascii="Times New Roman" w:hAnsi="Times New Roman"/>
          <w:b w:val="0"/>
          <w:i w:val="0"/>
          <w:color w:val="000000"/>
          <w:sz w:val="26"/>
        </w:rPr>
        <w:t>Toàn bộ thực nghiệm trong khóa luận hiện được thực hiện trên môi trường mô phỏng không nhiễu (ideal statevector). Bước tiếp theo là đánh giá độ bền vững của mô hình trước các mô hình nhiễu lượng tử thực tế (depolarizing noise, amplitude damping và readout error) thông qua việc triển khai trực tiếp các mạch trích xuất đặc trưng trên bộ xử lý lượng tử vật lý của IBM Quantum (như kiến trúc IBM Eagle hoặc Heron). Đồng thời, cần khảo sát các kỹ thuật giảm thiểu lỗi lượng tử (Quantum Error Mitigation) như ngoại suy không nhiễu (Zero-Noise Extrapolation — ZNE) để bảo toàn chất lượng feature map trong điều kiện phần cứng NISQ.</w:t>
      </w:r>
    </w:p>
    <w:p>
      <w:pPr>
        <w:spacing w:after="60" w:line="360" w:lineRule="auto"/>
        <w:jc w:val="both"/>
      </w:pPr>
      <w:r>
        <w:rPr>
          <w:rFonts w:ascii="Times New Roman" w:hAnsi="Times New Roman"/>
          <w:b/>
          <w:i w:val="0"/>
          <w:color w:val="000000"/>
          <w:sz w:val="26"/>
        </w:rPr>
        <w:t>6.3. Khảo sát mở rộng trên toàn bộ 12 bộ dữ liệu MedMNIST và ảnh 3D</w:t>
      </w:r>
    </w:p>
    <w:p>
      <w:pPr>
        <w:spacing w:after="120" w:line="360" w:lineRule="auto"/>
        <w:jc w:val="both"/>
      </w:pPr>
      <w:r>
        <w:rPr>
          <w:rFonts w:ascii="Times New Roman" w:hAnsi="Times New Roman"/>
          <w:b w:val="0"/>
          <w:i w:val="0"/>
          <w:color w:val="000000"/>
          <w:sz w:val="26"/>
        </w:rPr>
        <w:t>Nghiên cứu mới tập trung trên hai phương thái siêu âm và OCT. Hướng mở rộng tự nhiên là triển khai khung benchmark đối xứng trên toàn bộ 12 bộ dữ liệu 2D của MedMNIST v2 (bao gồm X-quang phổi PneumoniaMNIST, mô bệnh học PathMNIST, nội soi mạch máu BloodMNIST, da liễu DermaMNIST), và tiến tới các phương thái hình ảnh cắt lớp 3D (như NoduleMNIST3D hoặc OrganMNIST3D). Việc đánh giá trên phổ dữ liệu rộng sẽ giúp xây dựng một bản đồ phân loại toàn diện về điều kiện dữ liệu y tế tối ưu cho máy học lượng tử.</w:t>
      </w:r>
    </w:p>
    <w:p>
      <w:pPr>
        <w:spacing w:after="60" w:line="360" w:lineRule="auto"/>
        <w:jc w:val="both"/>
      </w:pPr>
      <w:r>
        <w:rPr>
          <w:rFonts w:ascii="Times New Roman" w:hAnsi="Times New Roman"/>
          <w:b/>
          <w:i w:val="0"/>
          <w:color w:val="000000"/>
          <w:sz w:val="26"/>
        </w:rPr>
        <w:t>6.4. Nghiên cứu các kiến trúc lượng tử lai tiên tiến và chiến lược mã hóa đa dạng</w:t>
      </w:r>
    </w:p>
    <w:p>
      <w:pPr>
        <w:spacing w:after="120" w:line="360" w:lineRule="auto"/>
        <w:jc w:val="both"/>
      </w:pPr>
      <w:r>
        <w:rPr>
          <w:rFonts w:ascii="Times New Roman" w:hAnsi="Times New Roman"/>
          <w:b w:val="0"/>
          <w:i w:val="0"/>
          <w:color w:val="000000"/>
          <w:sz w:val="26"/>
        </w:rPr>
        <w:t>Bên cạnh cơ chế mã hóa góc RY và các ansatz cơ bản, các nghiên cứu tiếp theo có thể khảo sát các chiến lược mã hóa giàu tính biểu đạt hơn như mã hóa Hamiltonian hoặc mã hóa Haar-random (HUAR), kết hợp với các cơ chế chú ý lượng tử (Quantum Attention) hoặc cơ chế đóng mở thích ứng (Adaptive Quantum Gating). Sự kết hợp giữa các cổng lượng tử thích nghi và mạng tích chập cổ điển sâu hứa hẹn sẽ tạo ra những bước đột phá trong việc khai thác thiên kiến quy nạp lượng tử cho các bài toán phân tích hình ảnh phức tạp.</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T.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200"/>
        <w:jc w:val="center"/>
      </w:pPr>
      <w:r>
        <w:rPr>
          <w:rFonts w:ascii="Times New Roman" w:hAnsi="Times New Roman"/>
          <w:b/>
          <w:i/>
          <w:sz w:val="24"/>
        </w:rPr>
        <w:t>Bảng PHỤ LỤC B.2: ROC-AUC theo seed — OCTMNIST (6 cấu hình, đúng nguồn raw JSON)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Seed</w:t>
            </w:r>
          </w:p>
        </w:tc>
        <w:tc>
          <w:tcPr>
            <w:tcW w:type="dxa" w:w="1303"/>
          </w:tcPr>
          <w:p>
            <w:r/>
            <w:r>
              <w:rPr>
                <w:rFonts w:ascii="Times New Roman" w:hAnsi="Times New Roman"/>
                <w:b/>
                <w:sz w:val="20"/>
              </w:rPr>
              <w:t>classical cnn</w:t>
            </w:r>
          </w:p>
        </w:tc>
        <w:tc>
          <w:tcPr>
            <w:tcW w:type="dxa" w:w="1303"/>
          </w:tcPr>
          <w:p>
            <w:r/>
            <w:r>
              <w:rPr>
                <w:rFonts w:ascii="Times New Roman" w:hAnsi="Times New Roman"/>
                <w:b/>
                <w:sz w:val="20"/>
              </w:rPr>
              <w:t>fixed basic</w:t>
            </w:r>
          </w:p>
        </w:tc>
        <w:tc>
          <w:tcPr>
            <w:tcW w:type="dxa" w:w="1303"/>
          </w:tcPr>
          <w:p>
            <w:r/>
            <w:r>
              <w:rPr>
                <w:rFonts w:ascii="Times New Roman" w:hAnsi="Times New Roman"/>
                <w:b/>
                <w:sz w:val="20"/>
              </w:rPr>
              <w:t>trainable basic</w:t>
            </w:r>
          </w:p>
        </w:tc>
        <w:tc>
          <w:tcPr>
            <w:tcW w:type="dxa" w:w="1303"/>
          </w:tcPr>
          <w:p>
            <w:r/>
            <w:r>
              <w:rPr>
                <w:rFonts w:ascii="Times New Roman" w:hAnsi="Times New Roman"/>
                <w:b/>
                <w:sz w:val="20"/>
              </w:rPr>
              <w:t>fixed champion g</w:t>
            </w:r>
          </w:p>
        </w:tc>
        <w:tc>
          <w:tcPr>
            <w:tcW w:type="dxa" w:w="1303"/>
          </w:tcPr>
          <w:p>
            <w:r/>
            <w:r>
              <w:rPr>
                <w:rFonts w:ascii="Times New Roman" w:hAnsi="Times New Roman"/>
                <w:b/>
                <w:sz w:val="20"/>
              </w:rPr>
              <w:t>fixed strongly</w:t>
            </w:r>
          </w:p>
        </w:tc>
        <w:tc>
          <w:tcPr>
            <w:tcW w:type="dxa" w:w="1303"/>
          </w:tcPr>
          <w:p>
            <w:r/>
            <w:r>
              <w:rPr>
                <w:rFonts w:ascii="Times New Roman" w:hAnsi="Times New Roman"/>
                <w:b/>
                <w:sz w:val="20"/>
              </w:rPr>
              <w:t>trainable strong</w:t>
            </w:r>
          </w:p>
        </w:tc>
      </w:tr>
      <w:tr>
        <w:tc>
          <w:tcPr>
            <w:tcW w:type="dxa" w:w="1303"/>
          </w:tcPr>
          <w:p>
            <w:r/>
            <w:r>
              <w:rPr>
                <w:rFonts w:ascii="Times New Roman" w:hAnsi="Times New Roman"/>
                <w:sz w:val="20"/>
              </w:rPr>
              <w:t>0</w:t>
            </w:r>
          </w:p>
        </w:tc>
        <w:tc>
          <w:tcPr>
            <w:tcW w:type="dxa" w:w="1303"/>
          </w:tcPr>
          <w:p>
            <w:r/>
            <w:r>
              <w:rPr>
                <w:rFonts w:ascii="Times New Roman" w:hAnsi="Times New Roman"/>
                <w:sz w:val="20"/>
              </w:rPr>
              <w:t>0.7513</w:t>
            </w:r>
          </w:p>
        </w:tc>
        <w:tc>
          <w:tcPr>
            <w:tcW w:type="dxa" w:w="1303"/>
          </w:tcPr>
          <w:p>
            <w:r/>
            <w:r>
              <w:rPr>
                <w:rFonts w:ascii="Times New Roman" w:hAnsi="Times New Roman"/>
                <w:sz w:val="20"/>
              </w:rPr>
              <w:t>0.6697</w:t>
            </w:r>
          </w:p>
        </w:tc>
        <w:tc>
          <w:tcPr>
            <w:tcW w:type="dxa" w:w="1303"/>
          </w:tcPr>
          <w:p>
            <w:r/>
            <w:r>
              <w:rPr>
                <w:rFonts w:ascii="Times New Roman" w:hAnsi="Times New Roman"/>
                <w:sz w:val="20"/>
              </w:rPr>
              <w:t>0.6705</w:t>
            </w:r>
          </w:p>
        </w:tc>
        <w:tc>
          <w:tcPr>
            <w:tcW w:type="dxa" w:w="1303"/>
          </w:tcPr>
          <w:p>
            <w:r/>
            <w:r>
              <w:rPr>
                <w:rFonts w:ascii="Times New Roman" w:hAnsi="Times New Roman"/>
                <w:sz w:val="20"/>
              </w:rPr>
              <w:t>0.6953</w:t>
            </w:r>
          </w:p>
        </w:tc>
        <w:tc>
          <w:tcPr>
            <w:tcW w:type="dxa" w:w="1303"/>
          </w:tcPr>
          <w:p>
            <w:r/>
            <w:r>
              <w:rPr>
                <w:rFonts w:ascii="Times New Roman" w:hAnsi="Times New Roman"/>
                <w:sz w:val="20"/>
              </w:rPr>
              <w:t>0.6638</w:t>
            </w:r>
          </w:p>
        </w:tc>
        <w:tc>
          <w:tcPr>
            <w:tcW w:type="dxa" w:w="1303"/>
          </w:tcPr>
          <w:p>
            <w:r/>
            <w:r>
              <w:rPr>
                <w:rFonts w:ascii="Times New Roman" w:hAnsi="Times New Roman"/>
                <w:sz w:val="20"/>
              </w:rPr>
              <w:t>0.7214</w:t>
            </w:r>
          </w:p>
        </w:tc>
      </w:tr>
      <w:tr>
        <w:tc>
          <w:tcPr>
            <w:tcW w:type="dxa" w:w="1303"/>
          </w:tcPr>
          <w:p>
            <w:r/>
            <w:r>
              <w:rPr>
                <w:rFonts w:ascii="Times New Roman" w:hAnsi="Times New Roman"/>
                <w:sz w:val="20"/>
              </w:rPr>
              <w:t>42</w:t>
            </w:r>
          </w:p>
        </w:tc>
        <w:tc>
          <w:tcPr>
            <w:tcW w:type="dxa" w:w="1303"/>
          </w:tcPr>
          <w:p>
            <w:r/>
            <w:r>
              <w:rPr>
                <w:rFonts w:ascii="Times New Roman" w:hAnsi="Times New Roman"/>
                <w:sz w:val="20"/>
              </w:rPr>
              <w:t>0.7562</w:t>
            </w:r>
          </w:p>
        </w:tc>
        <w:tc>
          <w:tcPr>
            <w:tcW w:type="dxa" w:w="1303"/>
          </w:tcPr>
          <w:p>
            <w:r/>
            <w:r>
              <w:rPr>
                <w:rFonts w:ascii="Times New Roman" w:hAnsi="Times New Roman"/>
                <w:sz w:val="20"/>
              </w:rPr>
              <w:t>0.6672</w:t>
            </w:r>
          </w:p>
        </w:tc>
        <w:tc>
          <w:tcPr>
            <w:tcW w:type="dxa" w:w="1303"/>
          </w:tcPr>
          <w:p>
            <w:r/>
            <w:r>
              <w:rPr>
                <w:rFonts w:ascii="Times New Roman" w:hAnsi="Times New Roman"/>
                <w:sz w:val="20"/>
              </w:rPr>
              <w:t>0.6497</w:t>
            </w:r>
          </w:p>
        </w:tc>
        <w:tc>
          <w:tcPr>
            <w:tcW w:type="dxa" w:w="1303"/>
          </w:tcPr>
          <w:p>
            <w:r/>
            <w:r>
              <w:rPr>
                <w:rFonts w:ascii="Times New Roman" w:hAnsi="Times New Roman"/>
                <w:sz w:val="20"/>
              </w:rPr>
              <w:t>0.6755</w:t>
            </w:r>
          </w:p>
        </w:tc>
        <w:tc>
          <w:tcPr>
            <w:tcW w:type="dxa" w:w="1303"/>
          </w:tcPr>
          <w:p>
            <w:r/>
            <w:r>
              <w:rPr>
                <w:rFonts w:ascii="Times New Roman" w:hAnsi="Times New Roman"/>
                <w:sz w:val="20"/>
              </w:rPr>
              <w:t>0.6615</w:t>
            </w:r>
          </w:p>
        </w:tc>
        <w:tc>
          <w:tcPr>
            <w:tcW w:type="dxa" w:w="1303"/>
          </w:tcPr>
          <w:p>
            <w:r/>
            <w:r>
              <w:rPr>
                <w:rFonts w:ascii="Times New Roman" w:hAnsi="Times New Roman"/>
                <w:sz w:val="20"/>
              </w:rPr>
              <w:t>0.6768</w:t>
            </w:r>
          </w:p>
        </w:tc>
      </w:tr>
      <w:tr>
        <w:tc>
          <w:tcPr>
            <w:tcW w:type="dxa" w:w="1303"/>
          </w:tcPr>
          <w:p>
            <w:r/>
            <w:r>
              <w:rPr>
                <w:rFonts w:ascii="Times New Roman" w:hAnsi="Times New Roman"/>
                <w:sz w:val="20"/>
              </w:rPr>
              <w:t>100</w:t>
            </w:r>
          </w:p>
        </w:tc>
        <w:tc>
          <w:tcPr>
            <w:tcW w:type="dxa" w:w="1303"/>
          </w:tcPr>
          <w:p>
            <w:r/>
            <w:r>
              <w:rPr>
                <w:rFonts w:ascii="Times New Roman" w:hAnsi="Times New Roman"/>
                <w:sz w:val="20"/>
              </w:rPr>
              <w:t>0.7804</w:t>
            </w:r>
          </w:p>
        </w:tc>
        <w:tc>
          <w:tcPr>
            <w:tcW w:type="dxa" w:w="1303"/>
          </w:tcPr>
          <w:p>
            <w:r/>
            <w:r>
              <w:rPr>
                <w:rFonts w:ascii="Times New Roman" w:hAnsi="Times New Roman"/>
                <w:sz w:val="20"/>
              </w:rPr>
              <w:t>0.6741</w:t>
            </w:r>
          </w:p>
        </w:tc>
        <w:tc>
          <w:tcPr>
            <w:tcW w:type="dxa" w:w="1303"/>
          </w:tcPr>
          <w:p>
            <w:r/>
            <w:r>
              <w:rPr>
                <w:rFonts w:ascii="Times New Roman" w:hAnsi="Times New Roman"/>
                <w:sz w:val="20"/>
              </w:rPr>
              <w:t>0.6755</w:t>
            </w:r>
          </w:p>
        </w:tc>
        <w:tc>
          <w:tcPr>
            <w:tcW w:type="dxa" w:w="1303"/>
          </w:tcPr>
          <w:p>
            <w:r/>
            <w:r>
              <w:rPr>
                <w:rFonts w:ascii="Times New Roman" w:hAnsi="Times New Roman"/>
                <w:sz w:val="20"/>
              </w:rPr>
              <w:t>0.6931</w:t>
            </w:r>
          </w:p>
        </w:tc>
        <w:tc>
          <w:tcPr>
            <w:tcW w:type="dxa" w:w="1303"/>
          </w:tcPr>
          <w:p>
            <w:r/>
            <w:r>
              <w:rPr>
                <w:rFonts w:ascii="Times New Roman" w:hAnsi="Times New Roman"/>
                <w:sz w:val="20"/>
              </w:rPr>
              <w:t>0.6746</w:t>
            </w:r>
          </w:p>
        </w:tc>
        <w:tc>
          <w:tcPr>
            <w:tcW w:type="dxa" w:w="1303"/>
          </w:tcPr>
          <w:p>
            <w:r/>
            <w:r>
              <w:rPr>
                <w:rFonts w:ascii="Times New Roman" w:hAnsi="Times New Roman"/>
                <w:sz w:val="20"/>
              </w:rPr>
              <w:t>0.6907</w:t>
            </w:r>
          </w:p>
        </w:tc>
      </w:tr>
      <w:tr>
        <w:tc>
          <w:tcPr>
            <w:tcW w:type="dxa" w:w="1303"/>
          </w:tcPr>
          <w:p>
            <w:r/>
            <w:r>
              <w:rPr>
                <w:rFonts w:ascii="Times New Roman" w:hAnsi="Times New Roman"/>
                <w:sz w:val="20"/>
              </w:rPr>
              <w:t>2023</w:t>
            </w:r>
          </w:p>
        </w:tc>
        <w:tc>
          <w:tcPr>
            <w:tcW w:type="dxa" w:w="1303"/>
          </w:tcPr>
          <w:p>
            <w:r/>
            <w:r>
              <w:rPr>
                <w:rFonts w:ascii="Times New Roman" w:hAnsi="Times New Roman"/>
                <w:sz w:val="20"/>
              </w:rPr>
              <w:t>0.7133</w:t>
            </w:r>
          </w:p>
        </w:tc>
        <w:tc>
          <w:tcPr>
            <w:tcW w:type="dxa" w:w="1303"/>
          </w:tcPr>
          <w:p>
            <w:r/>
            <w:r>
              <w:rPr>
                <w:rFonts w:ascii="Times New Roman" w:hAnsi="Times New Roman"/>
                <w:sz w:val="20"/>
              </w:rPr>
              <w:t>0.6700</w:t>
            </w:r>
          </w:p>
        </w:tc>
        <w:tc>
          <w:tcPr>
            <w:tcW w:type="dxa" w:w="1303"/>
          </w:tcPr>
          <w:p>
            <w:r/>
            <w:r>
              <w:rPr>
                <w:rFonts w:ascii="Times New Roman" w:hAnsi="Times New Roman"/>
                <w:sz w:val="20"/>
              </w:rPr>
              <w:t>0.6682</w:t>
            </w:r>
          </w:p>
        </w:tc>
        <w:tc>
          <w:tcPr>
            <w:tcW w:type="dxa" w:w="1303"/>
          </w:tcPr>
          <w:p>
            <w:r/>
            <w:r>
              <w:rPr>
                <w:rFonts w:ascii="Times New Roman" w:hAnsi="Times New Roman"/>
                <w:sz w:val="20"/>
              </w:rPr>
              <w:t>0.6980</w:t>
            </w:r>
          </w:p>
        </w:tc>
        <w:tc>
          <w:tcPr>
            <w:tcW w:type="dxa" w:w="1303"/>
          </w:tcPr>
          <w:p>
            <w:r/>
            <w:r>
              <w:rPr>
                <w:rFonts w:ascii="Times New Roman" w:hAnsi="Times New Roman"/>
                <w:sz w:val="20"/>
              </w:rPr>
              <w:t>0.6737</w:t>
            </w:r>
          </w:p>
        </w:tc>
        <w:tc>
          <w:tcPr>
            <w:tcW w:type="dxa" w:w="1303"/>
          </w:tcPr>
          <w:p>
            <w:r/>
            <w:r>
              <w:rPr>
                <w:rFonts w:ascii="Times New Roman" w:hAnsi="Times New Roman"/>
                <w:sz w:val="20"/>
              </w:rPr>
              <w:t>0.6615</w:t>
            </w:r>
          </w:p>
        </w:tc>
      </w:tr>
      <w:tr>
        <w:tc>
          <w:tcPr>
            <w:tcW w:type="dxa" w:w="1303"/>
          </w:tcPr>
          <w:p>
            <w:r/>
            <w:r>
              <w:rPr>
                <w:rFonts w:ascii="Times New Roman" w:hAnsi="Times New Roman"/>
                <w:sz w:val="20"/>
              </w:rPr>
              <w:t>777</w:t>
            </w:r>
          </w:p>
        </w:tc>
        <w:tc>
          <w:tcPr>
            <w:tcW w:type="dxa" w:w="1303"/>
          </w:tcPr>
          <w:p>
            <w:r/>
            <w:r>
              <w:rPr>
                <w:rFonts w:ascii="Times New Roman" w:hAnsi="Times New Roman"/>
                <w:sz w:val="20"/>
              </w:rPr>
              <w:t>0.7650</w:t>
            </w:r>
          </w:p>
        </w:tc>
        <w:tc>
          <w:tcPr>
            <w:tcW w:type="dxa" w:w="1303"/>
          </w:tcPr>
          <w:p>
            <w:r/>
            <w:r>
              <w:rPr>
                <w:rFonts w:ascii="Times New Roman" w:hAnsi="Times New Roman"/>
                <w:sz w:val="20"/>
              </w:rPr>
              <w:t>0.6675</w:t>
            </w:r>
          </w:p>
        </w:tc>
        <w:tc>
          <w:tcPr>
            <w:tcW w:type="dxa" w:w="1303"/>
          </w:tcPr>
          <w:p>
            <w:r/>
            <w:r>
              <w:rPr>
                <w:rFonts w:ascii="Times New Roman" w:hAnsi="Times New Roman"/>
                <w:sz w:val="20"/>
              </w:rPr>
              <w:t>0.6755</w:t>
            </w:r>
          </w:p>
        </w:tc>
        <w:tc>
          <w:tcPr>
            <w:tcW w:type="dxa" w:w="1303"/>
          </w:tcPr>
          <w:p>
            <w:r/>
            <w:r>
              <w:rPr>
                <w:rFonts w:ascii="Times New Roman" w:hAnsi="Times New Roman"/>
                <w:sz w:val="20"/>
              </w:rPr>
              <w:t>0.6989</w:t>
            </w:r>
          </w:p>
        </w:tc>
        <w:tc>
          <w:tcPr>
            <w:tcW w:type="dxa" w:w="1303"/>
          </w:tcPr>
          <w:p>
            <w:r/>
            <w:r>
              <w:rPr>
                <w:rFonts w:ascii="Times New Roman" w:hAnsi="Times New Roman"/>
                <w:sz w:val="20"/>
              </w:rPr>
              <w:t>0.6695</w:t>
            </w:r>
          </w:p>
        </w:tc>
        <w:tc>
          <w:tcPr>
            <w:tcW w:type="dxa" w:w="1303"/>
          </w:tcPr>
          <w:p>
            <w:r/>
            <w:r>
              <w:rPr>
                <w:rFonts w:ascii="Times New Roman" w:hAnsi="Times New Roman"/>
                <w:sz w:val="20"/>
              </w:rPr>
              <w:t>0.6644</w:t>
            </w:r>
          </w:p>
        </w:tc>
      </w:tr>
      <w:tr>
        <w:tc>
          <w:tcPr>
            <w:tcW w:type="dxa" w:w="1303"/>
          </w:tcPr>
          <w:p>
            <w:r/>
            <w:r>
              <w:rPr>
                <w:rFonts w:ascii="Times New Roman" w:hAnsi="Times New Roman"/>
                <w:sz w:val="20"/>
              </w:rPr>
              <w:t>999</w:t>
            </w:r>
          </w:p>
        </w:tc>
        <w:tc>
          <w:tcPr>
            <w:tcW w:type="dxa" w:w="1303"/>
          </w:tcPr>
          <w:p>
            <w:r/>
            <w:r>
              <w:rPr>
                <w:rFonts w:ascii="Times New Roman" w:hAnsi="Times New Roman"/>
                <w:sz w:val="20"/>
              </w:rPr>
              <w:t>0.7479</w:t>
            </w:r>
          </w:p>
        </w:tc>
        <w:tc>
          <w:tcPr>
            <w:tcW w:type="dxa" w:w="1303"/>
          </w:tcPr>
          <w:p>
            <w:r/>
            <w:r>
              <w:rPr>
                <w:rFonts w:ascii="Times New Roman" w:hAnsi="Times New Roman"/>
                <w:sz w:val="20"/>
              </w:rPr>
              <w:t>0.6643</w:t>
            </w:r>
          </w:p>
        </w:tc>
        <w:tc>
          <w:tcPr>
            <w:tcW w:type="dxa" w:w="1303"/>
          </w:tcPr>
          <w:p>
            <w:r/>
            <w:r>
              <w:rPr>
                <w:rFonts w:ascii="Times New Roman" w:hAnsi="Times New Roman"/>
                <w:sz w:val="20"/>
              </w:rPr>
              <w:t>0.6676</w:t>
            </w:r>
          </w:p>
        </w:tc>
        <w:tc>
          <w:tcPr>
            <w:tcW w:type="dxa" w:w="1303"/>
          </w:tcPr>
          <w:p>
            <w:r/>
            <w:r>
              <w:rPr>
                <w:rFonts w:ascii="Times New Roman" w:hAnsi="Times New Roman"/>
                <w:sz w:val="20"/>
              </w:rPr>
              <w:t>0.6916</w:t>
            </w:r>
          </w:p>
        </w:tc>
        <w:tc>
          <w:tcPr>
            <w:tcW w:type="dxa" w:w="1303"/>
          </w:tcPr>
          <w:p>
            <w:r/>
            <w:r>
              <w:rPr>
                <w:rFonts w:ascii="Times New Roman" w:hAnsi="Times New Roman"/>
                <w:sz w:val="20"/>
              </w:rPr>
              <w:t>0.6666</w:t>
            </w:r>
          </w:p>
        </w:tc>
        <w:tc>
          <w:tcPr>
            <w:tcW w:type="dxa" w:w="1303"/>
          </w:tcPr>
          <w:p>
            <w:r/>
            <w:r>
              <w:rPr>
                <w:rFonts w:ascii="Times New Roman" w:hAnsi="Times New Roman"/>
                <w:sz w:val="20"/>
              </w:rPr>
              <w:t>0.6928</w:t>
            </w:r>
          </w:p>
        </w:tc>
      </w:tr>
      <w:tr>
        <w:tc>
          <w:tcPr>
            <w:tcW w:type="dxa" w:w="1303"/>
          </w:tcPr>
          <w:p>
            <w:r/>
            <w:r>
              <w:rPr>
                <w:rFonts w:ascii="Times New Roman" w:hAnsi="Times New Roman"/>
                <w:sz w:val="20"/>
              </w:rPr>
              <w:t>1234</w:t>
            </w:r>
          </w:p>
        </w:tc>
        <w:tc>
          <w:tcPr>
            <w:tcW w:type="dxa" w:w="1303"/>
          </w:tcPr>
          <w:p>
            <w:r/>
            <w:r>
              <w:rPr>
                <w:rFonts w:ascii="Times New Roman" w:hAnsi="Times New Roman"/>
                <w:sz w:val="20"/>
              </w:rPr>
              <w:t>0.7510</w:t>
            </w:r>
          </w:p>
        </w:tc>
        <w:tc>
          <w:tcPr>
            <w:tcW w:type="dxa" w:w="1303"/>
          </w:tcPr>
          <w:p>
            <w:r/>
            <w:r>
              <w:rPr>
                <w:rFonts w:ascii="Times New Roman" w:hAnsi="Times New Roman"/>
                <w:sz w:val="20"/>
              </w:rPr>
              <w:t>0.6746</w:t>
            </w:r>
          </w:p>
        </w:tc>
        <w:tc>
          <w:tcPr>
            <w:tcW w:type="dxa" w:w="1303"/>
          </w:tcPr>
          <w:p>
            <w:r/>
            <w:r>
              <w:rPr>
                <w:rFonts w:ascii="Times New Roman" w:hAnsi="Times New Roman"/>
                <w:sz w:val="20"/>
              </w:rPr>
              <w:t>0.6893</w:t>
            </w:r>
          </w:p>
        </w:tc>
        <w:tc>
          <w:tcPr>
            <w:tcW w:type="dxa" w:w="1303"/>
          </w:tcPr>
          <w:p>
            <w:r/>
            <w:r>
              <w:rPr>
                <w:rFonts w:ascii="Times New Roman" w:hAnsi="Times New Roman"/>
                <w:sz w:val="20"/>
              </w:rPr>
              <w:t>0.6924</w:t>
            </w:r>
          </w:p>
        </w:tc>
        <w:tc>
          <w:tcPr>
            <w:tcW w:type="dxa" w:w="1303"/>
          </w:tcPr>
          <w:p>
            <w:r/>
            <w:r>
              <w:rPr>
                <w:rFonts w:ascii="Times New Roman" w:hAnsi="Times New Roman"/>
                <w:sz w:val="20"/>
              </w:rPr>
              <w:t>0.6623</w:t>
            </w:r>
          </w:p>
        </w:tc>
        <w:tc>
          <w:tcPr>
            <w:tcW w:type="dxa" w:w="1303"/>
          </w:tcPr>
          <w:p>
            <w:r/>
            <w:r>
              <w:rPr>
                <w:rFonts w:ascii="Times New Roman" w:hAnsi="Times New Roman"/>
                <w:sz w:val="20"/>
              </w:rPr>
              <w:t>0.7150</w:t>
            </w:r>
          </w:p>
        </w:tc>
      </w:tr>
      <w:tr>
        <w:tc>
          <w:tcPr>
            <w:tcW w:type="dxa" w:w="1303"/>
          </w:tcPr>
          <w:p>
            <w:r/>
            <w:r>
              <w:rPr>
                <w:rFonts w:ascii="Times New Roman" w:hAnsi="Times New Roman"/>
                <w:sz w:val="20"/>
              </w:rPr>
              <w:t>5678</w:t>
            </w:r>
          </w:p>
        </w:tc>
        <w:tc>
          <w:tcPr>
            <w:tcW w:type="dxa" w:w="1303"/>
          </w:tcPr>
          <w:p>
            <w:r/>
            <w:r>
              <w:rPr>
                <w:rFonts w:ascii="Times New Roman" w:hAnsi="Times New Roman"/>
                <w:sz w:val="20"/>
              </w:rPr>
              <w:t>0.7091</w:t>
            </w:r>
          </w:p>
        </w:tc>
        <w:tc>
          <w:tcPr>
            <w:tcW w:type="dxa" w:w="1303"/>
          </w:tcPr>
          <w:p>
            <w:r/>
            <w:r>
              <w:rPr>
                <w:rFonts w:ascii="Times New Roman" w:hAnsi="Times New Roman"/>
                <w:sz w:val="20"/>
              </w:rPr>
              <w:t>0.6713</w:t>
            </w:r>
          </w:p>
        </w:tc>
        <w:tc>
          <w:tcPr>
            <w:tcW w:type="dxa" w:w="1303"/>
          </w:tcPr>
          <w:p>
            <w:r/>
            <w:r>
              <w:rPr>
                <w:rFonts w:ascii="Times New Roman" w:hAnsi="Times New Roman"/>
                <w:sz w:val="20"/>
              </w:rPr>
              <w:t>0.6758</w:t>
            </w:r>
          </w:p>
        </w:tc>
        <w:tc>
          <w:tcPr>
            <w:tcW w:type="dxa" w:w="1303"/>
          </w:tcPr>
          <w:p>
            <w:r/>
            <w:r>
              <w:rPr>
                <w:rFonts w:ascii="Times New Roman" w:hAnsi="Times New Roman"/>
                <w:sz w:val="20"/>
              </w:rPr>
              <w:t>0.6829</w:t>
            </w:r>
          </w:p>
        </w:tc>
        <w:tc>
          <w:tcPr>
            <w:tcW w:type="dxa" w:w="1303"/>
          </w:tcPr>
          <w:p>
            <w:r/>
            <w:r>
              <w:rPr>
                <w:rFonts w:ascii="Times New Roman" w:hAnsi="Times New Roman"/>
                <w:sz w:val="20"/>
              </w:rPr>
              <w:t>0.6726</w:t>
            </w:r>
          </w:p>
        </w:tc>
        <w:tc>
          <w:tcPr>
            <w:tcW w:type="dxa" w:w="1303"/>
          </w:tcPr>
          <w:p>
            <w:r/>
            <w:r>
              <w:rPr>
                <w:rFonts w:ascii="Times New Roman" w:hAnsi="Times New Roman"/>
                <w:sz w:val="20"/>
              </w:rPr>
              <w:t>0.6932</w:t>
            </w:r>
          </w:p>
        </w:tc>
      </w:tr>
      <w:tr>
        <w:tc>
          <w:tcPr>
            <w:tcW w:type="dxa" w:w="1303"/>
          </w:tcPr>
          <w:p>
            <w:r/>
            <w:r>
              <w:rPr>
                <w:rFonts w:ascii="Times New Roman" w:hAnsi="Times New Roman"/>
                <w:sz w:val="20"/>
              </w:rPr>
              <w:t>1111</w:t>
            </w:r>
          </w:p>
        </w:tc>
        <w:tc>
          <w:tcPr>
            <w:tcW w:type="dxa" w:w="1303"/>
          </w:tcPr>
          <w:p>
            <w:r/>
            <w:r>
              <w:rPr>
                <w:rFonts w:ascii="Times New Roman" w:hAnsi="Times New Roman"/>
                <w:sz w:val="20"/>
              </w:rPr>
              <w:t>0.7809</w:t>
            </w:r>
          </w:p>
        </w:tc>
        <w:tc>
          <w:tcPr>
            <w:tcW w:type="dxa" w:w="1303"/>
          </w:tcPr>
          <w:p>
            <w:r/>
            <w:r>
              <w:rPr>
                <w:rFonts w:ascii="Times New Roman" w:hAnsi="Times New Roman"/>
                <w:sz w:val="20"/>
              </w:rPr>
              <w:t>0.6738</w:t>
            </w:r>
          </w:p>
        </w:tc>
        <w:tc>
          <w:tcPr>
            <w:tcW w:type="dxa" w:w="1303"/>
          </w:tcPr>
          <w:p>
            <w:r/>
            <w:r>
              <w:rPr>
                <w:rFonts w:ascii="Times New Roman" w:hAnsi="Times New Roman"/>
                <w:sz w:val="20"/>
              </w:rPr>
              <w:t>0.6730</w:t>
            </w:r>
          </w:p>
        </w:tc>
        <w:tc>
          <w:tcPr>
            <w:tcW w:type="dxa" w:w="1303"/>
          </w:tcPr>
          <w:p>
            <w:r/>
            <w:r>
              <w:rPr>
                <w:rFonts w:ascii="Times New Roman" w:hAnsi="Times New Roman"/>
                <w:sz w:val="20"/>
              </w:rPr>
              <w:t>0.6936</w:t>
            </w:r>
          </w:p>
        </w:tc>
        <w:tc>
          <w:tcPr>
            <w:tcW w:type="dxa" w:w="1303"/>
          </w:tcPr>
          <w:p>
            <w:r/>
            <w:r>
              <w:rPr>
                <w:rFonts w:ascii="Times New Roman" w:hAnsi="Times New Roman"/>
                <w:sz w:val="20"/>
              </w:rPr>
              <w:t>0.6676</w:t>
            </w:r>
          </w:p>
        </w:tc>
        <w:tc>
          <w:tcPr>
            <w:tcW w:type="dxa" w:w="1303"/>
          </w:tcPr>
          <w:p>
            <w:r/>
            <w:r>
              <w:rPr>
                <w:rFonts w:ascii="Times New Roman" w:hAnsi="Times New Roman"/>
                <w:sz w:val="20"/>
              </w:rPr>
              <w:t>0.7036</w:t>
            </w:r>
          </w:p>
        </w:tc>
      </w:tr>
      <w:tr>
        <w:tc>
          <w:tcPr>
            <w:tcW w:type="dxa" w:w="1303"/>
          </w:tcPr>
          <w:p>
            <w:r/>
            <w:r>
              <w:rPr>
                <w:rFonts w:ascii="Times New Roman" w:hAnsi="Times New Roman"/>
                <w:sz w:val="20"/>
              </w:rPr>
              <w:t>2222</w:t>
            </w:r>
          </w:p>
        </w:tc>
        <w:tc>
          <w:tcPr>
            <w:tcW w:type="dxa" w:w="1303"/>
          </w:tcPr>
          <w:p>
            <w:r/>
            <w:r>
              <w:rPr>
                <w:rFonts w:ascii="Times New Roman" w:hAnsi="Times New Roman"/>
                <w:sz w:val="20"/>
              </w:rPr>
              <w:t>0.7495</w:t>
            </w:r>
          </w:p>
        </w:tc>
        <w:tc>
          <w:tcPr>
            <w:tcW w:type="dxa" w:w="1303"/>
          </w:tcPr>
          <w:p>
            <w:r/>
            <w:r>
              <w:rPr>
                <w:rFonts w:ascii="Times New Roman" w:hAnsi="Times New Roman"/>
                <w:sz w:val="20"/>
              </w:rPr>
              <w:t>0.6784</w:t>
            </w:r>
          </w:p>
        </w:tc>
        <w:tc>
          <w:tcPr>
            <w:tcW w:type="dxa" w:w="1303"/>
          </w:tcPr>
          <w:p>
            <w:r/>
            <w:r>
              <w:rPr>
                <w:rFonts w:ascii="Times New Roman" w:hAnsi="Times New Roman"/>
                <w:sz w:val="20"/>
              </w:rPr>
              <w:t>0.6590</w:t>
            </w:r>
          </w:p>
        </w:tc>
        <w:tc>
          <w:tcPr>
            <w:tcW w:type="dxa" w:w="1303"/>
          </w:tcPr>
          <w:p>
            <w:r/>
            <w:r>
              <w:rPr>
                <w:rFonts w:ascii="Times New Roman" w:hAnsi="Times New Roman"/>
                <w:sz w:val="20"/>
              </w:rPr>
              <w:t>0.6909</w:t>
            </w:r>
          </w:p>
        </w:tc>
        <w:tc>
          <w:tcPr>
            <w:tcW w:type="dxa" w:w="1303"/>
          </w:tcPr>
          <w:p>
            <w:r/>
            <w:r>
              <w:rPr>
                <w:rFonts w:ascii="Times New Roman" w:hAnsi="Times New Roman"/>
                <w:sz w:val="20"/>
              </w:rPr>
              <w:t>0.6775</w:t>
            </w:r>
          </w:p>
        </w:tc>
        <w:tc>
          <w:tcPr>
            <w:tcW w:type="dxa" w:w="1303"/>
          </w:tcPr>
          <w:p>
            <w:r/>
            <w:r>
              <w:rPr>
                <w:rFonts w:ascii="Times New Roman" w:hAnsi="Times New Roman"/>
                <w:sz w:val="20"/>
              </w:rPr>
              <w:t>0.7027</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p>
      <w:pPr>
        <w:spacing w:after="120"/>
        <w:jc w:val="left"/>
      </w:pPr>
      <w:r>
        <w:rPr>
          <w:rFonts w:ascii="Times New Roman" w:hAnsi="Times New Roman"/>
          <w:b/>
          <w:i w:val="0"/>
          <w:sz w:val="26"/>
        </w:rPr>
        <w:t>Phụ lục D. Hồ sơ hệ thống demo bảo vệ</w:t>
      </w:r>
    </w:p>
    <w:p>
      <w:pPr>
        <w:spacing w:after="120"/>
        <w:jc w:val="both"/>
      </w:pPr>
      <w:r>
        <w:rPr>
          <w:rFonts w:ascii="Times New Roman" w:hAnsi="Times New Roman"/>
          <w:b w:val="0"/>
          <w:i w:val="0"/>
          <w:sz w:val="26"/>
        </w:rPr>
        <w:t>Demo chạy live: notebook gd4_defense_demo.ipynb — nạp một ảnh siêu âm vú từ test set, trích xuất feature map LIVE bằng ba mạch basic_L2/strongly_L2/random_L2, huấn luyện head đối xứng ngay trong notebook (20 epochs, ~1.3 giây trên feature precompute), dự đoán kèm xác suất và so sánh chi phí suy luận. Ảnh demo được chọn công khai theo tiêu chí in trong notebook: trường hợp ác tính được phân loại đúng với xác suất cao nhất (idx 6, p = 0.884). Tính nhất quán feature LIVE so với precompute: sai lệch tối đa 1.47×10⁻⁸. Video dự phòng không lời kèm phụ đề tiếng Việt (demo_defense_backup.mp4, 104 giây) render từ cùng pipeline; script render_demo_video.py tái tạo video khi demo thay đổi.</w:t>
      </w:r>
    </w:p>
    <w:sectPr w:rsidR="00FC693F" w:rsidRPr="0006063C" w:rsidSect="00034616">
      <w:footerReference w:type="default" r:id="rId9"/>
      <w:pgSz w:w="12240" w:h="15840"/>
      <w:pgMar w:top="1701" w:right="1134" w:bottom="1984"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