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KỸ SƯ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TS. Nguyen Duy Xuan Bach</w:t>
      </w:r>
    </w:p>
    <w:p>
      <w:pPr>
        <w:spacing w:after="120"/>
        <w:jc w:val="center"/>
      </w:pPr>
      <w:r>
        <w:rPr>
          <w:rFonts w:ascii="Times New Roman" w:hAnsi="Times New Roman"/>
          <w:b/>
          <w:i w:val="0"/>
          <w:sz w:val="28"/>
        </w:rPr>
        <w:t>TP. HỒ CHÍ MINH, 2026</w:t>
      </w:r>
    </w:p>
    <w:p>
      <w:pPr>
        <w:spacing w:after="120"/>
        <w:jc w:val="both"/>
      </w:pPr>
      <w:r>
        <w:rPr>
          <w:rFonts w:ascii="Times New Roman" w:hAnsi="Times New Roman"/>
          <w:b w:val="0"/>
          <w:i w:val="0"/>
          <w:sz w:val="26"/>
        </w:rPr>
      </w:r>
    </w:p>
    <w:p>
      <w:pPr>
        <w:spacing w:after="120"/>
        <w:jc w:val="both"/>
      </w:pPr>
      <w:r>
        <w:rPr>
          <w:rFonts w:ascii="Times New Roman" w:hAnsi="Times New Roman"/>
          <w:b w:val="0"/>
          <w:i/>
          <w:sz w:val="24"/>
        </w:rPr>
        <w:t>Chữ ký xác nhận của Cán bộ phản biện (CBPB) sau bảo vệ — theo yêu cầu chỉnh sửa của Hội đồng:</w:t>
      </w:r>
    </w:p>
    <w:p>
      <w:pPr>
        <w:spacing w:after="120"/>
        <w:jc w:val="right"/>
      </w:pPr>
      <w:r>
        <w:rPr>
          <w:rFonts w:ascii="Times New Roman" w:hAnsi="Times New Roman"/>
          <w:b w:val="0"/>
          <w:i w:val="0"/>
          <w:sz w:val="26"/>
        </w:rPr>
        <w:t>………………………………………</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TS. Nguyen Duy Xuan Bach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các cặp so sánh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pPr>
        <w:sectPr>
          <w:pgSz w:w="12240" w:h="15840"/>
          <w:pgMar w:top="1701" w:right="1134" w:bottom="1984" w:left="1984" w:header="720" w:footer="720" w:gutter="0"/>
          <w:cols w:space="720"/>
          <w:docGrid w:linePitch="360"/>
        </w:sectPr>
      </w:pP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jc w:val="both"/>
      </w:pPr>
      <w:r>
        <w:rPr>
          <w:rFonts w:ascii="Times New Roman" w:hAnsi="Times New Roman"/>
          <w:b w:val="0"/>
          <w:i w:val="0"/>
          <w:sz w:val="26"/>
        </w:rPr>
        <w:t>Luận văn gồm sáu chương. Chương 2 trình bày tổng quan lý thuyết và các công trình liên quan. Chương 3 mô tả phương pháp: kiến trúc đối xứng, các biến thể ansatz, hồ sơ thiết kế phần mềm và kiểm chứng đạo hàm. Chương 4 trình bày thiết lập thí nghiệm, kết quả trên hai dataset, động học tối ưu, ablation và chi phí tính toán. Chương 5 thảo luận và kết luận. Chương 6 nêu hướng phát triển.</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i w:val="0"/>
          <w:sz w:val="26"/>
        </w:rPr>
        <w:t>2.5. Các nghiên cứu liên quan trên dữ liệu y tế</w:t>
      </w:r>
    </w:p>
    <w:p>
      <w:pPr>
        <w:spacing w:after="120"/>
        <w:jc w:val="both"/>
      </w:pPr>
      <w:r>
        <w:rPr>
          <w:rFonts w:ascii="Times New Roman" w:hAnsi="Times New Roman"/>
          <w:b w:val="0"/>
          <w:i w:val="0"/>
          <w:sz w:val="26"/>
        </w:rPr>
        <w:t>Azevedo et al. [2] ứng dụng quantum transfer learning với backbone ResNet18 trên ảnh mammography BCDR cho phát hiện ung thư vú. Matondo-Mvula và Elleithy [13] thử nghiệm quanvolution 9-qubit với kernel 3×3 trên chính BreastMNIST nhưng chỉ chạy đơn lẻ không seed, hạ độ phân giải xuống 14×14, và không có baseline đối xứng. Vu et al. [18] khảo sát ảnh hưởng của các thành phần feature trong quanvolution cho phân loại ảnh tổng quát. Hoang et al. [9] đề xuất lớp truyền đặc trưng (feature propagation) cho HQCNN đa lớp. Altares-López et al. [1] tự động thiết kế quantum feature maps bằng thuật toán di truyền. Tổng hợp các công trình cho thấy ba giới hạn lặp lại: thiếu baseline đối xứng tham số (L1), thiếu đa seed và kiểm định thống kê (L2), và chưa có nghiên cứu nào đối chiếu trực tiếp mạch tĩnh với mạch tự học trong cùng một thiết lập (L3).</w:t>
      </w:r>
    </w:p>
    <w:p>
      <w:pPr>
        <w:spacing w:after="120"/>
        <w:jc w:val="left"/>
      </w:pPr>
      <w:r>
        <w:rPr>
          <w:rFonts w:ascii="Times New Roman" w:hAnsi="Times New Roman"/>
          <w:b/>
          <w:i w:val="0"/>
          <w:sz w:val="26"/>
        </w:rPr>
        <w:t>2.6.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10"/>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tác giả tổng hợp từ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 Hình 3.2 so sánh trực quan feature map tạo bởi tích chập cổ điển và bởi phép đo kỳ vọng lượng tử trên cùng một ảnh.</w:t>
      </w:r>
    </w:p>
    <w:p>
      <w:pPr>
        <w:jc w:val="center"/>
      </w:pPr>
      <w:r>
        <w:drawing>
          <wp:inline xmlns:a="http://schemas.openxmlformats.org/drawingml/2006/main" xmlns:pic="http://schemas.openxmlformats.org/drawingml/2006/picture">
            <wp:extent cx="5580000" cy="1598291"/>
            <wp:docPr id="2" name="Picture 2"/>
            <wp:cNvGraphicFramePr>
              <a:graphicFrameLocks noChangeAspect="1"/>
            </wp:cNvGraphicFramePr>
            <a:graphic>
              <a:graphicData uri="http://schemas.openxmlformats.org/drawingml/2006/picture">
                <pic:pic>
                  <pic:nvPicPr>
                    <pic:cNvPr id="0" name="Fig2_feature_comparison.png"/>
                    <pic:cNvPicPr/>
                  </pic:nvPicPr>
                  <pic:blipFill>
                    <a:blip r:embed="rId11"/>
                    <a:stretch>
                      <a:fillRect/>
                    </a:stretch>
                  </pic:blipFill>
                  <pic:spPr>
                    <a:xfrm>
                      <a:off x="0" y="0"/>
                      <a:ext cx="5580000" cy="1598291"/>
                    </a:xfrm>
                    <a:prstGeom prst="rect"/>
                  </pic:spPr>
                </pic:pic>
              </a:graphicData>
            </a:graphic>
          </wp:inline>
        </w:drawing>
      </w:r>
    </w:p>
    <w:p>
      <w:pPr>
        <w:spacing w:after="200"/>
        <w:jc w:val="center"/>
      </w:pPr>
      <w:r>
        <w:rPr>
          <w:rFonts w:ascii="Times New Roman" w:hAnsi="Times New Roman"/>
          <w:b/>
          <w:i/>
          <w:sz w:val="24"/>
        </w:rPr>
        <w:t>Hình 3.2: So sánh feature map — tích chập cổ điển và expectation value lượng tử (Nguồn: tác giả tổng hợp từ kết quả thực nghiệm đề tài)</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tóm tắt tại Bảng 3.1:</w:t>
      </w:r>
    </w:p>
    <w:p>
      <w:pPr>
        <w:spacing w:after="200"/>
        <w:jc w:val="center"/>
      </w:pPr>
      <w:r>
        <w:rPr>
          <w:rFonts w:ascii="Times New Roman" w:hAnsi="Times New Roman"/>
          <w:b/>
          <w:i/>
          <w:sz w:val="24"/>
        </w:rPr>
        <w:t>Bảng 3.1: Ba họ ansatz và số tham số tương ứng (N_q = 4)</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Họ ansatz</w:t>
            </w:r>
          </w:p>
        </w:tc>
        <w:tc>
          <w:tcPr>
            <w:tcW w:type="dxa" w:w="1824"/>
          </w:tcPr>
          <w:p>
            <w:r/>
            <w:r>
              <w:rPr>
                <w:rFonts w:ascii="Times New Roman" w:hAnsi="Times New Roman"/>
                <w:b/>
                <w:sz w:val="22"/>
              </w:rPr>
              <w:t>Cổng quay</w:t>
            </w:r>
          </w:p>
        </w:tc>
        <w:tc>
          <w:tcPr>
            <w:tcW w:type="dxa" w:w="1824"/>
          </w:tcPr>
          <w:p>
            <w:r/>
            <w:r>
              <w:rPr>
                <w:rFonts w:ascii="Times New Roman" w:hAnsi="Times New Roman"/>
                <w:b/>
                <w:sz w:val="22"/>
              </w:rPr>
              <w:t>Lớp rối (entangling)</w:t>
            </w:r>
          </w:p>
        </w:tc>
        <w:tc>
          <w:tcPr>
            <w:tcW w:type="dxa" w:w="1824"/>
          </w:tcPr>
          <w:p>
            <w:r/>
            <w:r>
              <w:rPr>
                <w:rFonts w:ascii="Times New Roman" w:hAnsi="Times New Roman"/>
                <w:b/>
                <w:sz w:val="22"/>
              </w:rPr>
              <w:t>Tham số/tầng</w:t>
            </w:r>
          </w:p>
        </w:tc>
        <w:tc>
          <w:tcPr>
            <w:tcW w:type="dxa" w:w="1824"/>
          </w:tcPr>
          <w:p>
            <w:r/>
            <w:r>
              <w:rPr>
                <w:rFonts w:ascii="Times New Roman" w:hAnsi="Times New Roman"/>
                <w:b/>
                <w:sz w:val="22"/>
              </w:rPr>
              <w:t>Tham số (L=2 / L=1)</w:t>
            </w:r>
          </w:p>
        </w:tc>
      </w:tr>
      <w:tr>
        <w:tc>
          <w:tcPr>
            <w:tcW w:type="dxa" w:w="1824"/>
          </w:tcPr>
          <w:p>
            <w:r/>
            <w:r>
              <w:rPr>
                <w:rFonts w:ascii="Times New Roman" w:hAnsi="Times New Roman"/>
                <w:sz w:val="22"/>
              </w:rPr>
              <w:t>Basic Entangling</w:t>
            </w:r>
          </w:p>
        </w:tc>
        <w:tc>
          <w:tcPr>
            <w:tcW w:type="dxa" w:w="1824"/>
          </w:tcPr>
          <w:p>
            <w:r/>
            <w:r>
              <w:rPr>
                <w:rFonts w:ascii="Times New Roman" w:hAnsi="Times New Roman"/>
                <w:sz w:val="22"/>
              </w:rPr>
              <w:t>R_Y(θ_i) — 1 trục</w:t>
            </w:r>
          </w:p>
        </w:tc>
        <w:tc>
          <w:tcPr>
            <w:tcW w:type="dxa" w:w="1824"/>
          </w:tcPr>
          <w:p>
            <w:r/>
            <w:r>
              <w:rPr>
                <w:rFonts w:ascii="Times New Roman" w:hAnsi="Times New Roman"/>
                <w:sz w:val="22"/>
              </w:rPr>
              <w:t>CNOT vòng q0→q1→q2→q3→q0</w:t>
            </w:r>
          </w:p>
        </w:tc>
        <w:tc>
          <w:tcPr>
            <w:tcW w:type="dxa" w:w="1824"/>
          </w:tcPr>
          <w:p>
            <w:r/>
            <w:r>
              <w:rPr>
                <w:rFonts w:ascii="Times New Roman" w:hAnsi="Times New Roman"/>
                <w:sz w:val="22"/>
              </w:rPr>
              <w:t>4L</w:t>
            </w:r>
          </w:p>
        </w:tc>
        <w:tc>
          <w:tcPr>
            <w:tcW w:type="dxa" w:w="1824"/>
          </w:tcPr>
          <w:p>
            <w:r/>
            <w:r>
              <w:rPr>
                <w:rFonts w:ascii="Times New Roman" w:hAnsi="Times New Roman"/>
                <w:sz w:val="22"/>
              </w:rPr>
              <w:t>8 / 4</w:t>
            </w:r>
          </w:p>
        </w:tc>
      </w:tr>
      <w:tr>
        <w:tc>
          <w:tcPr>
            <w:tcW w:type="dxa" w:w="1824"/>
          </w:tcPr>
          <w:p>
            <w:r/>
            <w:r>
              <w:rPr>
                <w:rFonts w:ascii="Times New Roman" w:hAnsi="Times New Roman"/>
                <w:sz w:val="22"/>
              </w:rPr>
              <w:t>Strongly Entangling</w:t>
            </w:r>
          </w:p>
        </w:tc>
        <w:tc>
          <w:tcPr>
            <w:tcW w:type="dxa" w:w="1824"/>
          </w:tcPr>
          <w:p>
            <w:r/>
            <w:r>
              <w:rPr>
                <w:rFonts w:ascii="Times New Roman" w:hAnsi="Times New Roman"/>
                <w:sz w:val="22"/>
              </w:rPr>
              <w:t>U₃ = R_Z(ω)R_Y(θ)R_Z(φ) — 3 trục</w:t>
            </w:r>
          </w:p>
        </w:tc>
        <w:tc>
          <w:tcPr>
            <w:tcW w:type="dxa" w:w="1824"/>
          </w:tcPr>
          <w:p>
            <w:r/>
            <w:r>
              <w:rPr>
                <w:rFonts w:ascii="Times New Roman" w:hAnsi="Times New Roman"/>
                <w:sz w:val="22"/>
              </w:rPr>
              <w:t>Rối tuần hoàn các cặp qubit</w:t>
            </w:r>
          </w:p>
        </w:tc>
        <w:tc>
          <w:tcPr>
            <w:tcW w:type="dxa" w:w="1824"/>
          </w:tcPr>
          <w:p>
            <w:r/>
            <w:r>
              <w:rPr>
                <w:rFonts w:ascii="Times New Roman" w:hAnsi="Times New Roman"/>
                <w:sz w:val="22"/>
              </w:rPr>
              <w:t>12L</w:t>
            </w:r>
          </w:p>
        </w:tc>
        <w:tc>
          <w:tcPr>
            <w:tcW w:type="dxa" w:w="1824"/>
          </w:tcPr>
          <w:p>
            <w:r/>
            <w:r>
              <w:rPr>
                <w:rFonts w:ascii="Times New Roman" w:hAnsi="Times New Roman"/>
                <w:sz w:val="22"/>
              </w:rPr>
              <w:t>24 / 12</w:t>
            </w:r>
          </w:p>
        </w:tc>
      </w:tr>
      <w:tr>
        <w:tc>
          <w:tcPr>
            <w:tcW w:type="dxa" w:w="1824"/>
          </w:tcPr>
          <w:p>
            <w:r/>
            <w:r>
              <w:rPr>
                <w:rFonts w:ascii="Times New Roman" w:hAnsi="Times New Roman"/>
                <w:sz w:val="22"/>
              </w:rPr>
              <w:t>Random (đóng băng)</w:t>
            </w:r>
          </w:p>
        </w:tc>
        <w:tc>
          <w:tcPr>
            <w:tcW w:type="dxa" w:w="1824"/>
          </w:tcPr>
          <w:p>
            <w:r/>
            <w:r>
              <w:rPr>
                <w:rFonts w:ascii="Times New Roman" w:hAnsi="Times New Roman"/>
                <w:sz w:val="22"/>
              </w:rPr>
              <w:t>Cổng quay 3 trục ngẫu nhiên Haar</w:t>
            </w:r>
          </w:p>
        </w:tc>
        <w:tc>
          <w:tcPr>
            <w:tcW w:type="dxa" w:w="1824"/>
          </w:tcPr>
          <w:p>
            <w:r/>
            <w:r>
              <w:rPr>
                <w:rFonts w:ascii="Times New Roman" w:hAnsi="Times New Roman"/>
                <w:sz w:val="22"/>
              </w:rPr>
              <w:t>Cặp CNOT ngẫu nhiên</w:t>
            </w:r>
          </w:p>
        </w:tc>
        <w:tc>
          <w:tcPr>
            <w:tcW w:type="dxa" w:w="1824"/>
          </w:tcPr>
          <w:p>
            <w:r/>
            <w:r>
              <w:rPr>
                <w:rFonts w:ascii="Times New Roman" w:hAnsi="Times New Roman"/>
                <w:sz w:val="22"/>
              </w:rPr>
              <w:t>0 (frozen)</w:t>
            </w:r>
          </w:p>
        </w:tc>
        <w:tc>
          <w:tcPr>
            <w:tcW w:type="dxa" w:w="1824"/>
          </w:tcPr>
          <w:p>
            <w:r/>
            <w:r>
              <w:rPr>
                <w:rFonts w:ascii="Times New Roman" w:hAnsi="Times New Roman"/>
                <w:sz w:val="22"/>
              </w:rPr>
              <w:t>0 / 0</w:t>
            </w:r>
          </w:p>
        </w:tc>
      </w:tr>
    </w:tbl>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 (Nguồn: đếm tự động từ instantiation PyTorch — measure_params_cost.py)</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2"/>
              </w:rPr>
              <w:t>Mô hình</w:t>
            </w:r>
          </w:p>
        </w:tc>
        <w:tc>
          <w:tcPr>
            <w:tcW w:type="dxa" w:w="1520"/>
          </w:tcPr>
          <w:p>
            <w:r/>
            <w:r>
              <w:rPr>
                <w:rFonts w:ascii="Times New Roman" w:hAnsi="Times New Roman"/>
                <w:b/>
                <w:sz w:val="22"/>
              </w:rPr>
              <w:t>Kernel (L=2 / L=1)</w:t>
            </w:r>
          </w:p>
        </w:tc>
        <w:tc>
          <w:tcPr>
            <w:tcW w:type="dxa" w:w="1520"/>
          </w:tcPr>
          <w:p>
            <w:r/>
            <w:r>
              <w:rPr>
                <w:rFonts w:ascii="Times New Roman" w:hAnsi="Times New Roman"/>
                <w:b/>
                <w:sz w:val="22"/>
              </w:rPr>
              <w:t>BatchNorm2d(4)</w:t>
            </w:r>
          </w:p>
        </w:tc>
        <w:tc>
          <w:tcPr>
            <w:tcW w:type="dxa" w:w="1520"/>
          </w:tcPr>
          <w:p>
            <w:r/>
            <w:r>
              <w:rPr>
                <w:rFonts w:ascii="Times New Roman" w:hAnsi="Times New Roman"/>
                <w:b/>
                <w:sz w:val="22"/>
              </w:rPr>
              <w:t>Head (K=2)</w:t>
            </w:r>
          </w:p>
        </w:tc>
        <w:tc>
          <w:tcPr>
            <w:tcW w:type="dxa" w:w="1520"/>
          </w:tcPr>
          <w:p>
            <w:r/>
            <w:r>
              <w:rPr>
                <w:rFonts w:ascii="Times New Roman" w:hAnsi="Times New Roman"/>
                <w:b/>
                <w:sz w:val="22"/>
              </w:rPr>
              <w:t>Head (K=4)</w:t>
            </w:r>
          </w:p>
        </w:tc>
        <w:tc>
          <w:tcPr>
            <w:tcW w:type="dxa" w:w="1520"/>
          </w:tcPr>
          <w:p>
            <w:r/>
            <w:r>
              <w:rPr>
                <w:rFonts w:ascii="Times New Roman" w:hAnsi="Times New Roman"/>
                <w:b/>
                <w:sz w:val="22"/>
              </w:rPr>
              <w:t>Tổng (K=2, L=2 / K=4, L=1)</w:t>
            </w:r>
          </w:p>
        </w:tc>
      </w:tr>
      <w:tr>
        <w:tc>
          <w:tcPr>
            <w:tcW w:type="dxa" w:w="1520"/>
          </w:tcPr>
          <w:p>
            <w:r/>
            <w:r>
              <w:rPr>
                <w:rFonts w:ascii="Times New Roman" w:hAnsi="Times New Roman"/>
                <w:sz w:val="22"/>
              </w:rPr>
              <w:t>Classical CNN</w:t>
            </w:r>
          </w:p>
        </w:tc>
        <w:tc>
          <w:tcPr>
            <w:tcW w:type="dxa" w:w="1520"/>
          </w:tcPr>
          <w:p>
            <w:r/>
            <w:r>
              <w:rPr>
                <w:rFonts w:ascii="Times New Roman" w:hAnsi="Times New Roman"/>
                <w:sz w:val="22"/>
              </w:rPr>
              <w:t>20 (conv có bias)</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1,598 / 3,168</w:t>
            </w:r>
          </w:p>
        </w:tc>
      </w:tr>
      <w:tr>
        <w:tc>
          <w:tcPr>
            <w:tcW w:type="dxa" w:w="1520"/>
          </w:tcPr>
          <w:p>
            <w:r/>
            <w:r>
              <w:rPr>
                <w:rFonts w:ascii="Times New Roman" w:hAnsi="Times New Roman"/>
                <w:sz w:val="22"/>
              </w:rPr>
              <w:t>Fixed (mọi ansatz)</w:t>
            </w:r>
          </w:p>
        </w:tc>
        <w:tc>
          <w:tcPr>
            <w:tcW w:type="dxa" w:w="1520"/>
          </w:tcPr>
          <w:p>
            <w:r/>
            <w:r>
              <w:rPr>
                <w:rFonts w:ascii="Times New Roman" w:hAnsi="Times New Roman"/>
                <w:sz w:val="22"/>
              </w:rPr>
              <w:t>0</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1,578 / 3,148</w:t>
            </w:r>
          </w:p>
        </w:tc>
      </w:tr>
      <w:tr>
        <w:tc>
          <w:tcPr>
            <w:tcW w:type="dxa" w:w="1520"/>
          </w:tcPr>
          <w:p>
            <w:r/>
            <w:r>
              <w:rPr>
                <w:rFonts w:ascii="Times New Roman" w:hAnsi="Times New Roman"/>
                <w:sz w:val="22"/>
              </w:rPr>
              <w:t>Trainable Basic</w:t>
            </w:r>
          </w:p>
        </w:tc>
        <w:tc>
          <w:tcPr>
            <w:tcW w:type="dxa" w:w="1520"/>
          </w:tcPr>
          <w:p>
            <w:r/>
            <w:r>
              <w:rPr>
                <w:rFonts w:ascii="Times New Roman" w:hAnsi="Times New Roman"/>
                <w:sz w:val="22"/>
              </w:rPr>
              <w:t>8 / 4</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1,586 / 3,152</w:t>
            </w:r>
          </w:p>
        </w:tc>
      </w:tr>
      <w:tr>
        <w:tc>
          <w:tcPr>
            <w:tcW w:type="dxa" w:w="1520"/>
          </w:tcPr>
          <w:p>
            <w:r/>
            <w:r>
              <w:rPr>
                <w:rFonts w:ascii="Times New Roman" w:hAnsi="Times New Roman"/>
                <w:sz w:val="22"/>
              </w:rPr>
              <w:t>Trainable Strongly</w:t>
            </w:r>
          </w:p>
        </w:tc>
        <w:tc>
          <w:tcPr>
            <w:tcW w:type="dxa" w:w="1520"/>
          </w:tcPr>
          <w:p>
            <w:r/>
            <w:r>
              <w:rPr>
                <w:rFonts w:ascii="Times New Roman" w:hAnsi="Times New Roman"/>
                <w:sz w:val="22"/>
              </w:rPr>
              <w:t>24 / 12</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1,602 / 3,160</w:t>
            </w:r>
          </w:p>
        </w:tc>
      </w:tr>
    </w:tbl>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(Bảng 3.3), toàn bộ mã nguồn đặt trên GitHub với seed cố định và gắn tag phiên bản nộp hội nghị (soict-submission-v4). Luồng dữ liệu chuẩn: run_gd3.py → thí nghiệm 50 runs (BreastMNIST) / 60 runs (OCTMNIST) → full_trainable_*.json → reconcile_verify.py (kiểm định số liệu) → regenerate_figs_bigfont.py (biểu đồ 300 DPI). Mọi thay đổi số liệu phải đi qua kịch bản kiểm định tự động để loại trừ lỗi sao chép tay.</w:t>
      </w:r>
    </w:p>
    <w:p>
      <w:pPr>
        <w:spacing w:after="200"/>
        <w:jc w:val="center"/>
      </w:pPr>
      <w:r>
        <w:rPr>
          <w:rFonts w:ascii="Times New Roman" w:hAnsi="Times New Roman"/>
          <w:b/>
          <w:i/>
          <w:sz w:val="24"/>
        </w:rPr>
        <w:t>Bảng 3.3: Thành phần mã nguồn và vai trò trong pipeline (Nguồn: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Mô-đun</w:t>
            </w:r>
          </w:p>
        </w:tc>
        <w:tc>
          <w:tcPr>
            <w:tcW w:type="dxa" w:w="3041"/>
          </w:tcPr>
          <w:p>
            <w:r/>
            <w:r>
              <w:rPr>
                <w:rFonts w:ascii="Times New Roman" w:hAnsi="Times New Roman"/>
                <w:b/>
                <w:sz w:val="22"/>
              </w:rPr>
              <w:t>Thành phần chính</w:t>
            </w:r>
          </w:p>
        </w:tc>
        <w:tc>
          <w:tcPr>
            <w:tcW w:type="dxa" w:w="3041"/>
          </w:tcPr>
          <w:p>
            <w:r/>
            <w:r>
              <w:rPr>
                <w:rFonts w:ascii="Times New Roman" w:hAnsi="Times New Roman"/>
                <w:b/>
                <w:sz w:val="22"/>
              </w:rPr>
              <w:t>Vai trò trong pipeline</w:t>
            </w:r>
          </w:p>
        </w:tc>
      </w:tr>
      <w:tr>
        <w:tc>
          <w:tcPr>
            <w:tcW w:type="dxa" w:w="3041"/>
          </w:tcPr>
          <w:p>
            <w:r/>
            <w:r>
              <w:rPr>
                <w:rFonts w:ascii="Times New Roman" w:hAnsi="Times New Roman"/>
                <w:sz w:val="22"/>
              </w:rPr>
              <w:t>src/data</w:t>
            </w:r>
          </w:p>
        </w:tc>
        <w:tc>
          <w:tcPr>
            <w:tcW w:type="dxa" w:w="3041"/>
          </w:tcPr>
          <w:p>
            <w:r/>
            <w:r>
              <w:rPr>
                <w:rFonts w:ascii="Times New Roman" w:hAnsi="Times New Roman"/>
                <w:sz w:val="22"/>
              </w:rPr>
              <w:t>medmnist_loader.py, precompute_features.py</w:t>
            </w:r>
          </w:p>
        </w:tc>
        <w:tc>
          <w:tcPr>
            <w:tcW w:type="dxa" w:w="3041"/>
          </w:tcPr>
          <w:p>
            <w:r/>
            <w:r>
              <w:rPr>
                <w:rFonts w:ascii="Times New Roman" w:hAnsi="Times New Roman"/>
                <w:sz w:val="22"/>
              </w:rPr>
              <w:t>Nạp MedMNIST, chuẩn hóa [0,1], chia split cố định, precompute quantum features cho mạch tĩnh</w:t>
            </w:r>
          </w:p>
        </w:tc>
      </w:tr>
      <w:tr>
        <w:tc>
          <w:tcPr>
            <w:tcW w:type="dxa" w:w="3041"/>
          </w:tcPr>
          <w:p>
            <w:r/>
            <w:r>
              <w:rPr>
                <w:rFonts w:ascii="Times New Roman" w:hAnsi="Times New Roman"/>
                <w:sz w:val="22"/>
              </w:rPr>
              <w:t>src/models</w:t>
            </w:r>
          </w:p>
        </w:tc>
        <w:tc>
          <w:tcPr>
            <w:tcW w:type="dxa" w:w="3041"/>
          </w:tcPr>
          <w:p>
            <w:r/>
            <w:r>
              <w:rPr>
                <w:rFonts w:ascii="Times New Roman" w:hAnsi="Times New Roman"/>
                <w:sz w:val="22"/>
              </w:rPr>
              <w:t>circuits.py, trainable_quanv.py, quantum_model.py, classical_cnn.py</w:t>
            </w:r>
          </w:p>
        </w:tc>
        <w:tc>
          <w:tcPr>
            <w:tcW w:type="dxa" w:w="3041"/>
          </w:tcPr>
          <w:p>
            <w:r/>
            <w:r>
              <w:rPr>
                <w:rFonts w:ascii="Times New Roman" w:hAnsi="Times New Roman"/>
                <w:sz w:val="22"/>
              </w:rPr>
              <w:t>Định nghĩa 6 mạch (3 ansatz × L=1,2), TorchLayer differentiable, hai mạng có head giống hệt nhau</w:t>
            </w:r>
          </w:p>
        </w:tc>
      </w:tr>
      <w:tr>
        <w:tc>
          <w:tcPr>
            <w:tcW w:type="dxa" w:w="3041"/>
          </w:tcPr>
          <w:p>
            <w:r/>
            <w:r>
              <w:rPr>
                <w:rFonts w:ascii="Times New Roman" w:hAnsi="Times New Roman"/>
                <w:sz w:val="22"/>
              </w:rPr>
              <w:t>src/experiments</w:t>
            </w:r>
          </w:p>
        </w:tc>
        <w:tc>
          <w:tcPr>
            <w:tcW w:type="dxa" w:w="3041"/>
          </w:tcPr>
          <w:p>
            <w:r/>
            <w:r>
              <w:rPr>
                <w:rFonts w:ascii="Times New Roman" w:hAnsi="Times New Roman"/>
                <w:sz w:val="22"/>
              </w:rPr>
              <w:t>run_gd3.py, trainable_experiment.py</w:t>
            </w:r>
          </w:p>
        </w:tc>
        <w:tc>
          <w:tcPr>
            <w:tcW w:type="dxa" w:w="3041"/>
          </w:tcPr>
          <w:p>
            <w:r/>
            <w:r>
              <w:rPr>
                <w:rFonts w:ascii="Times New Roman" w:hAnsi="Times New Roman"/>
                <w:sz w:val="22"/>
              </w:rPr>
              <w:t>Vòng lặp 10 seeds, huấn luyện, đánh giá 6 metrics, kiểm định thống kê, xuất JSON có cấu trúc</w:t>
            </w:r>
          </w:p>
        </w:tc>
      </w:tr>
      <w:tr>
        <w:tc>
          <w:tcPr>
            <w:tcW w:type="dxa" w:w="3041"/>
          </w:tcPr>
          <w:p>
            <w:r/>
            <w:r>
              <w:rPr>
                <w:rFonts w:ascii="Times New Roman" w:hAnsi="Times New Roman"/>
                <w:sz w:val="22"/>
              </w:rPr>
              <w:t>src/utils + src/visual</w:t>
            </w:r>
          </w:p>
        </w:tc>
        <w:tc>
          <w:tcPr>
            <w:tcW w:type="dxa" w:w="3041"/>
          </w:tcPr>
          <w:p>
            <w:r/>
            <w:r>
              <w:rPr>
                <w:rFonts w:ascii="Times New Roman" w:hAnsi="Times New Roman"/>
                <w:sz w:val="22"/>
              </w:rPr>
              <w:t>metrics.py, plot_gd3_dynamics.py</w:t>
            </w:r>
          </w:p>
        </w:tc>
        <w:tc>
          <w:tcPr>
            <w:tcW w:type="dxa" w:w="3041"/>
          </w:tcPr>
          <w:p>
            <w:r/>
            <w:r>
              <w:rPr>
                <w:rFonts w:ascii="Times New Roman" w:hAnsi="Times New Roman"/>
                <w:sz w:val="22"/>
              </w:rPr>
              <w:t>Bộ 6 metrics y tế, seed utils, vẽ biểu đồ 300 DPI</w:t>
            </w:r>
          </w:p>
        </w:tc>
      </w:tr>
    </w:tbl>
    <w:p>
      <w:pPr>
        <w:spacing w:after="120"/>
        <w:jc w:val="left"/>
      </w:pPr>
      <w:r>
        <w:rPr>
          <w:rFonts w:ascii="Times New Roman" w:hAnsi="Times New Roman"/>
          <w:b/>
          <w:i w:val="0"/>
          <w:sz w:val="26"/>
        </w:rPr>
        <w:t>3.5.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120"/>
        <w:jc w:val="left"/>
      </w:pPr>
      <w:r>
        <w:rPr>
          <w:rFonts w:ascii="Times New Roman" w:hAnsi="Times New Roman"/>
          <w:b/>
          <w:i w:val="0"/>
          <w:sz w:val="26"/>
        </w:rPr>
        <w:t>3.6.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3" name="Picture 3"/>
            <wp:cNvGraphicFramePr>
              <a:graphicFrameLocks noChangeAspect="1"/>
            </wp:cNvGraphicFramePr>
            <a:graphic>
              <a:graphicData uri="http://schemas.openxmlformats.org/drawingml/2006/picture">
                <pic:pic>
                  <pic:nvPicPr>
                    <pic:cNvPr id="0" name="Fig3_breastmnist_benchmark.png"/>
                    <pic:cNvPicPr/>
                  </pic:nvPicPr>
                  <pic:blipFill>
                    <a:blip r:embed="rId12"/>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 (Nguồn: tác giả tổng hợp từ kết quả thực nghiệm đề tài)</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4" name="Picture 4"/>
            <wp:cNvGraphicFramePr>
              <a:graphicFrameLocks noChangeAspect="1"/>
            </wp:cNvGraphicFramePr>
            <a:graphic>
              <a:graphicData uri="http://schemas.openxmlformats.org/drawingml/2006/picture">
                <pic:pic>
                  <pic:nvPicPr>
                    <pic:cNvPr id="0" name="Fig3_octmnist_benchmark.png"/>
                    <pic:cNvPicPr/>
                  </pic:nvPicPr>
                  <pic:blipFill>
                    <a:blip r:embed="rId13"/>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 (Nguồn: tác giả tổng hợp từ kết quả thực nghiệm đề tài)</w:t>
      </w:r>
    </w:p>
    <w:p>
      <w:pPr>
        <w:spacing w:after="120"/>
        <w:jc w:val="both"/>
      </w:pPr>
      <w:r>
        <w:rPr>
          <w:rFonts w:ascii="Times New Roman" w:hAnsi="Times New Roman"/>
          <w:b w:val="0"/>
          <w:i w:val="0"/>
          <w:sz w:val="26"/>
        </w:rPr>
        <w:t>Bảng 4.3 tổng hợp kiểm định thống kê cho các cặp so sánh then chốt của toàn bộ benchmark.</w:t>
      </w:r>
    </w:p>
    <w:p>
      <w:pPr>
        <w:spacing w:after="200"/>
        <w:jc w:val="center"/>
      </w:pPr>
      <w:r>
        <w:rPr>
          <w:rFonts w:ascii="Times New Roman" w:hAnsi="Times New Roman"/>
          <w:b/>
          <w:i/>
          <w:sz w:val="24"/>
        </w:rPr>
        <w:t>Bảng 4.3: Kiểm định thống kê các cặp so sánh then chốt — Nguồn: tác giả tính toán từ dữ liệu 10-seed (paired t-test, Wilcoxon signed-rank, Cohen’s 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Cặp so sánh</w:t>
            </w:r>
          </w:p>
        </w:tc>
        <w:tc>
          <w:tcPr>
            <w:tcW w:type="dxa" w:w="1520"/>
          </w:tcPr>
          <w:p>
            <w:r/>
            <w:r>
              <w:rPr>
                <w:rFonts w:ascii="Times New Roman" w:hAnsi="Times New Roman"/>
                <w:b/>
                <w:sz w:val="20"/>
              </w:rPr>
              <w:t>Metric</w:t>
            </w:r>
          </w:p>
        </w:tc>
        <w:tc>
          <w:tcPr>
            <w:tcW w:type="dxa" w:w="1520"/>
          </w:tcPr>
          <w:p>
            <w:r/>
            <w:r>
              <w:rPr>
                <w:rFonts w:ascii="Times New Roman" w:hAnsi="Times New Roman"/>
                <w:b/>
                <w:sz w:val="20"/>
              </w:rPr>
              <w:t>Δ (mean diff)</w:t>
            </w:r>
          </w:p>
        </w:tc>
        <w:tc>
          <w:tcPr>
            <w:tcW w:type="dxa" w:w="1520"/>
          </w:tcPr>
          <w:p>
            <w:r/>
            <w:r>
              <w:rPr>
                <w:rFonts w:ascii="Times New Roman" w:hAnsi="Times New Roman"/>
                <w:b/>
                <w:sz w:val="20"/>
              </w:rPr>
              <w:t>p (t-test)</w:t>
            </w:r>
          </w:p>
        </w:tc>
        <w:tc>
          <w:tcPr>
            <w:tcW w:type="dxa" w:w="1520"/>
          </w:tcPr>
          <w:p>
            <w:r/>
            <w:r>
              <w:rPr>
                <w:rFonts w:ascii="Times New Roman" w:hAnsi="Times New Roman"/>
                <w:b/>
                <w:sz w:val="20"/>
              </w:rPr>
              <w:t>p (Wilcoxon)</w:t>
            </w:r>
          </w:p>
        </w:tc>
        <w:tc>
          <w:tcPr>
            <w:tcW w:type="dxa" w:w="1520"/>
          </w:tcPr>
          <w:p>
            <w:r/>
            <w:r>
              <w:rPr>
                <w:rFonts w:ascii="Times New Roman" w:hAnsi="Times New Roman"/>
                <w:b/>
                <w:sz w:val="20"/>
              </w:rPr>
              <w:t>Cohen's d</w:t>
            </w:r>
          </w:p>
        </w:tc>
      </w:tr>
      <w:tr>
        <w:tc>
          <w:tcPr>
            <w:tcW w:type="dxa" w:w="1520"/>
          </w:tcPr>
          <w:p>
            <w:r/>
            <w:r>
              <w:rPr>
                <w:rFonts w:ascii="Times New Roman" w:hAnsi="Times New Roman"/>
                <w:sz w:val="20"/>
              </w:rPr>
              <w:t>Breast: Classical CNN vs Fixed Basic</w:t>
            </w:r>
          </w:p>
        </w:tc>
        <w:tc>
          <w:tcPr>
            <w:tcW w:type="dxa" w:w="1520"/>
          </w:tcPr>
          <w:p>
            <w:r/>
            <w:r>
              <w:rPr>
                <w:rFonts w:ascii="Times New Roman" w:hAnsi="Times New Roman"/>
                <w:sz w:val="20"/>
              </w:rPr>
              <w:t>ROC-AUC</w:t>
            </w:r>
          </w:p>
        </w:tc>
        <w:tc>
          <w:tcPr>
            <w:tcW w:type="dxa" w:w="1520"/>
          </w:tcPr>
          <w:p>
            <w:r/>
            <w:r>
              <w:rPr>
                <w:rFonts w:ascii="Times New Roman" w:hAnsi="Times New Roman"/>
                <w:sz w:val="20"/>
              </w:rPr>
              <w:t>-0.0186</w:t>
            </w:r>
          </w:p>
        </w:tc>
        <w:tc>
          <w:tcPr>
            <w:tcW w:type="dxa" w:w="1520"/>
          </w:tcPr>
          <w:p>
            <w:r/>
            <w:r>
              <w:rPr>
                <w:rFonts w:ascii="Times New Roman" w:hAnsi="Times New Roman"/>
                <w:sz w:val="20"/>
              </w:rPr>
              <w:t>0.0298</w:t>
            </w:r>
          </w:p>
        </w:tc>
        <w:tc>
          <w:tcPr>
            <w:tcW w:type="dxa" w:w="1520"/>
          </w:tcPr>
          <w:p>
            <w:r/>
            <w:r>
              <w:rPr>
                <w:rFonts w:ascii="Times New Roman" w:hAnsi="Times New Roman"/>
                <w:sz w:val="20"/>
              </w:rPr>
              <w:t>0.0254</w:t>
            </w:r>
          </w:p>
        </w:tc>
        <w:tc>
          <w:tcPr>
            <w:tcW w:type="dxa" w:w="1520"/>
          </w:tcPr>
          <w:p>
            <w:r/>
            <w:r>
              <w:rPr>
                <w:rFonts w:ascii="Times New Roman" w:hAnsi="Times New Roman"/>
                <w:sz w:val="20"/>
              </w:rPr>
              <w:t>-0.815</w:t>
            </w:r>
          </w:p>
        </w:tc>
      </w:tr>
      <w:tr>
        <w:tc>
          <w:tcPr>
            <w:tcW w:type="dxa" w:w="1520"/>
          </w:tcPr>
          <w:p>
            <w:r/>
            <w:r>
              <w:rPr>
                <w:rFonts w:ascii="Times New Roman" w:hAnsi="Times New Roman"/>
                <w:sz w:val="20"/>
              </w:rPr>
              <w:t>Breast: Classical CNN vs Fixed Strongly</w:t>
            </w:r>
          </w:p>
        </w:tc>
        <w:tc>
          <w:tcPr>
            <w:tcW w:type="dxa" w:w="1520"/>
          </w:tcPr>
          <w:p>
            <w:r/>
            <w:r>
              <w:rPr>
                <w:rFonts w:ascii="Times New Roman" w:hAnsi="Times New Roman"/>
                <w:sz w:val="20"/>
              </w:rPr>
              <w:t>PR-AUC</w:t>
            </w:r>
          </w:p>
        </w:tc>
        <w:tc>
          <w:tcPr>
            <w:tcW w:type="dxa" w:w="1520"/>
          </w:tcPr>
          <w:p>
            <w:r/>
            <w:r>
              <w:rPr>
                <w:rFonts w:ascii="Times New Roman" w:hAnsi="Times New Roman"/>
                <w:sz w:val="20"/>
              </w:rPr>
              <w:t>-0.0140</w:t>
            </w:r>
          </w:p>
        </w:tc>
        <w:tc>
          <w:tcPr>
            <w:tcW w:type="dxa" w:w="1520"/>
          </w:tcPr>
          <w:p>
            <w:r/>
            <w:r>
              <w:rPr>
                <w:rFonts w:ascii="Times New Roman" w:hAnsi="Times New Roman"/>
                <w:sz w:val="20"/>
              </w:rPr>
              <w:t>0.0023</w:t>
            </w:r>
          </w:p>
        </w:tc>
        <w:tc>
          <w:tcPr>
            <w:tcW w:type="dxa" w:w="1520"/>
          </w:tcPr>
          <w:p>
            <w:r/>
            <w:r>
              <w:rPr>
                <w:rFonts w:ascii="Times New Roman" w:hAnsi="Times New Roman"/>
                <w:sz w:val="20"/>
              </w:rPr>
              <w:t>0.0059</w:t>
            </w:r>
          </w:p>
        </w:tc>
        <w:tc>
          <w:tcPr>
            <w:tcW w:type="dxa" w:w="1520"/>
          </w:tcPr>
          <w:p>
            <w:r/>
            <w:r>
              <w:rPr>
                <w:rFonts w:ascii="Times New Roman" w:hAnsi="Times New Roman"/>
                <w:sz w:val="20"/>
              </w:rPr>
              <w:t>-1.332</w:t>
            </w:r>
          </w:p>
        </w:tc>
      </w:tr>
      <w:tr>
        <w:tc>
          <w:tcPr>
            <w:tcW w:type="dxa" w:w="1520"/>
          </w:tcPr>
          <w:p>
            <w:r/>
            <w:r>
              <w:rPr>
                <w:rFonts w:ascii="Times New Roman" w:hAnsi="Times New Roman"/>
                <w:sz w:val="20"/>
              </w:rPr>
              <w:t>Breast: Fixed Strongly vs Trainable Strongly</w:t>
            </w:r>
          </w:p>
        </w:tc>
        <w:tc>
          <w:tcPr>
            <w:tcW w:type="dxa" w:w="1520"/>
          </w:tcPr>
          <w:p>
            <w:r/>
            <w:r>
              <w:rPr>
                <w:rFonts w:ascii="Times New Roman" w:hAnsi="Times New Roman"/>
                <w:sz w:val="20"/>
              </w:rPr>
              <w:t>BAcc</w:t>
            </w:r>
          </w:p>
        </w:tc>
        <w:tc>
          <w:tcPr>
            <w:tcW w:type="dxa" w:w="1520"/>
          </w:tcPr>
          <w:p>
            <w:r/>
            <w:r>
              <w:rPr>
                <w:rFonts w:ascii="Times New Roman" w:hAnsi="Times New Roman"/>
                <w:sz w:val="20"/>
              </w:rPr>
              <w:t>-0.0344</w:t>
            </w:r>
          </w:p>
        </w:tc>
        <w:tc>
          <w:tcPr>
            <w:tcW w:type="dxa" w:w="1520"/>
          </w:tcPr>
          <w:p>
            <w:r/>
            <w:r>
              <w:rPr>
                <w:rFonts w:ascii="Times New Roman" w:hAnsi="Times New Roman"/>
                <w:sz w:val="20"/>
              </w:rPr>
              <w:t>0.0611</w:t>
            </w:r>
          </w:p>
        </w:tc>
        <w:tc>
          <w:tcPr>
            <w:tcW w:type="dxa" w:w="1520"/>
          </w:tcPr>
          <w:p>
            <w:r/>
            <w:r>
              <w:rPr>
                <w:rFonts w:ascii="Times New Roman" w:hAnsi="Times New Roman"/>
                <w:sz w:val="20"/>
              </w:rPr>
              <w:t>0.0879</w:t>
            </w:r>
          </w:p>
        </w:tc>
        <w:tc>
          <w:tcPr>
            <w:tcW w:type="dxa" w:w="1520"/>
          </w:tcPr>
          <w:p>
            <w:r/>
            <w:r>
              <w:rPr>
                <w:rFonts w:ascii="Times New Roman" w:hAnsi="Times New Roman"/>
                <w:sz w:val="20"/>
              </w:rPr>
              <w:t>-0.677</w:t>
            </w:r>
          </w:p>
        </w:tc>
      </w:tr>
      <w:tr>
        <w:tc>
          <w:tcPr>
            <w:tcW w:type="dxa" w:w="1520"/>
          </w:tcPr>
          <w:p>
            <w:r/>
            <w:r>
              <w:rPr>
                <w:rFonts w:ascii="Times New Roman" w:hAnsi="Times New Roman"/>
                <w:sz w:val="20"/>
              </w:rPr>
              <w:t>OCT: Classical CNN vs Trainable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+0.0583</w:t>
            </w:r>
          </w:p>
        </w:tc>
        <w:tc>
          <w:tcPr>
            <w:tcW w:type="dxa" w:w="1520"/>
          </w:tcPr>
          <w:p>
            <w:r/>
            <w:r>
              <w:rPr>
                <w:rFonts w:ascii="Times New Roman" w:hAnsi="Times New Roman"/>
                <w:sz w:val="20"/>
              </w:rPr>
              <w:t>0.0001</w:t>
            </w:r>
          </w:p>
        </w:tc>
        <w:tc>
          <w:tcPr>
            <w:tcW w:type="dxa" w:w="1520"/>
          </w:tcPr>
          <w:p>
            <w:r/>
            <w:r>
              <w:rPr>
                <w:rFonts w:ascii="Times New Roman" w:hAnsi="Times New Roman"/>
                <w:sz w:val="20"/>
              </w:rPr>
              <w:t>0.0020</w:t>
            </w:r>
          </w:p>
        </w:tc>
        <w:tc>
          <w:tcPr>
            <w:tcW w:type="dxa" w:w="1520"/>
          </w:tcPr>
          <w:p>
            <w:r/>
            <w:r>
              <w:rPr>
                <w:rFonts w:ascii="Times New Roman" w:hAnsi="Times New Roman"/>
                <w:sz w:val="20"/>
              </w:rPr>
              <w:t>+2.108</w:t>
            </w:r>
          </w:p>
        </w:tc>
      </w:tr>
      <w:tr>
        <w:tc>
          <w:tcPr>
            <w:tcW w:type="dxa" w:w="1520"/>
          </w:tcPr>
          <w:p>
            <w:r/>
            <w:r>
              <w:rPr>
                <w:rFonts w:ascii="Times New Roman" w:hAnsi="Times New Roman"/>
                <w:sz w:val="20"/>
              </w:rPr>
              <w:t>OCT: Trainable Strongly vs Fixed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+0.0232</w:t>
            </w:r>
          </w:p>
        </w:tc>
        <w:tc>
          <w:tcPr>
            <w:tcW w:type="dxa" w:w="1520"/>
          </w:tcPr>
          <w:p>
            <w:r/>
            <w:r>
              <w:rPr>
                <w:rFonts w:ascii="Times New Roman" w:hAnsi="Times New Roman"/>
                <w:sz w:val="20"/>
              </w:rPr>
              <w:t>0.0090</w:t>
            </w:r>
          </w:p>
        </w:tc>
        <w:tc>
          <w:tcPr>
            <w:tcW w:type="dxa" w:w="1520"/>
          </w:tcPr>
          <w:p>
            <w:r/>
            <w:r>
              <w:rPr>
                <w:rFonts w:ascii="Times New Roman" w:hAnsi="Times New Roman"/>
                <w:sz w:val="20"/>
              </w:rPr>
              <w:t>0.0098</w:t>
            </w:r>
          </w:p>
        </w:tc>
        <w:tc>
          <w:tcPr>
            <w:tcW w:type="dxa" w:w="1520"/>
          </w:tcPr>
          <w:p>
            <w:r/>
            <w:r>
              <w:rPr>
                <w:rFonts w:ascii="Times New Roman" w:hAnsi="Times New Roman"/>
                <w:sz w:val="20"/>
              </w:rPr>
              <w:t>+1.050</w:t>
            </w:r>
          </w:p>
        </w:tc>
      </w:tr>
      <w:tr>
        <w:tc>
          <w:tcPr>
            <w:tcW w:type="dxa" w:w="1520"/>
          </w:tcPr>
          <w:p>
            <w:r/>
            <w:r>
              <w:rPr>
                <w:rFonts w:ascii="Times New Roman" w:hAnsi="Times New Roman"/>
                <w:sz w:val="20"/>
              </w:rPr>
              <w:t>OCT: Trainable Strongly vs Fixed Champion</w:t>
            </w:r>
          </w:p>
        </w:tc>
        <w:tc>
          <w:tcPr>
            <w:tcW w:type="dxa" w:w="1520"/>
          </w:tcPr>
          <w:p>
            <w:r/>
            <w:r>
              <w:rPr>
                <w:rFonts w:ascii="Times New Roman" w:hAnsi="Times New Roman"/>
                <w:sz w:val="20"/>
              </w:rPr>
              <w:t>ROC-AUC</w:t>
            </w:r>
          </w:p>
        </w:tc>
        <w:tc>
          <w:tcPr>
            <w:tcW w:type="dxa" w:w="1520"/>
          </w:tcPr>
          <w:p>
            <w:r/>
            <w:r>
              <w:rPr>
                <w:rFonts w:ascii="Times New Roman" w:hAnsi="Times New Roman"/>
                <w:sz w:val="20"/>
              </w:rPr>
              <w:t>+0.0010</w:t>
            </w:r>
          </w:p>
        </w:tc>
        <w:tc>
          <w:tcPr>
            <w:tcW w:type="dxa" w:w="1520"/>
          </w:tcPr>
          <w:p>
            <w:r/>
            <w:r>
              <w:rPr>
                <w:rFonts w:ascii="Times New Roman" w:hAnsi="Times New Roman"/>
                <w:sz w:val="20"/>
              </w:rPr>
              <w:t>0.8875</w:t>
            </w:r>
          </w:p>
        </w:tc>
        <w:tc>
          <w:tcPr>
            <w:tcW w:type="dxa" w:w="1520"/>
          </w:tcPr>
          <w:p>
            <w:r/>
            <w:r>
              <w:rPr>
                <w:rFonts w:ascii="Times New Roman" w:hAnsi="Times New Roman"/>
                <w:sz w:val="20"/>
              </w:rPr>
              <w:t>0.6250</w:t>
            </w:r>
          </w:p>
        </w:tc>
        <w:tc>
          <w:tcPr>
            <w:tcW w:type="dxa" w:w="1520"/>
          </w:tcPr>
          <w:p>
            <w:r/>
            <w:r>
              <w:rPr>
                <w:rFonts w:ascii="Times New Roman" w:hAnsi="Times New Roman"/>
                <w:sz w:val="20"/>
              </w:rPr>
              <w:t>+0.046</w:t>
            </w:r>
          </w:p>
        </w:tc>
      </w:tr>
    </w:tbl>
    <w:p>
      <w:pPr>
        <w:spacing w:after="80"/>
        <w:jc w:val="both"/>
      </w:pPr>
      <w:r>
        <w:rPr>
          <w:rFonts w:ascii="Times New Roman" w:hAnsi="Times New Roman"/>
          <w:b w:val="0"/>
          <w:i w:val="0"/>
          <w:sz w:val="26"/>
        </w:rPr>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jc w:val="center"/>
      </w:pPr>
      <w:r>
        <w:drawing>
          <wp:inline xmlns:a="http://schemas.openxmlformats.org/drawingml/2006/main" xmlns:pic="http://schemas.openxmlformats.org/drawingml/2006/picture">
            <wp:extent cx="5400000" cy="2333109"/>
            <wp:docPr id="5" name="Picture 5"/>
            <wp:cNvGraphicFramePr>
              <a:graphicFrameLocks noChangeAspect="1"/>
            </wp:cNvGraphicFramePr>
            <a:graphic>
              <a:graphicData uri="http://schemas.openxmlformats.org/drawingml/2006/picture">
                <pic:pic>
                  <pic:nvPicPr>
                    <pic:cNvPr id="0" name="Fig4a_breastmnist_curves.png"/>
                    <pic:cNvPicPr/>
                  </pic:nvPicPr>
                  <pic:blipFill>
                    <a:blip r:embed="rId14"/>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 — Nguồn: tác giả tổng hợp từ kết quả thực nghiệm đề tài</w:t>
      </w:r>
    </w:p>
    <w:p>
      <w:pPr>
        <w:jc w:val="center"/>
      </w:pPr>
      <w:r>
        <w:drawing>
          <wp:inline xmlns:a="http://schemas.openxmlformats.org/drawingml/2006/main" xmlns:pic="http://schemas.openxmlformats.org/drawingml/2006/picture">
            <wp:extent cx="5400000" cy="2236671"/>
            <wp:docPr id="6" name="Picture 6"/>
            <wp:cNvGraphicFramePr>
              <a:graphicFrameLocks noChangeAspect="1"/>
            </wp:cNvGraphicFramePr>
            <a:graphic>
              <a:graphicData uri="http://schemas.openxmlformats.org/drawingml/2006/picture">
                <pic:pic>
                  <pic:nvPicPr>
                    <pic:cNvPr id="0" name="Fig4c_theta_trajectories.png"/>
                    <pic:cNvPicPr/>
                  </pic:nvPicPr>
                  <pic:blipFill>
                    <a:blip r:embed="rId15"/>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 Nguồn: tác giả tổng hợp từ kết quả thực nghiệm đề tài</w:t>
      </w:r>
    </w:p>
    <w:p>
      <w:pPr>
        <w:jc w:val="center"/>
      </w:pPr>
      <w:r>
        <w:drawing>
          <wp:inline xmlns:a="http://schemas.openxmlformats.org/drawingml/2006/main" xmlns:pic="http://schemas.openxmlformats.org/drawingml/2006/picture">
            <wp:extent cx="4500000" cy="2380952"/>
            <wp:docPr id="7" name="Picture 7"/>
            <wp:cNvGraphicFramePr>
              <a:graphicFrameLocks noChangeAspect="1"/>
            </wp:cNvGraphicFramePr>
            <a:graphic>
              <a:graphicData uri="http://schemas.openxmlformats.org/drawingml/2006/picture">
                <pic:pic>
                  <pic:nvPicPr>
                    <pic:cNvPr id="0" name="Fig4d_gradient_norms.png"/>
                    <pic:cNvPicPr/>
                  </pic:nvPicPr>
                  <pic:blipFill>
                    <a:blip r:embed="rId16"/>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 — Nguồn: tác giả tổng hợp từ kết quả thực nghiệm đề tài</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 — Nguồn: run khảo sát GĐ2,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8" name="Picture 8"/>
            <wp:cNvGraphicFramePr>
              <a:graphicFrameLocks noChangeAspect="1"/>
            </wp:cNvGraphicFramePr>
            <a:graphic>
              <a:graphicData uri="http://schemas.openxmlformats.org/drawingml/2006/picture">
                <pic:pic>
                  <pic:nvPicPr>
                    <pic:cNvPr id="0" name="circuit_ablation_breastmnist.png"/>
                    <pic:cNvPicPr/>
                  </pic:nvPicPr>
                  <pic:blipFill>
                    <a:blip r:embed="rId17"/>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 — Nguồn: tài liệu dự án</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 — Nguồn: đo bằng measure_params_cost.py (tài liệu dự 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jc w:val="both"/>
      </w:pPr>
      <w:r>
        <w:rPr>
          <w:rFonts w:ascii="Times New Roman" w:hAnsi="Times New Roman"/>
          <w:b w:val="0"/>
          <w:i w:val="0"/>
          <w:sz w:val="26"/>
        </w:rPr>
        <w:t>Khóa luận đã trình bày một benchmark đối xứng, khả tái lập so sánh quanvolution tĩnh/tự học với baseline CNN cổ điển trên MedMNIST. Ba kết luận chính: (1) Ưu thế lượng tử phụ thuộc chặt chẽ vào chế độ dữ liệu — thắng trên dữ liệu nhỏ, lệch lớp; thua quyết liệt trên dữ liệu lớn đa lớp; (2) Mạch tĩnh 0 tham số cung cấp thiên kiến quy nạp mạnh: ổn định phương sai ~2.7 lần và PR-AUC cao nhất trên BreastMNIST mà không cần huấn luyện kernel; (3) Khả năng tự học chỉ cục bộ trong cùng họ mạch và không vượt được mạch tĩnh được chọn tối ưu.</w:t>
      </w:r>
    </w:p>
    <w:p>
      <w:pPr>
        <w:spacing w:after="120"/>
        <w:jc w:val="left"/>
      </w:pPr>
      <w:r>
        <w:rPr>
          <w:rFonts w:ascii="Times New Roman" w:hAnsi="Times New Roman"/>
          <w:b/>
          <w:i w:val="0"/>
          <w:sz w:val="26"/>
        </w:rPr>
        <w:t>5.2. Những đóng góp mới</w:t>
      </w:r>
    </w:p>
    <w:p>
      <w:pPr>
        <w:spacing w:after="120"/>
        <w:jc w:val="both"/>
      </w:pPr>
      <w:r>
        <w:rPr>
          <w:rFonts w:ascii="Times New Roman" w:hAnsi="Times New Roman"/>
          <w:b w:val="0"/>
          <w:i w:val="0"/>
          <w:sz w:val="26"/>
        </w:rPr>
        <w:t>(1) Khung benchmark đối xứng 1:1 với kiểm định thống kê kép — khắc phục ba giới hạn L1–L3 của literature; (2) Phân định thực nghiệm ranh giới data-regime cho quanvolution 4-qubit; (3) Bộ tài liệu tái lập tự động: mã nguồn seed-cố định, ground truth JSON, kịch bản kiểm định số liệu; (4) Bản thảo bài báo quốc tế đã hoàn thiện, nộp và đang trong quá trình bình duyệt tại SOICT 2026 (Springer CCIS).</w:t>
      </w:r>
    </w:p>
    <w:p>
      <w:r>
        <w:br w:type="page"/>
      </w:r>
    </w:p>
    <w:p>
      <w:pPr>
        <w:spacing w:after="200"/>
        <w:jc w:val="left"/>
      </w:pPr>
      <w:r>
        <w:rPr>
          <w:rFonts w:ascii="Times New Roman" w:hAnsi="Times New Roman"/>
          <w:b/>
          <w:i w:val="0"/>
          <w:sz w:val="28"/>
        </w:rPr>
        <w:t>CHƯƠNG 6. HƯỚNG PHÁT TRIỂN</w:t>
      </w:r>
    </w:p>
    <w:p>
      <w:pPr>
        <w:spacing w:after="120"/>
        <w:jc w:val="both"/>
      </w:pPr>
      <w:r>
        <w:rPr>
          <w:rFonts w:ascii="Times New Roman" w:hAnsi="Times New Roman"/>
          <w:b w:val="0"/>
          <w:i w:val="0"/>
          <w:sz w:val="26"/>
        </w:rPr>
        <w:t>Bốn hướng phát triển tiếp theo: (1) tích hợp backend GPU/tensor-network (NVIDIA cuQuantum) để mở rộng quy mô ảnh và số qubit; (2) đánh giá dưới nhiễu NISQ thực (depolarizing, readout) trên phần cứng IBM QPU; (3) chạy full-scale OCTMNIST (~97,000 ảnh) và độ phân giải cao hơn với multi-scale patch; (4) đối chiếu trực tiếp với kiến trúc hybrid gating trước đó và khảo sát các phương án encoding khác (angle/HUAR/amplitude).</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T.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sectPr w:rsidR="00FC693F" w:rsidRPr="0006063C" w:rsidSect="00034616">
      <w:footerReference w:type="default" r:id="rId9"/>
      <w:pgSz w:w="12240" w:h="15840"/>
      <w:pgMar w:top="1701" w:right="1134" w:bottom="1984"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