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left"/>
      </w:pPr>
      <w:r>
        <w:rPr>
          <w:rFonts w:ascii="Arial" w:hAnsi="Arial"/>
          <w:b/>
          <w:color w:val="2B4C7E"/>
          <w:sz w:val="44"/>
        </w:rPr>
        <w:t>Kỹ Thuật Biến Đổi &amp; Định Dạng Lại Dữ Liệu</w:t>
        <w:br/>
        <w:t>(Data Transformation &amp; Reshaping)</w:t>
      </w:r>
    </w:p>
    <w:p>
      <w:pPr>
        <w:spacing w:after="240" w:line="276" w:lineRule="auto"/>
      </w:pPr>
      <w:r>
        <w:rPr>
          <w:rFonts w:ascii="Arial" w:hAnsi="Arial"/>
          <w:sz w:val="22"/>
        </w:rPr>
        <w:t>Nếu từng làm việc với Machine Learning (ML), chắc chắn bạn đã nghe qua cụm từ Transformation hay Reshaping (Biến đổi/Định dạng lại dữ liệu). Nói một cách thực tế: Máy tính hay các thuật toán ML bản chất chỉ là những cỗ máy giải các phương trình toán học. Chúng chỉ "tiêu hóa" được con số và các ma trận (mathematical matrices), chứ hoàn toàn mù tịt trước những chữ như "Junior", "Python" hay "Java".</w:t>
      </w:r>
    </w:p>
    <w:p>
      <w:pPr>
        <w:spacing w:after="320" w:line="276" w:lineRule="auto"/>
      </w:pPr>
      <w:r>
        <w:rPr>
          <w:rFonts w:ascii="Arial" w:hAnsi="Arial"/>
          <w:sz w:val="22"/>
        </w:rPr>
        <w:t>Hơn nữa, các thuật toán này cực kỳ nhạy cảm với thang đo (scale) của dữ liệu. Nếu bạn để một cột có giá trị lên tới hàng trăm nghìn, còn cột khác chỉ lẹt đẹt từ 0 đến 2, model sẽ bị "ngợp" và thiên vị ngay lập tức. Đó là lý do vì sao chúng ta phải tiền xử lý (Preprocessing) để đưa dữ liệu thô về một "hình hài" mà model có thể hiểu và học một cách chính xác nhất.</w:t>
        <w:br/>
        <w:br/>
        <w:t>Hãy cùng nhìn vào một ví dụ thực tế dưới đây: Một tập dữ liệu nhỏ gọn về mức lương của Software Engineer.</w:t>
      </w:r>
    </w:p>
    <w:p>
      <w:pPr>
        <w:spacing w:before="280" w:after="160"/>
      </w:pPr>
      <w:r>
        <w:rPr>
          <w:rFonts w:ascii="Arial" w:hAnsi="Arial"/>
          <w:b/>
          <w:color w:val="2B4C7E"/>
          <w:sz w:val="28"/>
        </w:rPr>
        <w:t>1. Dữ liệu gốc (Raw Dataset) ban đầu</w:t>
      </w:r>
    </w:p>
    <w:p>
      <w:pPr>
        <w:spacing w:after="160"/>
      </w:pPr>
      <w:r>
        <w:rPr>
          <w:rFonts w:ascii="Arial" w:hAnsi="Arial"/>
          <w:sz w:val="22"/>
        </w:rPr>
        <w:t>Giả sử chúng ta thu thập được một bảng dữ liệu "sơ khai" như thế này:</w:t>
      </w:r>
    </w:p>
    <w:tbl>
      <w:tblPr>
        <w:tblW w:type="auto" w:w="0"/>
        <w:tblLayout w:type="fixed"/>
        <w:tblLook w:firstColumn="1" w:firstRow="1" w:lastColumn="0" w:lastRow="0" w:noHBand="0" w:noVBand="1" w:val="04A0"/>
      </w:tblPr>
      <w:tblGrid>
        <w:gridCol w:w="2340"/>
        <w:gridCol w:w="2340"/>
        <w:gridCol w:w="2340"/>
        <w:gridCol w:w="2340"/>
      </w:tblGrid>
      <w:tr>
        <w:tc>
          <w:tcPr>
            <w:tcW w:type="dxa" w:w="864"/>
            <w:tcMar>
              <w:top w:w="100" w:type="dxa"/>
              <w:bottom w:w="100" w:type="dxa"/>
              <w:left w:w="120" w:type="dxa"/>
              <w:right w:w="120" w:type="dxa"/>
            </w:tcMar>
            <w:shd w:fill="2B4C7E"/>
            <w:tcBorders>
              <w:top w:val="single" w:sz="4" w:space="0" w:color="D3D3D3"/>
              <w:left w:val="none"/>
              <w:bottom w:val="single" w:sz="4" w:space="0" w:color="D3D3D3"/>
              <w:right w:val="none"/>
            </w:tcBorders>
          </w:tcPr>
          <w:p>
            <w:pPr>
              <w:spacing w:before="0" w:after="0"/>
            </w:pPr>
            <w:r>
              <w:rPr>
                <w:rFonts w:ascii="Arial" w:hAnsi="Arial"/>
                <w:b/>
                <w:color w:val="FFFFFF"/>
                <w:sz w:val="21"/>
              </w:rPr>
              <w:t>ID</w:t>
            </w:r>
          </w:p>
        </w:tc>
        <w:tc>
          <w:tcPr>
            <w:tcW w:type="dxa" w:w="2592"/>
            <w:tcMar>
              <w:top w:w="100" w:type="dxa"/>
              <w:bottom w:w="100" w:type="dxa"/>
              <w:left w:w="120" w:type="dxa"/>
              <w:right w:w="120" w:type="dxa"/>
            </w:tcMar>
            <w:shd w:fill="2B4C7E"/>
            <w:tcBorders>
              <w:top w:val="single" w:sz="4" w:space="0" w:color="D3D3D3"/>
              <w:left w:val="none"/>
              <w:bottom w:val="single" w:sz="4" w:space="0" w:color="D3D3D3"/>
              <w:right w:val="none"/>
            </w:tcBorders>
          </w:tcPr>
          <w:p>
            <w:pPr>
              <w:spacing w:before="0" w:after="0"/>
            </w:pPr>
            <w:r>
              <w:rPr>
                <w:rFonts w:ascii="Arial" w:hAnsi="Arial"/>
                <w:b/>
                <w:color w:val="FFFFFF"/>
                <w:sz w:val="21"/>
              </w:rPr>
              <w:t>Cấp bậc (Level)</w:t>
            </w:r>
          </w:p>
        </w:tc>
        <w:tc>
          <w:tcPr>
            <w:tcW w:type="dxa" w:w="3312"/>
            <w:tcMar>
              <w:top w:w="100" w:type="dxa"/>
              <w:bottom w:w="100" w:type="dxa"/>
              <w:left w:w="120" w:type="dxa"/>
              <w:right w:w="120" w:type="dxa"/>
            </w:tcMar>
            <w:shd w:fill="2B4C7E"/>
            <w:tcBorders>
              <w:top w:val="single" w:sz="4" w:space="0" w:color="D3D3D3"/>
              <w:left w:val="none"/>
              <w:bottom w:val="single" w:sz="4" w:space="0" w:color="D3D3D3"/>
              <w:right w:val="none"/>
            </w:tcBorders>
          </w:tcPr>
          <w:p>
            <w:pPr>
              <w:spacing w:before="0" w:after="0"/>
            </w:pPr>
            <w:r>
              <w:rPr>
                <w:rFonts w:ascii="Arial" w:hAnsi="Arial"/>
                <w:b/>
                <w:color w:val="FFFFFF"/>
                <w:sz w:val="21"/>
              </w:rPr>
              <w:t>Ngôn ngữ chính (Tech Stack)</w:t>
            </w:r>
          </w:p>
        </w:tc>
        <w:tc>
          <w:tcPr>
            <w:tcW w:type="dxa" w:w="2592"/>
            <w:tcMar>
              <w:top w:w="100" w:type="dxa"/>
              <w:bottom w:w="100" w:type="dxa"/>
              <w:left w:w="120" w:type="dxa"/>
              <w:right w:w="120" w:type="dxa"/>
            </w:tcMar>
            <w:shd w:fill="2B4C7E"/>
            <w:tcBorders>
              <w:top w:val="single" w:sz="4" w:space="0" w:color="D3D3D3"/>
              <w:left w:val="none"/>
              <w:bottom w:val="single" w:sz="4" w:space="0" w:color="D3D3D3"/>
              <w:right w:val="none"/>
            </w:tcBorders>
          </w:tcPr>
          <w:p>
            <w:pPr>
              <w:spacing w:before="0" w:after="0"/>
            </w:pPr>
            <w:r>
              <w:rPr>
                <w:rFonts w:ascii="Arial" w:hAnsi="Arial"/>
                <w:b/>
                <w:color w:val="FFFFFF"/>
                <w:sz w:val="21"/>
              </w:rPr>
              <w:t>Lương (USD/năm)</w:t>
            </w:r>
          </w:p>
        </w:tc>
      </w:tr>
      <w:tr>
        <w:tc>
          <w:tcPr>
            <w:tcW w:type="dxa" w:w="864"/>
            <w:tcMar>
              <w:top w:w="100" w:type="dxa"/>
              <w:bottom w:w="100" w:type="dxa"/>
              <w:left w:w="120" w:type="dxa"/>
              <w:right w:w="120" w:type="dxa"/>
            </w:tcMar>
            <w:shd w:fill="FFFFFF"/>
            <w:tcBorders>
              <w:top w:val="single" w:sz="4" w:space="0" w:color="D3D3D3"/>
              <w:left w:val="none"/>
              <w:bottom w:val="single" w:sz="4" w:space="0" w:color="D3D3D3"/>
              <w:right w:val="none"/>
            </w:tcBorders>
          </w:tcPr>
          <w:p>
            <w:pPr>
              <w:spacing w:before="0" w:after="0"/>
            </w:pPr>
            <w:r>
              <w:rPr>
                <w:rFonts w:ascii="Arial" w:hAnsi="Arial"/>
                <w:sz w:val="21"/>
              </w:rPr>
              <w:t>1</w:t>
            </w:r>
          </w:p>
        </w:tc>
        <w:tc>
          <w:tcPr>
            <w:tcW w:type="dxa" w:w="2592"/>
            <w:tcMar>
              <w:top w:w="100" w:type="dxa"/>
              <w:bottom w:w="100" w:type="dxa"/>
              <w:left w:w="120" w:type="dxa"/>
              <w:right w:w="120" w:type="dxa"/>
            </w:tcMar>
            <w:shd w:fill="FFFFFF"/>
            <w:tcBorders>
              <w:top w:val="single" w:sz="4" w:space="0" w:color="D3D3D3"/>
              <w:left w:val="none"/>
              <w:bottom w:val="single" w:sz="4" w:space="0" w:color="D3D3D3"/>
              <w:right w:val="none"/>
            </w:tcBorders>
          </w:tcPr>
          <w:p>
            <w:pPr>
              <w:spacing w:before="0" w:after="0"/>
            </w:pPr>
            <w:r>
              <w:rPr>
                <w:rFonts w:ascii="Arial" w:hAnsi="Arial"/>
                <w:sz w:val="21"/>
              </w:rPr>
              <w:t>Junior</w:t>
            </w:r>
          </w:p>
        </w:tc>
        <w:tc>
          <w:tcPr>
            <w:tcW w:type="dxa" w:w="3312"/>
            <w:tcMar>
              <w:top w:w="100" w:type="dxa"/>
              <w:bottom w:w="100" w:type="dxa"/>
              <w:left w:w="120" w:type="dxa"/>
              <w:right w:w="120" w:type="dxa"/>
            </w:tcMar>
            <w:shd w:fill="FFFFFF"/>
            <w:tcBorders>
              <w:top w:val="single" w:sz="4" w:space="0" w:color="D3D3D3"/>
              <w:left w:val="none"/>
              <w:bottom w:val="single" w:sz="4" w:space="0" w:color="D3D3D3"/>
              <w:right w:val="none"/>
            </w:tcBorders>
          </w:tcPr>
          <w:p>
            <w:pPr>
              <w:spacing w:before="0" w:after="0"/>
            </w:pPr>
            <w:r>
              <w:rPr>
                <w:rFonts w:ascii="Arial" w:hAnsi="Arial"/>
                <w:sz w:val="21"/>
              </w:rPr>
              <w:t>Python</w:t>
            </w:r>
          </w:p>
        </w:tc>
        <w:tc>
          <w:tcPr>
            <w:tcW w:type="dxa" w:w="2592"/>
            <w:tcMar>
              <w:top w:w="100" w:type="dxa"/>
              <w:bottom w:w="100" w:type="dxa"/>
              <w:left w:w="120" w:type="dxa"/>
              <w:right w:w="120" w:type="dxa"/>
            </w:tcMar>
            <w:shd w:fill="FFFFFF"/>
            <w:tcBorders>
              <w:top w:val="single" w:sz="4" w:space="0" w:color="D3D3D3"/>
              <w:left w:val="none"/>
              <w:bottom w:val="single" w:sz="4" w:space="0" w:color="D3D3D3"/>
              <w:right w:val="none"/>
            </w:tcBorders>
          </w:tcPr>
          <w:p>
            <w:pPr>
              <w:spacing w:before="0" w:after="0"/>
            </w:pPr>
            <w:r>
              <w:rPr>
                <w:rFonts w:ascii="Arial" w:hAnsi="Arial"/>
                <w:sz w:val="21"/>
              </w:rPr>
              <w:t>60,000</w:t>
            </w:r>
          </w:p>
        </w:tc>
      </w:tr>
      <w:tr>
        <w:tc>
          <w:tcPr>
            <w:tcW w:type="dxa" w:w="864"/>
            <w:tcMar>
              <w:top w:w="100" w:type="dxa"/>
              <w:bottom w:w="100" w:type="dxa"/>
              <w:left w:w="120" w:type="dxa"/>
              <w:right w:w="120" w:type="dxa"/>
            </w:tcMar>
            <w:shd w:fill="F7F9FA"/>
            <w:tcBorders>
              <w:top w:val="single" w:sz="4" w:space="0" w:color="D3D3D3"/>
              <w:left w:val="none"/>
              <w:bottom w:val="single" w:sz="4" w:space="0" w:color="D3D3D3"/>
              <w:right w:val="none"/>
            </w:tcBorders>
          </w:tcPr>
          <w:p>
            <w:pPr>
              <w:spacing w:before="0" w:after="0"/>
            </w:pPr>
            <w:r>
              <w:rPr>
                <w:rFonts w:ascii="Arial" w:hAnsi="Arial"/>
                <w:sz w:val="21"/>
              </w:rPr>
              <w:t>2</w:t>
            </w:r>
          </w:p>
        </w:tc>
        <w:tc>
          <w:tcPr>
            <w:tcW w:type="dxa" w:w="2592"/>
            <w:tcMar>
              <w:top w:w="100" w:type="dxa"/>
              <w:bottom w:w="100" w:type="dxa"/>
              <w:left w:w="120" w:type="dxa"/>
              <w:right w:w="120" w:type="dxa"/>
            </w:tcMar>
            <w:shd w:fill="F7F9FA"/>
            <w:tcBorders>
              <w:top w:val="single" w:sz="4" w:space="0" w:color="D3D3D3"/>
              <w:left w:val="none"/>
              <w:bottom w:val="single" w:sz="4" w:space="0" w:color="D3D3D3"/>
              <w:right w:val="none"/>
            </w:tcBorders>
          </w:tcPr>
          <w:p>
            <w:pPr>
              <w:spacing w:before="0" w:after="0"/>
            </w:pPr>
            <w:r>
              <w:rPr>
                <w:rFonts w:ascii="Arial" w:hAnsi="Arial"/>
                <w:sz w:val="21"/>
              </w:rPr>
              <w:t>Mid-level</w:t>
            </w:r>
          </w:p>
        </w:tc>
        <w:tc>
          <w:tcPr>
            <w:tcW w:type="dxa" w:w="3312"/>
            <w:tcMar>
              <w:top w:w="100" w:type="dxa"/>
              <w:bottom w:w="100" w:type="dxa"/>
              <w:left w:w="120" w:type="dxa"/>
              <w:right w:w="120" w:type="dxa"/>
            </w:tcMar>
            <w:shd w:fill="F7F9FA"/>
            <w:tcBorders>
              <w:top w:val="single" w:sz="4" w:space="0" w:color="D3D3D3"/>
              <w:left w:val="none"/>
              <w:bottom w:val="single" w:sz="4" w:space="0" w:color="D3D3D3"/>
              <w:right w:val="none"/>
            </w:tcBorders>
          </w:tcPr>
          <w:p>
            <w:pPr>
              <w:spacing w:before="0" w:after="0"/>
            </w:pPr>
            <w:r>
              <w:rPr>
                <w:rFonts w:ascii="Arial" w:hAnsi="Arial"/>
                <w:sz w:val="21"/>
              </w:rPr>
              <w:t>Java</w:t>
            </w:r>
          </w:p>
        </w:tc>
        <w:tc>
          <w:tcPr>
            <w:tcW w:type="dxa" w:w="2592"/>
            <w:tcMar>
              <w:top w:w="100" w:type="dxa"/>
              <w:bottom w:w="100" w:type="dxa"/>
              <w:left w:w="120" w:type="dxa"/>
              <w:right w:w="120" w:type="dxa"/>
            </w:tcMar>
            <w:shd w:fill="F7F9FA"/>
            <w:tcBorders>
              <w:top w:val="single" w:sz="4" w:space="0" w:color="D3D3D3"/>
              <w:left w:val="none"/>
              <w:bottom w:val="single" w:sz="4" w:space="0" w:color="D3D3D3"/>
              <w:right w:val="none"/>
            </w:tcBorders>
          </w:tcPr>
          <w:p>
            <w:pPr>
              <w:spacing w:before="0" w:after="0"/>
            </w:pPr>
            <w:r>
              <w:rPr>
                <w:rFonts w:ascii="Arial" w:hAnsi="Arial"/>
                <w:sz w:val="21"/>
              </w:rPr>
              <w:t>90,000</w:t>
            </w:r>
          </w:p>
        </w:tc>
      </w:tr>
      <w:tr>
        <w:tc>
          <w:tcPr>
            <w:tcW w:type="dxa" w:w="864"/>
            <w:tcMar>
              <w:top w:w="100" w:type="dxa"/>
              <w:bottom w:w="100" w:type="dxa"/>
              <w:left w:w="120" w:type="dxa"/>
              <w:right w:w="120" w:type="dxa"/>
            </w:tcMar>
            <w:shd w:fill="FFFFFF"/>
            <w:tcBorders>
              <w:top w:val="single" w:sz="4" w:space="0" w:color="D3D3D3"/>
              <w:left w:val="none"/>
              <w:bottom w:val="single" w:sz="4" w:space="0" w:color="D3D3D3"/>
              <w:right w:val="none"/>
            </w:tcBorders>
          </w:tcPr>
          <w:p>
            <w:pPr>
              <w:spacing w:before="0" w:after="0"/>
            </w:pPr>
            <w:r>
              <w:rPr>
                <w:rFonts w:ascii="Arial" w:hAnsi="Arial"/>
                <w:sz w:val="21"/>
              </w:rPr>
              <w:t>3</w:t>
            </w:r>
          </w:p>
        </w:tc>
        <w:tc>
          <w:tcPr>
            <w:tcW w:type="dxa" w:w="2592"/>
            <w:tcMar>
              <w:top w:w="100" w:type="dxa"/>
              <w:bottom w:w="100" w:type="dxa"/>
              <w:left w:w="120" w:type="dxa"/>
              <w:right w:w="120" w:type="dxa"/>
            </w:tcMar>
            <w:shd w:fill="FFFFFF"/>
            <w:tcBorders>
              <w:top w:val="single" w:sz="4" w:space="0" w:color="D3D3D3"/>
              <w:left w:val="none"/>
              <w:bottom w:val="single" w:sz="4" w:space="0" w:color="D3D3D3"/>
              <w:right w:val="none"/>
            </w:tcBorders>
          </w:tcPr>
          <w:p>
            <w:pPr>
              <w:spacing w:before="0" w:after="0"/>
            </w:pPr>
            <w:r>
              <w:rPr>
                <w:rFonts w:ascii="Arial" w:hAnsi="Arial"/>
                <w:sz w:val="21"/>
              </w:rPr>
              <w:t>Senior</w:t>
            </w:r>
          </w:p>
        </w:tc>
        <w:tc>
          <w:tcPr>
            <w:tcW w:type="dxa" w:w="3312"/>
            <w:tcMar>
              <w:top w:w="100" w:type="dxa"/>
              <w:bottom w:w="100" w:type="dxa"/>
              <w:left w:w="120" w:type="dxa"/>
              <w:right w:w="120" w:type="dxa"/>
            </w:tcMar>
            <w:shd w:fill="FFFFFF"/>
            <w:tcBorders>
              <w:top w:val="single" w:sz="4" w:space="0" w:color="D3D3D3"/>
              <w:left w:val="none"/>
              <w:bottom w:val="single" w:sz="4" w:space="0" w:color="D3D3D3"/>
              <w:right w:val="none"/>
            </w:tcBorders>
          </w:tcPr>
          <w:p>
            <w:pPr>
              <w:spacing w:before="0" w:after="0"/>
            </w:pPr>
            <w:r>
              <w:rPr>
                <w:rFonts w:ascii="Arial" w:hAnsi="Arial"/>
                <w:sz w:val="21"/>
              </w:rPr>
              <w:t>Python</w:t>
            </w:r>
          </w:p>
        </w:tc>
        <w:tc>
          <w:tcPr>
            <w:tcW w:type="dxa" w:w="2592"/>
            <w:tcMar>
              <w:top w:w="100" w:type="dxa"/>
              <w:bottom w:w="100" w:type="dxa"/>
              <w:left w:w="120" w:type="dxa"/>
              <w:right w:w="120" w:type="dxa"/>
            </w:tcMar>
            <w:shd w:fill="FFFFFF"/>
            <w:tcBorders>
              <w:top w:val="single" w:sz="4" w:space="0" w:color="D3D3D3"/>
              <w:left w:val="none"/>
              <w:bottom w:val="single" w:sz="4" w:space="0" w:color="D3D3D3"/>
              <w:right w:val="none"/>
            </w:tcBorders>
          </w:tcPr>
          <w:p>
            <w:pPr>
              <w:spacing w:before="0" w:after="0"/>
            </w:pPr>
            <w:r>
              <w:rPr>
                <w:rFonts w:ascii="Arial" w:hAnsi="Arial"/>
                <w:sz w:val="21"/>
              </w:rPr>
              <w:t>150,000</w:t>
            </w:r>
          </w:p>
        </w:tc>
      </w:tr>
      <w:tr>
        <w:tc>
          <w:tcPr>
            <w:tcW w:type="dxa" w:w="864"/>
            <w:tcMar>
              <w:top w:w="100" w:type="dxa"/>
              <w:bottom w:w="100" w:type="dxa"/>
              <w:left w:w="120" w:type="dxa"/>
              <w:right w:w="120" w:type="dxa"/>
            </w:tcMar>
            <w:shd w:fill="F7F9FA"/>
            <w:tcBorders>
              <w:top w:val="single" w:sz="4" w:space="0" w:color="D3D3D3"/>
              <w:left w:val="none"/>
              <w:bottom w:val="single" w:sz="4" w:space="0" w:color="D3D3D3"/>
              <w:right w:val="none"/>
            </w:tcBorders>
          </w:tcPr>
          <w:p>
            <w:pPr>
              <w:spacing w:before="0" w:after="0"/>
            </w:pPr>
            <w:r>
              <w:rPr>
                <w:rFonts w:ascii="Arial" w:hAnsi="Arial"/>
                <w:sz w:val="21"/>
              </w:rPr>
              <w:t>4</w:t>
            </w:r>
          </w:p>
        </w:tc>
        <w:tc>
          <w:tcPr>
            <w:tcW w:type="dxa" w:w="2592"/>
            <w:tcMar>
              <w:top w:w="100" w:type="dxa"/>
              <w:bottom w:w="100" w:type="dxa"/>
              <w:left w:w="120" w:type="dxa"/>
              <w:right w:w="120" w:type="dxa"/>
            </w:tcMar>
            <w:shd w:fill="F7F9FA"/>
            <w:tcBorders>
              <w:top w:val="single" w:sz="4" w:space="0" w:color="D3D3D3"/>
              <w:left w:val="none"/>
              <w:bottom w:val="single" w:sz="4" w:space="0" w:color="D3D3D3"/>
              <w:right w:val="none"/>
            </w:tcBorders>
          </w:tcPr>
          <w:p>
            <w:pPr>
              <w:spacing w:before="0" w:after="0"/>
            </w:pPr>
            <w:r>
              <w:rPr>
                <w:rFonts w:ascii="Arial" w:hAnsi="Arial"/>
                <w:sz w:val="21"/>
              </w:rPr>
              <w:t>Mid-level</w:t>
            </w:r>
          </w:p>
        </w:tc>
        <w:tc>
          <w:tcPr>
            <w:tcW w:type="dxa" w:w="3312"/>
            <w:tcMar>
              <w:top w:w="100" w:type="dxa"/>
              <w:bottom w:w="100" w:type="dxa"/>
              <w:left w:w="120" w:type="dxa"/>
              <w:right w:w="120" w:type="dxa"/>
            </w:tcMar>
            <w:shd w:fill="F7F9FA"/>
            <w:tcBorders>
              <w:top w:val="single" w:sz="4" w:space="0" w:color="D3D3D3"/>
              <w:left w:val="none"/>
              <w:bottom w:val="single" w:sz="4" w:space="0" w:color="D3D3D3"/>
              <w:right w:val="none"/>
            </w:tcBorders>
          </w:tcPr>
          <w:p>
            <w:pPr>
              <w:spacing w:before="0" w:after="0"/>
            </w:pPr>
            <w:r>
              <w:rPr>
                <w:rFonts w:ascii="Arial" w:hAnsi="Arial"/>
                <w:sz w:val="21"/>
              </w:rPr>
              <w:t>JavaScript</w:t>
            </w:r>
          </w:p>
        </w:tc>
        <w:tc>
          <w:tcPr>
            <w:tcW w:type="dxa" w:w="2592"/>
            <w:tcMar>
              <w:top w:w="100" w:type="dxa"/>
              <w:bottom w:w="100" w:type="dxa"/>
              <w:left w:w="120" w:type="dxa"/>
              <w:right w:w="120" w:type="dxa"/>
            </w:tcMar>
            <w:shd w:fill="F7F9FA"/>
            <w:tcBorders>
              <w:top w:val="single" w:sz="4" w:space="0" w:color="D3D3D3"/>
              <w:left w:val="none"/>
              <w:bottom w:val="single" w:sz="4" w:space="0" w:color="D3D3D3"/>
              <w:right w:val="none"/>
            </w:tcBorders>
          </w:tcPr>
          <w:p>
            <w:pPr>
              <w:spacing w:before="0" w:after="0"/>
            </w:pPr>
            <w:r>
              <w:rPr>
                <w:rFonts w:ascii="Arial" w:hAnsi="Arial"/>
                <w:sz w:val="21"/>
              </w:rPr>
              <w:t>85,000</w:t>
            </w:r>
          </w:p>
        </w:tc>
      </w:tr>
    </w:tbl>
    <w:p>
      <w:pPr>
        <w:spacing w:before="160" w:after="120"/>
      </w:pPr>
    </w:p>
    <w:tbl>
      <w:tblPr>
        <w:tblW w:type="auto" w:w="0"/>
        <w:tblLayout w:type="fixed"/>
        <w:tblLook w:firstColumn="1" w:firstRow="1" w:lastColumn="0" w:lastRow="0" w:noHBand="0" w:noVBand="1" w:val="04A0"/>
      </w:tblPr>
      <w:tblGrid>
        <w:gridCol w:w="9360"/>
      </w:tblGrid>
      <w:tr>
        <w:tc>
          <w:tcPr>
            <w:tcW w:type="dxa" w:w="9360"/>
            <w:shd w:fill="F2F5F8"/>
            <w:tcMar>
              <w:top w:w="140" w:type="dxa"/>
              <w:bottom w:w="140" w:type="dxa"/>
              <w:left w:w="200" w:type="dxa"/>
              <w:right w:w="200" w:type="dxa"/>
            </w:tcMar>
            <w:tcBorders>
              <w:top w:val="none"/>
              <w:left w:val="single" w:sz="24" w:space="0" w:color="2B4C7E"/>
              <w:bottom w:val="none"/>
              <w:right w:val="none"/>
            </w:tcBorders>
          </w:tcPr>
          <w:p>
            <w:pPr>
              <w:spacing w:before="0" w:after="0" w:line="276" w:lineRule="auto"/>
            </w:pPr>
            <w:r>
              <w:rPr>
                <w:rFonts w:ascii="Arial" w:hAnsi="Arial"/>
                <w:i/>
                <w:color w:val="333333"/>
                <w:sz w:val="22"/>
              </w:rPr>
              <w:t>Lưu ý thực tế: Nếu bạn bê nguyên xi bảng này ném thẳng vào các model như Linear Regression hay Random Forest, code của bạn sẽ báo lỗi (crash) ngay lập tức. Model sẽ "chê" vì không biết xử lý chữ "Junior" hay "Python" kiểu gì, chưa kể con số lương quá khủng so với phần còn lại.</w:t>
            </w:r>
          </w:p>
        </w:tc>
      </w:tr>
    </w:tbl>
    <w:p>
      <w:pPr>
        <w:spacing w:before="0" w:after="120"/>
      </w:pPr>
    </w:p>
    <w:p>
      <w:pPr>
        <w:spacing w:before="280" w:after="160"/>
      </w:pPr>
      <w:r>
        <w:rPr>
          <w:rFonts w:ascii="Arial" w:hAnsi="Arial"/>
          <w:b/>
          <w:color w:val="2B4C7E"/>
          <w:sz w:val="28"/>
        </w:rPr>
        <w:t>2. Các tuyệt chiêu "F5" lại dữ liệu để Model tiêu hóa được</w:t>
      </w:r>
    </w:p>
    <w:p>
      <w:pPr>
        <w:spacing w:before="120" w:after="80"/>
      </w:pPr>
      <w:r>
        <w:rPr>
          <w:rFonts w:ascii="Arial" w:hAnsi="Arial"/>
          <w:b/>
          <w:sz w:val="24"/>
        </w:rPr>
        <w:t>A. Label Encoding (Mã hóa nhãn có thứ tự)</w:t>
      </w:r>
    </w:p>
    <w:p>
      <w:pPr>
        <w:pStyle w:val="ListBullet"/>
        <w:spacing w:after="60" w:line="276" w:lineRule="auto"/>
      </w:pPr>
      <w:r>
        <w:rPr>
          <w:rFonts w:ascii="Arial" w:hAnsi="Arial"/>
          <w:b/>
          <w:sz w:val="22"/>
        </w:rPr>
        <w:t xml:space="preserve">Áp dụng cho: </w:t>
      </w:r>
      <w:r>
        <w:rPr>
          <w:rFonts w:ascii="Arial" w:hAnsi="Arial"/>
          <w:sz w:val="22"/>
        </w:rPr>
        <w:t>Cột Cấp bậc (Level).</w:t>
      </w:r>
    </w:p>
    <w:p>
      <w:pPr>
        <w:pStyle w:val="ListBullet"/>
        <w:spacing w:after="80" w:line="276" w:lineRule="auto"/>
      </w:pPr>
      <w:r>
        <w:rPr>
          <w:rFonts w:ascii="Arial" w:hAnsi="Arial"/>
          <w:b/>
          <w:sz w:val="22"/>
        </w:rPr>
        <w:t xml:space="preserve">Giải thích thực tế: </w:t>
      </w:r>
      <w:r>
        <w:rPr>
          <w:rFonts w:ascii="Arial" w:hAnsi="Arial"/>
          <w:sz w:val="22"/>
        </w:rPr>
        <w:t>Rõ ràng cấp bậc trong ngành tech có tính thứ tự tăng dần (Junior &lt; Mid-level &lt; Senior). Để giữ lại logic này cho model hiểu, chúng ta sẽ "số hóa" chúng thành các số nguyên tăng dần:</w:t>
      </w:r>
    </w:p>
    <w:p>
      <w:pPr>
        <w:spacing w:after="200"/>
        <w:ind w:left="720"/>
      </w:pPr>
      <w:r>
        <w:rPr>
          <w:rFonts w:ascii="Arial" w:hAnsi="Arial"/>
          <w:b/>
          <w:color w:val="3C3C3C"/>
          <w:sz w:val="22"/>
        </w:rPr>
        <w:t>• Junior  ➔  0</w:t>
        <w:br/>
        <w:t>• Mid-level  ➔  1</w:t>
        <w:br/>
        <w:t>• Senior  ➔  2</w:t>
      </w:r>
    </w:p>
    <w:p>
      <w:pPr>
        <w:spacing w:before="160" w:after="80"/>
      </w:pPr>
      <w:r>
        <w:rPr>
          <w:rFonts w:ascii="Arial" w:hAnsi="Arial"/>
          <w:b/>
          <w:sz w:val="24"/>
        </w:rPr>
        <w:t>B. One-Hot Encoding (Mã hóa biến phân loại không thứ tự)</w:t>
      </w:r>
    </w:p>
    <w:p>
      <w:pPr>
        <w:pStyle w:val="ListBullet"/>
        <w:spacing w:after="60" w:line="276" w:lineRule="auto"/>
      </w:pPr>
      <w:r>
        <w:rPr>
          <w:rFonts w:ascii="Arial" w:hAnsi="Arial"/>
          <w:b/>
          <w:sz w:val="22"/>
        </w:rPr>
        <w:t xml:space="preserve">Áp dụng cho: </w:t>
      </w:r>
      <w:r>
        <w:rPr>
          <w:rFonts w:ascii="Arial" w:hAnsi="Arial"/>
          <w:sz w:val="22"/>
        </w:rPr>
        <w:t>Cột Ngôn ngữ chính (Tech Stack).</w:t>
      </w:r>
    </w:p>
    <w:p>
      <w:pPr>
        <w:pStyle w:val="ListBullet"/>
        <w:spacing w:after="80" w:line="276" w:lineRule="auto"/>
      </w:pPr>
      <w:r>
        <w:rPr>
          <w:rFonts w:ascii="Arial" w:hAnsi="Arial"/>
          <w:b/>
          <w:sz w:val="22"/>
        </w:rPr>
        <w:t xml:space="preserve">Giải thích thực tế: </w:t>
      </w:r>
      <w:r>
        <w:rPr>
          <w:rFonts w:ascii="Arial" w:hAnsi="Arial"/>
          <w:sz w:val="22"/>
        </w:rPr>
        <w:t>Khác với cấp bậc, các ngôn ngữ lập trình như Python, Java hay JavaScript hoàn toàn bình đẳng, không có chuyện ngôn ngữ này "lớn hơn" hay "cao cấp hơn" ngôn ngữ kia. Nếu định dạng theo kiểu 0, 1, 2, model sẽ hiểu nhầm là Python &lt; Java &lt; JavaScript — điều này làm sai lệch bản chất dữ liệu.</w:t>
      </w:r>
    </w:p>
    <w:p>
      <w:pPr>
        <w:pStyle w:val="ListBullet"/>
        <w:spacing w:after="200" w:line="276" w:lineRule="auto"/>
      </w:pPr>
      <w:r>
        <w:rPr>
          <w:rFonts w:ascii="Arial" w:hAnsi="Arial"/>
          <w:b/>
          <w:sz w:val="22"/>
        </w:rPr>
        <w:t xml:space="preserve">Cách giải quyết: </w:t>
      </w:r>
      <w:r>
        <w:rPr>
          <w:rFonts w:ascii="Arial" w:hAnsi="Arial"/>
          <w:sz w:val="22"/>
        </w:rPr>
        <w:t>Chúng ta dùng One-Hot Encoding để "banh" cột này thành 3 cột riêng biệt tương ứng với 3 ngôn ngữ: Tech_Python, Tech_Java, Tech_JavaScript. Ai dùng ngôn ngữ nào thì cột đó điền số 1, các cột còn lại điền số 0.</w:t>
      </w:r>
    </w:p>
    <w:p>
      <w:pPr>
        <w:spacing w:before="160" w:after="80"/>
      </w:pPr>
      <w:r>
        <w:rPr>
          <w:rFonts w:ascii="Arial" w:hAnsi="Arial"/>
          <w:b/>
          <w:sz w:val="24"/>
        </w:rPr>
        <w:t>C. Min-Max Scaling (Chuẩn hóa đưa về cùng một hệ quy chiếu)</w:t>
      </w:r>
    </w:p>
    <w:p>
      <w:pPr>
        <w:pStyle w:val="ListBullet"/>
        <w:spacing w:after="60" w:line="276" w:lineRule="auto"/>
      </w:pPr>
      <w:r>
        <w:rPr>
          <w:rFonts w:ascii="Arial" w:hAnsi="Arial"/>
          <w:b/>
          <w:sz w:val="22"/>
        </w:rPr>
        <w:t xml:space="preserve">Áp dụng cho: </w:t>
      </w:r>
      <w:r>
        <w:rPr>
          <w:rFonts w:ascii="Arial" w:hAnsi="Arial"/>
          <w:sz w:val="22"/>
        </w:rPr>
        <w:t>Cột Lương (USD/năm).</w:t>
      </w:r>
    </w:p>
    <w:p>
      <w:pPr>
        <w:pStyle w:val="ListBullet"/>
        <w:spacing w:after="80" w:line="276" w:lineRule="auto"/>
      </w:pPr>
      <w:r>
        <w:rPr>
          <w:rFonts w:ascii="Arial" w:hAnsi="Arial"/>
          <w:b/>
          <w:sz w:val="22"/>
        </w:rPr>
        <w:t xml:space="preserve">Giải thích thực tế: </w:t>
      </w:r>
      <w:r>
        <w:rPr>
          <w:rFonts w:ascii="Arial" w:hAnsi="Arial"/>
          <w:sz w:val="22"/>
        </w:rPr>
        <w:t>Con số 150,000 USD quá khổng lồ so với các con số 0, 1, 2 ở các cột khác. Điều này khiến các thuật toán dựa trên khoảng cách (như KNN, K-Means) hay tối ưu hóa (như Gradient Descent) bị "lệch trọng số", model sẽ tưởng cột Lương là quan trọng nhất và ngó lơ các yếu tố còn lại.</w:t>
      </w:r>
    </w:p>
    <w:p>
      <w:pPr>
        <w:pStyle w:val="ListBullet"/>
        <w:spacing w:after="120" w:line="276" w:lineRule="auto"/>
      </w:pPr>
      <w:r>
        <w:rPr>
          <w:rFonts w:ascii="Arial" w:hAnsi="Arial"/>
          <w:b/>
          <w:sz w:val="22"/>
        </w:rPr>
        <w:t xml:space="preserve">Cách giải quyết: </w:t>
      </w:r>
      <w:r>
        <w:rPr>
          <w:rFonts w:ascii="Arial" w:hAnsi="Arial"/>
          <w:sz w:val="22"/>
        </w:rPr>
        <w:t>Chúng ta nén dải lương này về khoảng gọn gàng từ [0, 1] bằng công thức:</w:t>
      </w:r>
    </w:p>
    <w:p>
      <w:pPr>
        <w:spacing w:before="120" w:after="120"/>
        <w:jc w:val="center"/>
      </w:pPr>
      <w:r>
        <w:rPr>
          <w:rFonts w:ascii="Consolas" w:hAnsi="Consolas"/>
          <w:b/>
          <w:color w:val="C00000"/>
          <w:sz w:val="22"/>
        </w:rPr>
        <w:t>X_scaled = (X - X_min) / (X_max - X_min)</w:t>
      </w:r>
    </w:p>
    <w:p>
      <w:pPr>
        <w:spacing w:after="240"/>
        <w:ind w:left="360"/>
      </w:pPr>
      <w:r>
        <w:rPr>
          <w:rFonts w:ascii="Arial" w:hAnsi="Arial"/>
          <w:i/>
          <w:sz w:val="21"/>
        </w:rPr>
        <w:t>Với X_min = 60,000 và X_max = 150,000:</w:t>
        <w:br/>
        <w:t>• Lương 60,000 USD  ➔  Biến thành 0</w:t>
        <w:br/>
        <w:t>• Lương 90,000 USD  ➔  Biến thành 0.33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