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726D" w14:textId="77777777" w:rsidR="001B0E31" w:rsidRPr="001B0E31" w:rsidRDefault="001B0E31" w:rsidP="001B0E31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1B0E3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MRC Consultants and Transaction Advisers:</w:t>
      </w:r>
    </w:p>
    <w:p w14:paraId="362D8C53" w14:textId="77777777" w:rsidR="001B0E31" w:rsidRPr="001B0E31" w:rsidRDefault="001B0E31" w:rsidP="001B0E31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1B0E3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TFM Relacionados con estudios econométricos en el sector energético.</w:t>
      </w:r>
    </w:p>
    <w:p w14:paraId="0C6D25FF" w14:textId="77777777" w:rsidR="001B0E31" w:rsidRPr="001B0E31" w:rsidRDefault="001B0E31" w:rsidP="001B0E31">
      <w:pPr>
        <w:spacing w:before="240" w:after="240"/>
        <w:jc w:val="both"/>
        <w:rPr>
          <w:rFonts w:ascii="Times New Roman" w:eastAsia="Times New Roman" w:hAnsi="Times New Roman" w:cs="Times New Roman"/>
          <w:lang w:eastAsia="en-GB"/>
        </w:rPr>
      </w:pPr>
      <w:r w:rsidRPr="001B0E3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Desarrollar un modelo para estimar la demanda de energía o electricidad sectorial de algún país, considerando factores como crecimiento demográfico y económico, valor agregado sectorial, gasto de hogares, evolución de pérdidas, entre otros.</w:t>
      </w:r>
    </w:p>
    <w:p w14:paraId="525752F2" w14:textId="77777777" w:rsidR="001B0E31" w:rsidRPr="001B0E31" w:rsidRDefault="001B0E31" w:rsidP="001B0E31">
      <w:pPr>
        <w:spacing w:before="240" w:after="240"/>
        <w:jc w:val="center"/>
        <w:rPr>
          <w:rFonts w:ascii="Times New Roman" w:eastAsia="Times New Roman" w:hAnsi="Times New Roman" w:cs="Times New Roman"/>
          <w:lang w:eastAsia="en-GB"/>
        </w:rPr>
      </w:pPr>
      <w:r w:rsidRPr="001B0E31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“Modelo de estimación de la demanda energética”</w:t>
      </w:r>
    </w:p>
    <w:p w14:paraId="12576990" w14:textId="3848EA73" w:rsidR="001B0E31" w:rsidRPr="001B0E31" w:rsidRDefault="001B0E31" w:rsidP="00F564F9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1B0E3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1. Introducción</w:t>
      </w:r>
    </w:p>
    <w:p w14:paraId="3E798511" w14:textId="199D0802" w:rsidR="001B0E31" w:rsidRPr="001B0E31" w:rsidRDefault="00F564F9" w:rsidP="001B0E3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ES" w:eastAsia="en-GB"/>
        </w:rPr>
        <w:t>Motivación y o</w:t>
      </w:r>
      <w:r w:rsidR="001B0E31" w:rsidRPr="001B0E3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bjetivos </w:t>
      </w:r>
    </w:p>
    <w:p w14:paraId="56F2A927" w14:textId="0749C969" w:rsidR="001B0E31" w:rsidRPr="001B0E31" w:rsidRDefault="00F564F9" w:rsidP="001B0E31">
      <w:pPr>
        <w:numPr>
          <w:ilvl w:val="0"/>
          <w:numId w:val="1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ES" w:eastAsia="en-GB"/>
        </w:rPr>
        <w:t>Estructura de documento</w:t>
      </w:r>
      <w:r w:rsidR="00C06FDD">
        <w:rPr>
          <w:rFonts w:ascii="Arial" w:eastAsia="Times New Roman" w:hAnsi="Arial" w:cs="Arial"/>
          <w:color w:val="000000"/>
          <w:sz w:val="22"/>
          <w:szCs w:val="22"/>
          <w:lang w:val="es-ES" w:eastAsia="en-GB"/>
        </w:rPr>
        <w:t xml:space="preserve"> </w:t>
      </w:r>
      <w:r w:rsidR="001B0E31" w:rsidRPr="001B0E31">
        <w:rPr>
          <w:rFonts w:ascii="Arial" w:eastAsia="Times New Roman" w:hAnsi="Arial" w:cs="Arial"/>
          <w:color w:val="000000"/>
          <w:sz w:val="22"/>
          <w:szCs w:val="22"/>
          <w:lang w:eastAsia="en-GB"/>
        </w:rPr>
        <w:br/>
      </w:r>
    </w:p>
    <w:p w14:paraId="36501E0D" w14:textId="2518F460" w:rsidR="001B0E31" w:rsidRPr="001B0E31" w:rsidRDefault="001B0E31" w:rsidP="001B0E31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1B0E3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2. </w:t>
      </w:r>
      <w:r w:rsidR="00F564F9" w:rsidRPr="00F564F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Análisis descriptivo de la demanda de energía eléctrica </w:t>
      </w:r>
    </w:p>
    <w:p w14:paraId="3A9DAD3E" w14:textId="20D2F8BD" w:rsidR="001B0E31" w:rsidRDefault="001B0E31" w:rsidP="001B0E31">
      <w:pPr>
        <w:numPr>
          <w:ilvl w:val="0"/>
          <w:numId w:val="2"/>
        </w:numPr>
        <w:spacing w:before="2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B0E3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Análisis descriptivo del conjunto de datos.</w:t>
      </w:r>
    </w:p>
    <w:p w14:paraId="589D39EF" w14:textId="5C5E10AF" w:rsidR="00C06FDD" w:rsidRPr="001B0E31" w:rsidRDefault="00C06FDD" w:rsidP="001B0E31">
      <w:pPr>
        <w:numPr>
          <w:ilvl w:val="0"/>
          <w:numId w:val="2"/>
        </w:numPr>
        <w:spacing w:before="2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06FD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Factores económicos</w:t>
      </w:r>
      <w:r>
        <w:rPr>
          <w:rFonts w:ascii="Arial" w:eastAsia="Times New Roman" w:hAnsi="Arial" w:cs="Arial"/>
          <w:color w:val="000000"/>
          <w:sz w:val="22"/>
          <w:szCs w:val="22"/>
          <w:lang w:val="es-ES" w:eastAsia="en-GB"/>
        </w:rPr>
        <w:t>/ no económicos</w:t>
      </w:r>
      <w:r w:rsidRPr="00C06FD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que influyen en la demanda</w:t>
      </w:r>
    </w:p>
    <w:p w14:paraId="4E0BF92A" w14:textId="61C9128E" w:rsidR="001B0E31" w:rsidRPr="001B0E31" w:rsidRDefault="001B0E31" w:rsidP="001B0E3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B0E3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Exploración y limpieza del conjunto de datos</w:t>
      </w:r>
      <w:r w:rsidR="00C06FDD">
        <w:rPr>
          <w:rFonts w:ascii="Arial" w:eastAsia="Times New Roman" w:hAnsi="Arial" w:cs="Arial"/>
          <w:color w:val="000000"/>
          <w:sz w:val="22"/>
          <w:szCs w:val="22"/>
          <w:lang w:val="es-ES" w:eastAsia="en-GB"/>
        </w:rPr>
        <w:t xml:space="preserve"> (tratamiento de los valores nulos)</w:t>
      </w:r>
      <w:r w:rsidRPr="001B0E3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</w:p>
    <w:p w14:paraId="3147FA04" w14:textId="384F9527" w:rsidR="001B0E31" w:rsidRPr="001B0E31" w:rsidRDefault="001B0E31" w:rsidP="00A16068">
      <w:pPr>
        <w:numPr>
          <w:ilvl w:val="0"/>
          <w:numId w:val="2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B0E3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Preprocesamiento de datos.</w:t>
      </w:r>
    </w:p>
    <w:p w14:paraId="314F4B10" w14:textId="7562B2FC" w:rsidR="001B0E31" w:rsidRPr="001B0E31" w:rsidRDefault="001B0E31" w:rsidP="001B0E31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1B0E3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3. Desarrollo del modelo de Machine Learning</w:t>
      </w:r>
      <w:r w:rsidR="00A16068">
        <w:rPr>
          <w:rFonts w:ascii="Arial" w:eastAsia="Times New Roman" w:hAnsi="Arial" w:cs="Arial"/>
          <w:color w:val="000000"/>
          <w:sz w:val="22"/>
          <w:szCs w:val="22"/>
          <w:lang w:eastAsia="en-GB"/>
        </w:rPr>
        <w:br/>
      </w:r>
    </w:p>
    <w:p w14:paraId="19851408" w14:textId="77462BB6" w:rsidR="00C06FDD" w:rsidRDefault="008C1614" w:rsidP="001B0E31">
      <w:pPr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8C161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Introducción a los modelos desarrollados</w:t>
      </w:r>
    </w:p>
    <w:p w14:paraId="2E128877" w14:textId="6C4FF31A" w:rsidR="001B0E31" w:rsidRPr="001B0E31" w:rsidRDefault="008C1614" w:rsidP="00A36295">
      <w:pPr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ES" w:eastAsia="en-GB"/>
        </w:rPr>
        <w:t>Selección el modelo</w:t>
      </w:r>
      <w:r w:rsidR="00356400">
        <w:rPr>
          <w:rFonts w:ascii="Arial" w:eastAsia="Times New Roman" w:hAnsi="Arial" w:cs="Arial"/>
          <w:color w:val="000000"/>
          <w:sz w:val="22"/>
          <w:szCs w:val="22"/>
          <w:lang w:val="es-ES" w:eastAsia="en-GB"/>
        </w:rPr>
        <w:t xml:space="preserve"> óptimo</w:t>
      </w:r>
    </w:p>
    <w:p w14:paraId="180A04A4" w14:textId="2016CC7F" w:rsidR="001B0E31" w:rsidRPr="001B0E31" w:rsidRDefault="001B0E31" w:rsidP="001B0E31">
      <w:pPr>
        <w:spacing w:before="240" w:after="240"/>
        <w:rPr>
          <w:rFonts w:ascii="Times New Roman" w:eastAsia="Times New Roman" w:hAnsi="Times New Roman" w:cs="Times New Roman"/>
          <w:lang w:val="es-ES" w:eastAsia="en-GB"/>
        </w:rPr>
      </w:pPr>
      <w:r w:rsidRPr="001B0E3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4. </w:t>
      </w:r>
      <w:r w:rsidR="00356400">
        <w:rPr>
          <w:rFonts w:ascii="Arial" w:eastAsia="Times New Roman" w:hAnsi="Arial" w:cs="Arial"/>
          <w:color w:val="000000"/>
          <w:sz w:val="22"/>
          <w:szCs w:val="22"/>
          <w:lang w:val="es-ES" w:eastAsia="en-GB"/>
        </w:rPr>
        <w:t>A</w:t>
      </w:r>
      <w:r w:rsidRPr="001B0E3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nálisis</w:t>
      </w:r>
      <w:r w:rsidR="00356400">
        <w:rPr>
          <w:rFonts w:ascii="Arial" w:eastAsia="Times New Roman" w:hAnsi="Arial" w:cs="Arial"/>
          <w:color w:val="000000"/>
          <w:sz w:val="22"/>
          <w:szCs w:val="22"/>
          <w:lang w:val="es-ES" w:eastAsia="en-GB"/>
        </w:rPr>
        <w:t xml:space="preserve"> y visualización de los resultados</w:t>
      </w:r>
    </w:p>
    <w:p w14:paraId="5360BF06" w14:textId="1F10D600" w:rsidR="001B0E31" w:rsidRDefault="001B0E31" w:rsidP="001B0E31">
      <w:pPr>
        <w:numPr>
          <w:ilvl w:val="0"/>
          <w:numId w:val="4"/>
        </w:numPr>
        <w:spacing w:before="2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B0E3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Estimaciones y predicciones de la demanda de energía sectorial</w:t>
      </w:r>
      <w:r w:rsidR="00356400">
        <w:rPr>
          <w:rFonts w:ascii="Arial" w:eastAsia="Times New Roman" w:hAnsi="Arial" w:cs="Arial"/>
          <w:color w:val="000000"/>
          <w:sz w:val="22"/>
          <w:szCs w:val="22"/>
          <w:lang w:val="es-ES" w:eastAsia="en-GB"/>
        </w:rPr>
        <w:t xml:space="preserve"> </w:t>
      </w:r>
    </w:p>
    <w:p w14:paraId="0C8A6DA0" w14:textId="5F734687" w:rsidR="001B0E31" w:rsidRPr="001B0E31" w:rsidRDefault="00356400" w:rsidP="00A16068">
      <w:pPr>
        <w:numPr>
          <w:ilvl w:val="0"/>
          <w:numId w:val="4"/>
        </w:numPr>
        <w:spacing w:before="2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ES" w:eastAsia="en-GB"/>
        </w:rPr>
        <w:t xml:space="preserve">Visualización </w:t>
      </w:r>
      <w:r w:rsidR="00A36295">
        <w:rPr>
          <w:rFonts w:ascii="Arial" w:eastAsia="Times New Roman" w:hAnsi="Arial" w:cs="Arial"/>
          <w:color w:val="000000"/>
          <w:sz w:val="22"/>
          <w:szCs w:val="22"/>
          <w:lang w:val="es-ES" w:eastAsia="en-GB"/>
        </w:rPr>
        <w:t>e</w:t>
      </w:r>
      <w:r>
        <w:rPr>
          <w:rFonts w:ascii="Arial" w:eastAsia="Times New Roman" w:hAnsi="Arial" w:cs="Arial"/>
          <w:color w:val="000000"/>
          <w:sz w:val="22"/>
          <w:szCs w:val="22"/>
          <w:lang w:val="es-ES" w:eastAsia="en-GB"/>
        </w:rPr>
        <w:t xml:space="preserve"> </w:t>
      </w:r>
      <w:r w:rsidR="00A36295">
        <w:rPr>
          <w:rFonts w:ascii="Arial" w:eastAsia="Times New Roman" w:hAnsi="Arial" w:cs="Arial"/>
          <w:color w:val="000000"/>
          <w:sz w:val="22"/>
          <w:szCs w:val="22"/>
          <w:lang w:val="es-ES" w:eastAsia="en-GB"/>
        </w:rPr>
        <w:t>interactiva aplicación</w:t>
      </w:r>
    </w:p>
    <w:p w14:paraId="359C3DAF" w14:textId="77777777" w:rsidR="001B0E31" w:rsidRPr="001B0E31" w:rsidRDefault="001B0E31" w:rsidP="001B0E31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1B0E3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5. Conclusiones</w:t>
      </w:r>
    </w:p>
    <w:p w14:paraId="45F74302" w14:textId="782685E2" w:rsidR="001B0E31" w:rsidRPr="001B0E31" w:rsidRDefault="008C1614" w:rsidP="001B0E31">
      <w:pPr>
        <w:numPr>
          <w:ilvl w:val="0"/>
          <w:numId w:val="5"/>
        </w:numPr>
        <w:spacing w:before="2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ES" w:eastAsia="en-GB"/>
        </w:rPr>
        <w:t>Conclusion</w:t>
      </w:r>
      <w:r w:rsidR="00F12E3B">
        <w:rPr>
          <w:rFonts w:ascii="Arial" w:eastAsia="Times New Roman" w:hAnsi="Arial" w:cs="Arial"/>
          <w:color w:val="000000"/>
          <w:sz w:val="22"/>
          <w:szCs w:val="22"/>
          <w:lang w:val="es-ES" w:eastAsia="en-GB"/>
        </w:rPr>
        <w:t>es obtenidas</w:t>
      </w:r>
    </w:p>
    <w:p w14:paraId="59D7A47A" w14:textId="39DE583F" w:rsidR="001B0E31" w:rsidRPr="001B0E31" w:rsidRDefault="001B0E31" w:rsidP="001B0E31">
      <w:pPr>
        <w:numPr>
          <w:ilvl w:val="0"/>
          <w:numId w:val="5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B0E3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Limitaciones y futuras</w:t>
      </w:r>
      <w:r w:rsidR="00F12E3B">
        <w:rPr>
          <w:rFonts w:ascii="Arial" w:eastAsia="Times New Roman" w:hAnsi="Arial" w:cs="Arial"/>
          <w:color w:val="000000"/>
          <w:sz w:val="22"/>
          <w:szCs w:val="22"/>
          <w:lang w:val="es-ES" w:eastAsia="en-GB"/>
        </w:rPr>
        <w:t xml:space="preserve"> líneas</w:t>
      </w:r>
      <w:r w:rsidRPr="001B0E3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investigaciones</w:t>
      </w:r>
    </w:p>
    <w:p w14:paraId="40CDCB84" w14:textId="77777777" w:rsidR="001B0E31" w:rsidRPr="001B0E31" w:rsidRDefault="001B0E31" w:rsidP="001B0E31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1B0E3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32054FB6" w14:textId="3AB2FBAE" w:rsidR="001B0E31" w:rsidRPr="001B0E31" w:rsidRDefault="001B0E31" w:rsidP="001B0E31">
      <w:pPr>
        <w:spacing w:before="240" w:after="240"/>
        <w:rPr>
          <w:rFonts w:ascii="Times New Roman" w:eastAsia="Times New Roman" w:hAnsi="Times New Roman" w:cs="Times New Roman"/>
          <w:lang w:val="es-ES" w:eastAsia="en-GB"/>
        </w:rPr>
      </w:pPr>
      <w:r w:rsidRPr="001B0E3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6. Recomendaciones </w:t>
      </w:r>
      <w:r w:rsidR="00C37BA4">
        <w:rPr>
          <w:rFonts w:ascii="Arial" w:eastAsia="Times New Roman" w:hAnsi="Arial" w:cs="Arial"/>
          <w:color w:val="000000"/>
          <w:sz w:val="22"/>
          <w:szCs w:val="22"/>
          <w:lang w:val="es-ES" w:eastAsia="en-GB"/>
        </w:rPr>
        <w:t>de negocio.</w:t>
      </w:r>
    </w:p>
    <w:p w14:paraId="404A314C" w14:textId="77777777" w:rsidR="001B0E31" w:rsidRPr="001B0E31" w:rsidRDefault="001B0E31" w:rsidP="001B0E31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1B0E3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79520E44" w14:textId="29461CA4" w:rsidR="001B0E31" w:rsidRPr="001B0E31" w:rsidRDefault="001B0E31" w:rsidP="001B0E31">
      <w:pPr>
        <w:spacing w:before="240" w:after="240"/>
        <w:rPr>
          <w:rFonts w:ascii="Times New Roman" w:eastAsia="Times New Roman" w:hAnsi="Times New Roman" w:cs="Times New Roman"/>
          <w:lang w:val="es-ES" w:eastAsia="en-GB"/>
        </w:rPr>
      </w:pPr>
      <w:r w:rsidRPr="001B0E3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Referencias bibliográficas</w:t>
      </w:r>
      <w:r w:rsidR="00C37BA4">
        <w:rPr>
          <w:rFonts w:ascii="Arial" w:eastAsia="Times New Roman" w:hAnsi="Arial" w:cs="Arial"/>
          <w:color w:val="000000"/>
          <w:sz w:val="22"/>
          <w:szCs w:val="22"/>
          <w:lang w:val="es-ES" w:eastAsia="en-GB"/>
        </w:rPr>
        <w:t>/ Anexos</w:t>
      </w:r>
    </w:p>
    <w:p w14:paraId="5BFA48DA" w14:textId="77777777" w:rsidR="001B0E31" w:rsidRPr="001B0E31" w:rsidRDefault="001B0E31" w:rsidP="001B0E31">
      <w:pPr>
        <w:rPr>
          <w:rFonts w:ascii="Times New Roman" w:eastAsia="Times New Roman" w:hAnsi="Times New Roman" w:cs="Times New Roman"/>
          <w:lang w:eastAsia="en-GB"/>
        </w:rPr>
      </w:pPr>
    </w:p>
    <w:p w14:paraId="2B3C3CC4" w14:textId="77777777" w:rsidR="001B0E31" w:rsidRDefault="001B0E31"/>
    <w:sectPr w:rsidR="001B0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810D7"/>
    <w:multiLevelType w:val="multilevel"/>
    <w:tmpl w:val="89A8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97D1D"/>
    <w:multiLevelType w:val="multilevel"/>
    <w:tmpl w:val="0E12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2C68CA"/>
    <w:multiLevelType w:val="multilevel"/>
    <w:tmpl w:val="CB62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6D41F0"/>
    <w:multiLevelType w:val="multilevel"/>
    <w:tmpl w:val="BFEA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807BFD"/>
    <w:multiLevelType w:val="multilevel"/>
    <w:tmpl w:val="C9F6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A22CAE"/>
    <w:multiLevelType w:val="multilevel"/>
    <w:tmpl w:val="8376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623216">
    <w:abstractNumId w:val="2"/>
  </w:num>
  <w:num w:numId="2" w16cid:durableId="1051929297">
    <w:abstractNumId w:val="4"/>
  </w:num>
  <w:num w:numId="3" w16cid:durableId="1255632431">
    <w:abstractNumId w:val="0"/>
  </w:num>
  <w:num w:numId="4" w16cid:durableId="1532066827">
    <w:abstractNumId w:val="3"/>
  </w:num>
  <w:num w:numId="5" w16cid:durableId="410661759">
    <w:abstractNumId w:val="1"/>
  </w:num>
  <w:num w:numId="6" w16cid:durableId="14693229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31"/>
    <w:rsid w:val="001B0E31"/>
    <w:rsid w:val="00356400"/>
    <w:rsid w:val="008C1614"/>
    <w:rsid w:val="00A16068"/>
    <w:rsid w:val="00A36295"/>
    <w:rsid w:val="00C06FDD"/>
    <w:rsid w:val="00C37BA4"/>
    <w:rsid w:val="00F12E3B"/>
    <w:rsid w:val="00F5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9A86DB"/>
  <w15:chartTrackingRefBased/>
  <w15:docId w15:val="{44888DB9-BF26-AA46-9CCC-5FC9C92C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E3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5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2</cp:revision>
  <dcterms:created xsi:type="dcterms:W3CDTF">2023-06-14T14:36:00Z</dcterms:created>
  <dcterms:modified xsi:type="dcterms:W3CDTF">2023-06-14T15:15:00Z</dcterms:modified>
</cp:coreProperties>
</file>