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95B4" w14:textId="5FA77288" w:rsidR="00FD3838" w:rsidRPr="00174B8E" w:rsidRDefault="00052CBF" w:rsidP="00494E9A">
      <w:pPr>
        <w:rPr>
          <w:b/>
          <w:bCs/>
        </w:rPr>
      </w:pPr>
      <w:r w:rsidRPr="00052CBF">
        <w:rPr>
          <w:rFonts w:hint="eastAsia"/>
          <w:b/>
          <w:bCs/>
        </w:rPr>
        <w:t>Problem Definition</w:t>
      </w:r>
    </w:p>
    <w:p w14:paraId="3E67F858" w14:textId="3AF58CFD" w:rsidR="00494E9A" w:rsidRDefault="00174B8E" w:rsidP="00494E9A">
      <w:r>
        <w:rPr>
          <w:rFonts w:hint="eastAsia"/>
        </w:rPr>
        <w:t xml:space="preserve">[4] </w:t>
      </w:r>
      <w:r w:rsidR="00494E9A" w:rsidRPr="007916A1">
        <w:t>Stock price data is characterized by high noise and sequential patterns. Our initial approach involved</w:t>
      </w:r>
    </w:p>
    <w:p w14:paraId="5721FA7A" w14:textId="380EFF7C" w:rsidR="004A229A" w:rsidRDefault="001622D4" w:rsidP="0088688B">
      <w:r w:rsidRPr="001622D4">
        <w:t>Therefore, extracting useful data from such noise and effectively handling time-series data is crucial.</w:t>
      </w:r>
      <w:r w:rsidRPr="001622D4">
        <w:br/>
        <w:t xml:space="preserve">Our previously proposed method to address this involved using </w:t>
      </w:r>
      <w:r w:rsidRPr="001622D4">
        <w:rPr>
          <w:b/>
          <w:bCs/>
        </w:rPr>
        <w:t>VMD</w:t>
      </w:r>
      <w:r w:rsidRPr="001622D4">
        <w:t xml:space="preserve"> to decompose noisy stock price data into simpler signals and employing a </w:t>
      </w:r>
      <w:r w:rsidRPr="001622D4">
        <w:rPr>
          <w:b/>
          <w:bCs/>
        </w:rPr>
        <w:t>TCN</w:t>
      </w:r>
      <w:r w:rsidRPr="001622D4">
        <w:t xml:space="preserve"> network to process the time-series data.</w:t>
      </w:r>
    </w:p>
    <w:p w14:paraId="0E32BFF0" w14:textId="77777777" w:rsidR="00C03C8E" w:rsidRDefault="00C03C8E" w:rsidP="0088688B"/>
    <w:p w14:paraId="2C38525A" w14:textId="4476D352" w:rsidR="004A229A" w:rsidRPr="007916A1" w:rsidRDefault="00174B8E" w:rsidP="00FD3838">
      <w:r>
        <w:rPr>
          <w:rFonts w:hint="eastAsia"/>
        </w:rPr>
        <w:t xml:space="preserve">[5] </w:t>
      </w:r>
      <w:r w:rsidR="00C03C8E" w:rsidRPr="00C03C8E">
        <w:t>However, since this model did not converge easily, we introduced a new methodology.</w:t>
      </w:r>
    </w:p>
    <w:p w14:paraId="7E4C6F41" w14:textId="20236971" w:rsidR="00494E9A" w:rsidRDefault="00494E9A" w:rsidP="00494E9A">
      <w:r w:rsidRPr="007916A1">
        <w:t>[6] inspiration from the methodology proposed in the referenced paper.</w:t>
      </w:r>
    </w:p>
    <w:p w14:paraId="34C3098F" w14:textId="77777777" w:rsidR="004A229A" w:rsidRPr="003B2F1E" w:rsidRDefault="004A229A" w:rsidP="00494E9A"/>
    <w:p w14:paraId="55550B0C" w14:textId="2F5BD33A" w:rsidR="00494E9A" w:rsidRPr="007916A1" w:rsidRDefault="00494E9A" w:rsidP="00494E9A">
      <w:r w:rsidRPr="007916A1">
        <w:t xml:space="preserve">[7] </w:t>
      </w:r>
      <w:r w:rsidR="00174B8E">
        <w:rPr>
          <w:rFonts w:hint="eastAsia"/>
        </w:rPr>
        <w:t>K</w:t>
      </w:r>
      <w:r w:rsidRPr="007916A1">
        <w:t>ey changes include replacing the TCN model with an LSTM model and substituting the feature extraction process we previously aimed to achieve through VMD with Cascaded-LSTM. This modification resulted in successful model convergence.</w:t>
      </w:r>
    </w:p>
    <w:p w14:paraId="3A959DB5" w14:textId="77777777" w:rsidR="00494E9A" w:rsidRPr="007916A1" w:rsidRDefault="00494E9A" w:rsidP="00494E9A"/>
    <w:p w14:paraId="7CD58BD9" w14:textId="03B49C10" w:rsidR="00494E9A" w:rsidRPr="007916A1" w:rsidRDefault="00494E9A" w:rsidP="00494E9A">
      <w:r w:rsidRPr="007916A1">
        <w:t>[8] Additionally, while our originally proposed algorithms included DQN and PPO, we found that DQN was unsuitable for multi-stock trading due to the high dimensionality of the action space. Instead, we adopted actor-critic algorithms such as A2C and PPO, which are compatible with continuous action spaces.</w:t>
      </w:r>
    </w:p>
    <w:p w14:paraId="2762F952" w14:textId="77777777" w:rsidR="00494E9A" w:rsidRPr="007916A1" w:rsidRDefault="00494E9A" w:rsidP="00494E9A">
      <w:r w:rsidRPr="007916A1">
        <w:t>Algorithms Used</w:t>
      </w:r>
    </w:p>
    <w:p w14:paraId="1B039170" w14:textId="6E940AD5" w:rsidR="00494E9A" w:rsidRDefault="00C66610" w:rsidP="00C66610">
      <w:r>
        <w:t xml:space="preserve">a. </w:t>
      </w:r>
      <w:r w:rsidR="00494E9A" w:rsidRPr="007916A1">
        <w:t>A2C</w:t>
      </w:r>
    </w:p>
    <w:p w14:paraId="30A8AB0F" w14:textId="56A0C5B2" w:rsidR="00C66610" w:rsidRPr="00C66610" w:rsidRDefault="00C66610" w:rsidP="00C66610">
      <w:r>
        <w:rPr>
          <w:rFonts w:hint="eastAsia"/>
        </w:rPr>
        <w:t xml:space="preserve">Actor Critic based algorithm. </w:t>
      </w:r>
      <w:r w:rsidRPr="00C66610">
        <w:t>stabilizes policy training by calculating the "Advantage" based on the value of the state in the Actor-Critic</w:t>
      </w:r>
    </w:p>
    <w:p w14:paraId="5E0D8AC7" w14:textId="130B0A40" w:rsidR="00494E9A" w:rsidRDefault="00494E9A" w:rsidP="00494E9A">
      <w:r w:rsidRPr="007916A1">
        <w:t>b. PPO</w:t>
      </w:r>
    </w:p>
    <w:p w14:paraId="18CD64A8" w14:textId="0CA6B805" w:rsidR="004A229A" w:rsidRDefault="0008432B" w:rsidP="00494E9A">
      <w:r>
        <w:rPr>
          <w:rFonts w:hint="eastAsia"/>
        </w:rPr>
        <w:t xml:space="preserve">It is also Actor Critic based algorithm. </w:t>
      </w:r>
      <w:r w:rsidR="00285CDB" w:rsidRPr="00285CDB">
        <w:t>Improves training stability and efficiency by introducing clipping to prevent excessive policy updates.</w:t>
      </w:r>
    </w:p>
    <w:p w14:paraId="506443A4" w14:textId="77777777" w:rsidR="00B24148" w:rsidRPr="007916A1" w:rsidRDefault="00B24148" w:rsidP="00494E9A"/>
    <w:p w14:paraId="135FCD3F" w14:textId="389B41CA" w:rsidR="00320EF2" w:rsidRPr="00320EF2" w:rsidRDefault="00320EF2" w:rsidP="00494E9A">
      <w:pPr>
        <w:rPr>
          <w:b/>
          <w:bCs/>
        </w:rPr>
      </w:pPr>
      <w:r w:rsidRPr="00320EF2">
        <w:rPr>
          <w:rFonts w:hint="eastAsia"/>
          <w:b/>
          <w:bCs/>
        </w:rPr>
        <w:lastRenderedPageBreak/>
        <w:t>Data</w:t>
      </w:r>
    </w:p>
    <w:p w14:paraId="6A21D0ED" w14:textId="1A03805A" w:rsidR="00494E9A" w:rsidRPr="007916A1" w:rsidRDefault="00494E9A" w:rsidP="00494E9A">
      <w:r w:rsidRPr="007916A1">
        <w:t>[9] Due to the high noise in stock price data, it is challenging to process this data alone.</w:t>
      </w:r>
      <w:r w:rsidR="004A229A">
        <w:rPr>
          <w:rFonts w:hint="eastAsia"/>
        </w:rPr>
        <w:t xml:space="preserve"> So </w:t>
      </w:r>
      <w:r w:rsidRPr="007916A1">
        <w:t>we incorporated technical indicators such as MACD, RSI, and CCI into the state representation.</w:t>
      </w:r>
    </w:p>
    <w:p w14:paraId="2E590158" w14:textId="43ED44A3" w:rsidR="00494E9A" w:rsidRDefault="00494E9A" w:rsidP="00494E9A">
      <w:r w:rsidRPr="007916A1">
        <w:t xml:space="preserve">The paper </w:t>
      </w:r>
      <w:r w:rsidRPr="007916A1">
        <w:rPr>
          <w:rFonts w:hint="eastAsia"/>
        </w:rPr>
        <w:t>used</w:t>
      </w:r>
      <w:r w:rsidRPr="007916A1">
        <w:t xml:space="preserve"> data from 30 stocks, including MACD, RSI, CCI, and ADX for each stock,number of currently held stocks,</w:t>
      </w:r>
      <w:r w:rsidRPr="007916A1">
        <w:rPr>
          <w:rFonts w:hint="eastAsia"/>
        </w:rPr>
        <w:t xml:space="preserve"> </w:t>
      </w:r>
      <w:r w:rsidRPr="007916A1">
        <w:t>current balance</w:t>
      </w:r>
      <w:r w:rsidR="00586829">
        <w:rPr>
          <w:rFonts w:hint="eastAsia"/>
        </w:rPr>
        <w:t xml:space="preserve"> </w:t>
      </w:r>
      <w:r w:rsidRPr="007916A1">
        <w:rPr>
          <w:rFonts w:hint="eastAsia"/>
        </w:rPr>
        <w:t>-&gt;</w:t>
      </w:r>
      <w:r w:rsidRPr="007916A1">
        <w:t xml:space="preserve"> total state space dimension 181.</w:t>
      </w:r>
    </w:p>
    <w:p w14:paraId="33D368E2" w14:textId="7A06C5CC" w:rsidR="008C0A01" w:rsidRPr="008C0A01" w:rsidRDefault="008C0A01" w:rsidP="008C0A01">
      <w:r>
        <w:rPr>
          <w:rFonts w:hint="eastAsia"/>
        </w:rPr>
        <w:t>(</w:t>
      </w:r>
      <w:r w:rsidRPr="008C0A01">
        <w:t xml:space="preserve"> </w:t>
      </w:r>
      <w:r w:rsidRPr="008C0A01">
        <w:rPr>
          <w:b/>
          <w:bCs/>
        </w:rPr>
        <w:t>MACD (Moving Average Convergence Divergence)</w:t>
      </w:r>
      <w:r w:rsidRPr="008C0A01">
        <w:t>:</w:t>
      </w:r>
      <w:r w:rsidRPr="008C0A01">
        <w:br/>
        <w:t>MACD analyzes the difference between short-term and long-term moving averages to identify the trend direction and momentum. It is commonly used to detect trend reversals.</w:t>
      </w:r>
    </w:p>
    <w:p w14:paraId="506B687D" w14:textId="77777777" w:rsidR="008C0A01" w:rsidRPr="008C0A01" w:rsidRDefault="008C0A01" w:rsidP="008C0A01">
      <w:r w:rsidRPr="008C0A01">
        <w:t xml:space="preserve">  </w:t>
      </w:r>
      <w:r w:rsidRPr="008C0A01">
        <w:rPr>
          <w:b/>
          <w:bCs/>
        </w:rPr>
        <w:t>RSI (Relative Strength Index)</w:t>
      </w:r>
      <w:r w:rsidRPr="008C0A01">
        <w:t>:</w:t>
      </w:r>
      <w:r w:rsidRPr="008C0A01">
        <w:br/>
        <w:t>RSI measures the ratio of gains to losses over a specific period, helping to identify overbought or oversold market conditions.</w:t>
      </w:r>
    </w:p>
    <w:p w14:paraId="43945AB4" w14:textId="77777777" w:rsidR="008C0A01" w:rsidRPr="008C0A01" w:rsidRDefault="008C0A01" w:rsidP="008C0A01">
      <w:r w:rsidRPr="008C0A01">
        <w:t xml:space="preserve">  </w:t>
      </w:r>
      <w:r w:rsidRPr="008C0A01">
        <w:rPr>
          <w:b/>
          <w:bCs/>
        </w:rPr>
        <w:t>CCI (Commodity Channel Index)</w:t>
      </w:r>
      <w:r w:rsidRPr="008C0A01">
        <w:t>:</w:t>
      </w:r>
      <w:r w:rsidRPr="008C0A01">
        <w:br/>
        <w:t>CCI evaluates how far the current price is from its historical average, aiding in the detection of overbought or oversold levels.</w:t>
      </w:r>
    </w:p>
    <w:p w14:paraId="11F146C6" w14:textId="61E5352B" w:rsidR="008C0A01" w:rsidRPr="008C0A01" w:rsidRDefault="008C0A01" w:rsidP="00494E9A">
      <w:pPr>
        <w:rPr>
          <w:rFonts w:hint="eastAsia"/>
        </w:rPr>
      </w:pPr>
      <w:r w:rsidRPr="008C0A01">
        <w:t xml:space="preserve">  </w:t>
      </w:r>
      <w:r w:rsidRPr="008C0A01">
        <w:rPr>
          <w:b/>
          <w:bCs/>
        </w:rPr>
        <w:t>ADX (Average Directional Index)</w:t>
      </w:r>
      <w:r w:rsidRPr="008C0A01">
        <w:t>:</w:t>
      </w:r>
      <w:r w:rsidRPr="008C0A01">
        <w:br/>
        <w:t>ADX measures the strength of a trend, with higher values indicating a stronger trend, regardless of its direction.</w:t>
      </w:r>
      <w:r>
        <w:rPr>
          <w:rFonts w:hint="eastAsia"/>
        </w:rPr>
        <w:t>)</w:t>
      </w:r>
    </w:p>
    <w:p w14:paraId="06CCE7BD" w14:textId="0BC370DB" w:rsidR="00404019" w:rsidRPr="007916A1" w:rsidRDefault="00494E9A" w:rsidP="00494E9A">
      <w:r w:rsidRPr="007916A1">
        <w:t>As the number of stocks increases, the state dimension grows, necessitating a larger model. Considering the limitations of our experimental environment, we used the data from three indices (S&amp;P500, Dow Jones, KOSPI), their respective MACD, RSI, and CCI, the number of held stocks, and the current balance to construct a state with a dimension of 16.</w:t>
      </w:r>
    </w:p>
    <w:p w14:paraId="289EAFFF" w14:textId="0FAD40B0" w:rsidR="00494E9A" w:rsidRDefault="00586829" w:rsidP="00494E9A">
      <w:r>
        <w:rPr>
          <w:rFonts w:hint="eastAsia"/>
        </w:rPr>
        <w:t xml:space="preserve">[10] </w:t>
      </w:r>
      <w:r w:rsidR="00494E9A" w:rsidRPr="007916A1">
        <w:t>Training data spanned from 2012.12.01 to 2021.01.01, validation data covered 2021.01.01 to 2022.01.01, and testing data ranged from 2022.01.01 to 2023.01.01.</w:t>
      </w:r>
    </w:p>
    <w:p w14:paraId="05F36145" w14:textId="77777777" w:rsidR="00404019" w:rsidRDefault="00404019" w:rsidP="00494E9A"/>
    <w:p w14:paraId="0717ADFC" w14:textId="327A545F" w:rsidR="00320EF2" w:rsidRPr="00320EF2" w:rsidRDefault="00320EF2" w:rsidP="00494E9A">
      <w:pPr>
        <w:rPr>
          <w:b/>
          <w:bCs/>
        </w:rPr>
      </w:pPr>
      <w:r w:rsidRPr="00320EF2">
        <w:rPr>
          <w:rFonts w:hint="eastAsia"/>
          <w:b/>
          <w:bCs/>
        </w:rPr>
        <w:t>Environment</w:t>
      </w:r>
    </w:p>
    <w:p w14:paraId="6AD285CD" w14:textId="4FD23D23" w:rsidR="00494E9A" w:rsidRDefault="0046027C" w:rsidP="00494E9A">
      <w:r>
        <w:rPr>
          <w:rFonts w:hint="eastAsia"/>
        </w:rPr>
        <w:t xml:space="preserve">[11] </w:t>
      </w:r>
      <w:r w:rsidR="00494E9A" w:rsidRPr="007916A1">
        <w:t>Model Design and Training Features (p.12)</w:t>
      </w:r>
    </w:p>
    <w:p w14:paraId="757DC493" w14:textId="77777777" w:rsidR="00567EAB" w:rsidRDefault="00567EAB" w:rsidP="00494E9A"/>
    <w:p w14:paraId="06620A16" w14:textId="1B0F3745" w:rsidR="00474A0D" w:rsidRPr="00320EF2" w:rsidRDefault="00474A0D" w:rsidP="00494E9A">
      <w:pPr>
        <w:rPr>
          <w:b/>
          <w:bCs/>
        </w:rPr>
      </w:pPr>
      <w:r w:rsidRPr="00474A0D">
        <w:rPr>
          <w:rFonts w:hint="eastAsia"/>
          <w:b/>
          <w:bCs/>
        </w:rPr>
        <w:t>Model Atchitect</w:t>
      </w:r>
      <w:r>
        <w:rPr>
          <w:rFonts w:hint="eastAsia"/>
          <w:b/>
          <w:bCs/>
        </w:rPr>
        <w:t>u</w:t>
      </w:r>
      <w:r w:rsidR="00320EF2">
        <w:rPr>
          <w:rFonts w:hint="eastAsia"/>
          <w:b/>
          <w:bCs/>
        </w:rPr>
        <w:t>re</w:t>
      </w:r>
      <w:r w:rsidRPr="00474A0D">
        <w:rPr>
          <w:rFonts w:hint="eastAsia"/>
          <w:b/>
          <w:bCs/>
        </w:rPr>
        <w:t xml:space="preserve"> &amp; Training</w:t>
      </w:r>
    </w:p>
    <w:p w14:paraId="6915D26F" w14:textId="77777777" w:rsidR="00404019" w:rsidRDefault="00494E9A" w:rsidP="00494E9A">
      <w:r w:rsidRPr="007916A1">
        <w:t>[12] The model consists of three main components:</w:t>
      </w:r>
      <w:r w:rsidR="00404019">
        <w:rPr>
          <w:rFonts w:hint="eastAsia"/>
        </w:rPr>
        <w:t xml:space="preserve"> </w:t>
      </w:r>
    </w:p>
    <w:p w14:paraId="11C5C626" w14:textId="10B41EFF" w:rsidR="00494E9A" w:rsidRPr="007916A1" w:rsidRDefault="00494E9A" w:rsidP="00494E9A">
      <w:r w:rsidRPr="007916A1">
        <w:t>Pre-LSTM</w:t>
      </w:r>
      <w:r w:rsidR="00404019">
        <w:rPr>
          <w:rFonts w:hint="eastAsia"/>
        </w:rPr>
        <w:t xml:space="preserve">, </w:t>
      </w:r>
      <w:r w:rsidRPr="007916A1">
        <w:t>Policy Network</w:t>
      </w:r>
      <w:r w:rsidR="00404019">
        <w:rPr>
          <w:rFonts w:hint="eastAsia"/>
        </w:rPr>
        <w:t xml:space="preserve">, </w:t>
      </w:r>
      <w:r w:rsidRPr="007916A1">
        <w:t>Value Network</w:t>
      </w:r>
    </w:p>
    <w:p w14:paraId="6C510126" w14:textId="5DE94B2E" w:rsidR="00474A0D" w:rsidRDefault="00494E9A" w:rsidP="00494E9A">
      <w:r w:rsidRPr="007916A1">
        <w:t>All three networks utilize LSTM.</w:t>
      </w:r>
    </w:p>
    <w:p w14:paraId="1B1FF6F5" w14:textId="13AF1354" w:rsidR="00494E9A" w:rsidRDefault="00494E9A" w:rsidP="009E34A7">
      <w:pPr>
        <w:rPr>
          <w:strike/>
        </w:rPr>
      </w:pPr>
      <w:r w:rsidRPr="007916A1">
        <w:t>[13] Following the basic actor-critic learning algorithm, the Pre-LSTM, like the Policy Network, was trained based on reward-driven policy gradients.</w:t>
      </w:r>
      <w:r w:rsidRPr="007916A1">
        <w:rPr>
          <w:strike/>
        </w:rPr>
        <w:t xml:space="preserve"> </w:t>
      </w:r>
    </w:p>
    <w:p w14:paraId="03925838" w14:textId="77777777" w:rsidR="003A1EDB" w:rsidRDefault="003A1EDB" w:rsidP="009E34A7">
      <w:pPr>
        <w:rPr>
          <w:strike/>
        </w:rPr>
      </w:pPr>
    </w:p>
    <w:p w14:paraId="03CBC6EC" w14:textId="7D8A011A" w:rsidR="008C79E3" w:rsidRPr="00474A0D" w:rsidRDefault="00474A0D" w:rsidP="00474A0D">
      <w:pPr>
        <w:jc w:val="both"/>
        <w:rPr>
          <w:b/>
          <w:bCs/>
        </w:rPr>
      </w:pPr>
      <w:r w:rsidRPr="00474A0D">
        <w:rPr>
          <w:rFonts w:hint="eastAsia"/>
          <w:b/>
          <w:bCs/>
        </w:rPr>
        <w:t>Hyperparameter</w:t>
      </w:r>
    </w:p>
    <w:p w14:paraId="3BFE2313" w14:textId="7A2C7CC5" w:rsidR="00F025E8" w:rsidRDefault="00915572" w:rsidP="00494E9A">
      <w:r>
        <w:rPr>
          <w:rFonts w:hint="eastAsia"/>
        </w:rPr>
        <w:t xml:space="preserve">[14] </w:t>
      </w:r>
      <w:r w:rsidR="00A5675C" w:rsidRPr="00A5675C">
        <w:t>The hyperparameters for the experiment were set as follows:</w:t>
      </w:r>
    </w:p>
    <w:p w14:paraId="47EDE237" w14:textId="77777777" w:rsidR="00A92E88" w:rsidRDefault="00A92E88" w:rsidP="00494E9A"/>
    <w:p w14:paraId="44341EBC" w14:textId="77777777" w:rsidR="00D761C1" w:rsidRPr="00D761C1" w:rsidRDefault="00D761C1" w:rsidP="00D761C1">
      <w:r w:rsidRPr="00D761C1">
        <w:t>Gamma: Discount factor</w:t>
      </w:r>
    </w:p>
    <w:p w14:paraId="1E8BF069" w14:textId="77777777" w:rsidR="00D761C1" w:rsidRPr="00D761C1" w:rsidRDefault="00D761C1" w:rsidP="00D761C1">
      <w:r w:rsidRPr="00D761C1">
        <w:t>Learning rate: Learning rate for the optimizer</w:t>
      </w:r>
    </w:p>
    <w:p w14:paraId="7992A503" w14:textId="77777777" w:rsidR="00D761C1" w:rsidRPr="00D761C1" w:rsidRDefault="00D761C1" w:rsidP="00D761C1">
      <w:r w:rsidRPr="00D761C1">
        <w:t>Lamda: balancing bias and variance</w:t>
      </w:r>
    </w:p>
    <w:p w14:paraId="09D15F20" w14:textId="77777777" w:rsidR="00D761C1" w:rsidRPr="00D761C1" w:rsidRDefault="00D761C1" w:rsidP="00D761C1">
      <w:r w:rsidRPr="00D761C1">
        <w:t>Clip epsilon: threshold for policy updates</w:t>
      </w:r>
    </w:p>
    <w:p w14:paraId="403B0BFE" w14:textId="77777777" w:rsidR="00D761C1" w:rsidRPr="00D761C1" w:rsidRDefault="00D761C1" w:rsidP="00D761C1">
      <w:r w:rsidRPr="00D761C1">
        <w:t>PPO epochs: Number of epochs</w:t>
      </w:r>
    </w:p>
    <w:p w14:paraId="3447E00C" w14:textId="77777777" w:rsidR="00D761C1" w:rsidRPr="00D761C1" w:rsidRDefault="00D761C1" w:rsidP="00D761C1">
      <w:r w:rsidRPr="00D761C1">
        <w:t>Minibatch size: Number of samples in each mini-batch</w:t>
      </w:r>
    </w:p>
    <w:p w14:paraId="446AFEDB" w14:textId="77777777" w:rsidR="00D761C1" w:rsidRPr="00D761C1" w:rsidRDefault="00D761C1" w:rsidP="00D761C1">
      <w:r w:rsidRPr="00D761C1">
        <w:t>k: for limiting maximum buyable, sellable shares</w:t>
      </w:r>
    </w:p>
    <w:p w14:paraId="57BFF0DF" w14:textId="77777777" w:rsidR="00D761C1" w:rsidRPr="00D761C1" w:rsidRDefault="00D761C1" w:rsidP="00D761C1">
      <w:r w:rsidRPr="00D761C1">
        <w:t>N_channels: input feature channels for the model</w:t>
      </w:r>
    </w:p>
    <w:p w14:paraId="798888A1" w14:textId="77777777" w:rsidR="00D761C1" w:rsidRPr="00D761C1" w:rsidRDefault="00D761C1" w:rsidP="00D761C1">
      <w:r w:rsidRPr="00D761C1">
        <w:t>Tau:Soft update rate for target, used to align the target with main </w:t>
      </w:r>
    </w:p>
    <w:p w14:paraId="05EE7EBB" w14:textId="77777777" w:rsidR="00D761C1" w:rsidRPr="00D761C1" w:rsidRDefault="00D761C1" w:rsidP="00D761C1">
      <w:r w:rsidRPr="00D761C1">
        <w:t>Lamda: balancing bias and variance</w:t>
      </w:r>
    </w:p>
    <w:p w14:paraId="29807153" w14:textId="77777777" w:rsidR="00D761C1" w:rsidRPr="00D761C1" w:rsidRDefault="00D761C1" w:rsidP="00D761C1">
      <w:r w:rsidRPr="00D761C1">
        <w:t>Clip epsilon: threshold for policy updates</w:t>
      </w:r>
    </w:p>
    <w:p w14:paraId="3F884921" w14:textId="77777777" w:rsidR="00D761C1" w:rsidRPr="00D761C1" w:rsidRDefault="00D761C1" w:rsidP="00D761C1">
      <w:r w:rsidRPr="00D761C1">
        <w:t>PPO epochs: Number of epochsk: for limiting</w:t>
      </w:r>
    </w:p>
    <w:p w14:paraId="1CBE8C3A" w14:textId="77777777" w:rsidR="00D761C1" w:rsidRPr="00D761C1" w:rsidRDefault="00D761C1" w:rsidP="00494E9A"/>
    <w:p w14:paraId="524C85CE" w14:textId="77777777" w:rsidR="00D761C1" w:rsidRDefault="00D761C1" w:rsidP="00494E9A">
      <w:pPr>
        <w:rPr>
          <w:rFonts w:hint="eastAsia"/>
        </w:rPr>
      </w:pPr>
    </w:p>
    <w:p w14:paraId="4B810FB8" w14:textId="77777777" w:rsidR="00A92E88" w:rsidRDefault="00A92E88" w:rsidP="00494E9A"/>
    <w:p w14:paraId="2D1CF073" w14:textId="77DF0EDB" w:rsidR="008C79E3" w:rsidRPr="008C79E3" w:rsidRDefault="008C79E3" w:rsidP="00915572">
      <w:pPr>
        <w:rPr>
          <w:b/>
          <w:bCs/>
        </w:rPr>
      </w:pPr>
      <w:r w:rsidRPr="008C79E3">
        <w:rPr>
          <w:rFonts w:hint="eastAsia"/>
          <w:b/>
          <w:bCs/>
        </w:rPr>
        <w:t>Model &amp; Training</w:t>
      </w:r>
    </w:p>
    <w:p w14:paraId="449B5BF8" w14:textId="204C6073" w:rsidR="00915572" w:rsidRPr="007916A1" w:rsidRDefault="00915572" w:rsidP="00915572">
      <w:r>
        <w:rPr>
          <w:rFonts w:hint="eastAsia"/>
        </w:rPr>
        <w:t xml:space="preserve">[15] </w:t>
      </w:r>
      <w:r w:rsidRPr="007E1017">
        <w:t>To explain how the entire algorithm works, as shown in the diagram on the slide, it first concatenates the states over T days</w:t>
      </w:r>
      <w:r>
        <w:rPr>
          <w:rFonts w:hint="eastAsia"/>
        </w:rPr>
        <w:t xml:space="preserve"> and make state sequence data for T days</w:t>
      </w:r>
    </w:p>
    <w:p w14:paraId="17242418" w14:textId="77777777" w:rsidR="00915572" w:rsidRPr="007916A1" w:rsidRDefault="00915572" w:rsidP="00915572">
      <w:r>
        <w:rPr>
          <w:rFonts w:hint="eastAsia"/>
        </w:rPr>
        <w:t>And t</w:t>
      </w:r>
      <w:r w:rsidRPr="007916A1">
        <w:t>he Pre-LSTM extracts features from the state sequence data and feeds them as inputs to the Policy and Value networks, which generate output results.</w:t>
      </w:r>
    </w:p>
    <w:p w14:paraId="60896EE1" w14:textId="77777777" w:rsidR="00915572" w:rsidRPr="007916A1" w:rsidRDefault="00915572" w:rsidP="00915572">
      <w:r w:rsidRPr="007916A1">
        <w:t>The paper explains that by extracting features using Pre-LSTM, the model approximates a POMDP (Partially Observable MDP) to an MDP, which is expected to improve performance.</w:t>
      </w:r>
    </w:p>
    <w:p w14:paraId="2574FA3C" w14:textId="77777777" w:rsidR="00494E9A" w:rsidRPr="008C79E3" w:rsidRDefault="00494E9A" w:rsidP="00494E9A">
      <w:pPr>
        <w:rPr>
          <w:b/>
          <w:bCs/>
        </w:rPr>
      </w:pPr>
      <w:r w:rsidRPr="008C79E3">
        <w:rPr>
          <w:b/>
          <w:bCs/>
        </w:rPr>
        <w:t>Results</w:t>
      </w:r>
    </w:p>
    <w:p w14:paraId="09F98952" w14:textId="77777777" w:rsidR="00421B2D" w:rsidRPr="00421B2D" w:rsidRDefault="00494E9A" w:rsidP="00421B2D">
      <w:r w:rsidRPr="007916A1">
        <w:t>[1</w:t>
      </w:r>
      <w:r w:rsidR="00424714">
        <w:rPr>
          <w:rFonts w:hint="eastAsia"/>
        </w:rPr>
        <w:t>6</w:t>
      </w:r>
      <w:r w:rsidRPr="007916A1">
        <w:t xml:space="preserve">] The A2C algorithm showed instability during training compared to PPO. On the test data, </w:t>
      </w:r>
      <w:r w:rsidR="00421B2D" w:rsidRPr="00421B2D">
        <w:t>A2C showed a tendency to be highly influenced by initial conditions, such as weight initialization, achieving returns ranging from as low as 1% to as high as 10% over a one-year testing period. In contrast, PPO demonstrated relatively stable convergence and achieved an average return of approximately 10%.</w:t>
      </w:r>
    </w:p>
    <w:p w14:paraId="7A630FA7" w14:textId="77777777" w:rsidR="00494E9A" w:rsidRPr="00421B2D" w:rsidRDefault="00494E9A" w:rsidP="00494E9A"/>
    <w:p w14:paraId="455C70CE" w14:textId="77777777" w:rsidR="00494E9A" w:rsidRPr="007916A1" w:rsidRDefault="00494E9A" w:rsidP="00494E9A">
      <w:r w:rsidRPr="007916A1">
        <w:t>Model performance can be further enhanced by including more stocks, incorporating a wider variety of technical indicators, and performing more precise hyperparameter tuning.</w:t>
      </w:r>
    </w:p>
    <w:p w14:paraId="555B8C69" w14:textId="78D80D5E" w:rsidR="00494E9A" w:rsidRPr="007916A1" w:rsidRDefault="00494E9A" w:rsidP="00494E9A">
      <w:r w:rsidRPr="007916A1">
        <w:t>[1</w:t>
      </w:r>
      <w:r w:rsidR="00424714">
        <w:rPr>
          <w:rFonts w:hint="eastAsia"/>
        </w:rPr>
        <w:t>7</w:t>
      </w:r>
      <w:r w:rsidRPr="007916A1">
        <w:t>] Project Schedule</w:t>
      </w:r>
    </w:p>
    <w:sectPr w:rsidR="00494E9A" w:rsidRPr="007916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3AA5"/>
    <w:multiLevelType w:val="multilevel"/>
    <w:tmpl w:val="3102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35B1A"/>
    <w:multiLevelType w:val="multilevel"/>
    <w:tmpl w:val="7AF8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3643F"/>
    <w:multiLevelType w:val="multilevel"/>
    <w:tmpl w:val="FCA8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574ED"/>
    <w:multiLevelType w:val="hybridMultilevel"/>
    <w:tmpl w:val="1DFE13D6"/>
    <w:lvl w:ilvl="0" w:tplc="A11057C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77C41A8"/>
    <w:multiLevelType w:val="multilevel"/>
    <w:tmpl w:val="3238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17C21"/>
    <w:multiLevelType w:val="multilevel"/>
    <w:tmpl w:val="7F0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94C87"/>
    <w:multiLevelType w:val="multilevel"/>
    <w:tmpl w:val="46D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63F92"/>
    <w:multiLevelType w:val="multilevel"/>
    <w:tmpl w:val="0358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12DB0"/>
    <w:multiLevelType w:val="multilevel"/>
    <w:tmpl w:val="09DC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82727"/>
    <w:multiLevelType w:val="multilevel"/>
    <w:tmpl w:val="8A1A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538161">
    <w:abstractNumId w:val="2"/>
  </w:num>
  <w:num w:numId="2" w16cid:durableId="652562878">
    <w:abstractNumId w:val="4"/>
  </w:num>
  <w:num w:numId="3" w16cid:durableId="586621095">
    <w:abstractNumId w:val="5"/>
  </w:num>
  <w:num w:numId="4" w16cid:durableId="2035425502">
    <w:abstractNumId w:val="8"/>
  </w:num>
  <w:num w:numId="5" w16cid:durableId="1426851534">
    <w:abstractNumId w:val="1"/>
  </w:num>
  <w:num w:numId="6" w16cid:durableId="445465216">
    <w:abstractNumId w:val="6"/>
  </w:num>
  <w:num w:numId="7" w16cid:durableId="2067602112">
    <w:abstractNumId w:val="7"/>
  </w:num>
  <w:num w:numId="8" w16cid:durableId="1735200888">
    <w:abstractNumId w:val="9"/>
  </w:num>
  <w:num w:numId="9" w16cid:durableId="426074722">
    <w:abstractNumId w:val="0"/>
  </w:num>
  <w:num w:numId="10" w16cid:durableId="712384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FA"/>
    <w:rsid w:val="00052CBF"/>
    <w:rsid w:val="0008432B"/>
    <w:rsid w:val="001622D4"/>
    <w:rsid w:val="00174B8E"/>
    <w:rsid w:val="001A220C"/>
    <w:rsid w:val="001D75E2"/>
    <w:rsid w:val="001E7884"/>
    <w:rsid w:val="0022260F"/>
    <w:rsid w:val="0026559D"/>
    <w:rsid w:val="00266515"/>
    <w:rsid w:val="00285CDB"/>
    <w:rsid w:val="002C3C58"/>
    <w:rsid w:val="002C7606"/>
    <w:rsid w:val="00320EF2"/>
    <w:rsid w:val="003508B7"/>
    <w:rsid w:val="003834A6"/>
    <w:rsid w:val="003A1EDB"/>
    <w:rsid w:val="003B2F1E"/>
    <w:rsid w:val="00404019"/>
    <w:rsid w:val="00421B2D"/>
    <w:rsid w:val="00424714"/>
    <w:rsid w:val="0046027C"/>
    <w:rsid w:val="00474A0D"/>
    <w:rsid w:val="004929A1"/>
    <w:rsid w:val="00494E9A"/>
    <w:rsid w:val="004A229A"/>
    <w:rsid w:val="005219FA"/>
    <w:rsid w:val="005518B2"/>
    <w:rsid w:val="00567EAB"/>
    <w:rsid w:val="00586829"/>
    <w:rsid w:val="00703E6D"/>
    <w:rsid w:val="00756B7C"/>
    <w:rsid w:val="007627A3"/>
    <w:rsid w:val="007709DC"/>
    <w:rsid w:val="007916A1"/>
    <w:rsid w:val="007E07E2"/>
    <w:rsid w:val="007E1017"/>
    <w:rsid w:val="0088688B"/>
    <w:rsid w:val="008C0A01"/>
    <w:rsid w:val="008C79E3"/>
    <w:rsid w:val="008D4F5C"/>
    <w:rsid w:val="008F66E6"/>
    <w:rsid w:val="00905191"/>
    <w:rsid w:val="00915572"/>
    <w:rsid w:val="009E34A7"/>
    <w:rsid w:val="00A13205"/>
    <w:rsid w:val="00A5675C"/>
    <w:rsid w:val="00A67B17"/>
    <w:rsid w:val="00A92E88"/>
    <w:rsid w:val="00AA6E26"/>
    <w:rsid w:val="00B13A78"/>
    <w:rsid w:val="00B24148"/>
    <w:rsid w:val="00B82CC4"/>
    <w:rsid w:val="00BC1F86"/>
    <w:rsid w:val="00BD06AB"/>
    <w:rsid w:val="00BF0696"/>
    <w:rsid w:val="00C03C8E"/>
    <w:rsid w:val="00C66610"/>
    <w:rsid w:val="00D369E2"/>
    <w:rsid w:val="00D761C1"/>
    <w:rsid w:val="00DF111E"/>
    <w:rsid w:val="00F025E8"/>
    <w:rsid w:val="00F05B5B"/>
    <w:rsid w:val="00F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9397A"/>
  <w15:chartTrackingRefBased/>
  <w15:docId w15:val="{F204FA25-2A82-4FB2-8E7C-256691A3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9FA"/>
    <w:pPr>
      <w:widowControl w:val="0"/>
      <w:wordWrap w:val="0"/>
      <w:autoSpaceDE w:val="0"/>
      <w:autoSpaceDN w:val="0"/>
    </w:pPr>
    <w:rPr>
      <w:rFonts w:asciiTheme="minorHAns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3C8E"/>
    <w:rPr>
      <w:rFonts w:ascii="Times New Roman" w:hAnsi="Times New Roman" w:cs="Times New Roman"/>
      <w:sz w:val="24"/>
    </w:rPr>
  </w:style>
  <w:style w:type="paragraph" w:styleId="a4">
    <w:name w:val="List Paragraph"/>
    <w:basedOn w:val="a"/>
    <w:uiPriority w:val="34"/>
    <w:qFormat/>
    <w:rsid w:val="00C666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27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3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5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6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9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8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4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3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5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2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769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 남</dc:creator>
  <cp:keywords/>
  <dc:description/>
  <cp:lastModifiedBy>지훈 김</cp:lastModifiedBy>
  <cp:revision>3</cp:revision>
  <dcterms:created xsi:type="dcterms:W3CDTF">2024-12-10T17:52:00Z</dcterms:created>
  <dcterms:modified xsi:type="dcterms:W3CDTF">2024-12-10T17:56:00Z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0b5b90c6-975b-4816-902f-b0f2f24e62a7</vt:lpwstr>
  </property>
</Properties>
</file>