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9BC85" w14:textId="77777777" w:rsidR="00C14A6A" w:rsidRDefault="00000000" w:rsidP="005A4603">
      <w:pPr>
        <w:spacing w:after="240"/>
      </w:pPr>
      <w:r>
        <w:pict w14:anchorId="2BBCC05C">
          <v:rect id="_x0000_i1025" style="width:0;height:1.5pt" o:hralign="center" o:hrstd="t" o:hr="t" fillcolor="gray" stroked="f"/>
        </w:pict>
      </w:r>
    </w:p>
    <w:p w14:paraId="55166AFA" w14:textId="111946E7" w:rsidR="00BB1D21" w:rsidRPr="00BB1D21" w:rsidRDefault="00BB1D21" w:rsidP="00BB1D21">
      <w:pPr>
        <w:pStyle w:val="IEEETitle"/>
        <w:rPr>
          <w:sz w:val="40"/>
          <w:szCs w:val="40"/>
          <w:lang w:val="en-IN"/>
        </w:rPr>
      </w:pPr>
      <w:r>
        <w:rPr>
          <w:sz w:val="40"/>
          <w:szCs w:val="40"/>
        </w:rPr>
        <w:t xml:space="preserve">HEALTHGUARD : </w:t>
      </w:r>
      <w:r w:rsidRPr="00BB1D21">
        <w:rPr>
          <w:sz w:val="40"/>
          <w:szCs w:val="40"/>
          <w:lang w:val="en-IN"/>
        </w:rPr>
        <w:t>NEXT-GENERATION CHRONIC CONDITION MANAGEMENT PLATFORM</w:t>
      </w:r>
    </w:p>
    <w:p w14:paraId="66B1ED7E" w14:textId="5812D9B4" w:rsidR="005A4603" w:rsidRPr="005A4603" w:rsidRDefault="00000000" w:rsidP="005A4603">
      <w:pPr>
        <w:pStyle w:val="IEEETitle"/>
        <w:rPr>
          <w:sz w:val="40"/>
          <w:szCs w:val="40"/>
        </w:rPr>
      </w:pPr>
      <w:r>
        <w:rPr>
          <w:sz w:val="40"/>
          <w:szCs w:val="40"/>
        </w:rPr>
        <w:pict w14:anchorId="032C5C39">
          <v:rect id="_x0000_i1026" style="width:0;height:1.5pt" o:hralign="center" o:hrstd="t" o:hr="t" fillcolor="gray" stroked="f"/>
        </w:pict>
      </w:r>
    </w:p>
    <w:p w14:paraId="52F0D6EF" w14:textId="77777777" w:rsidR="00184C0C" w:rsidRDefault="00184C0C" w:rsidP="00184C0C">
      <w:pPr>
        <w:pStyle w:val="IEEEAuthorName"/>
        <w:spacing w:before="0" w:after="0"/>
        <w:rPr>
          <w:b/>
          <w:sz w:val="24"/>
        </w:rPr>
      </w:pPr>
    </w:p>
    <w:p w14:paraId="11188996" w14:textId="77777777" w:rsidR="00BB1D21" w:rsidRDefault="00BB1D21" w:rsidP="00184C0C">
      <w:pPr>
        <w:pStyle w:val="IEEEAuthorName"/>
        <w:spacing w:before="0" w:after="0"/>
        <w:rPr>
          <w:b/>
          <w:sz w:val="24"/>
        </w:rPr>
      </w:pPr>
      <w:r>
        <w:rPr>
          <w:b/>
          <w:sz w:val="24"/>
        </w:rPr>
        <w:t>Akula Veera Vasu Sriphalya</w:t>
      </w:r>
      <w:r w:rsidR="00184C0C" w:rsidRPr="00FF5787">
        <w:rPr>
          <w:b/>
          <w:sz w:val="24"/>
          <w:vertAlign w:val="superscript"/>
        </w:rPr>
        <w:t>1</w:t>
      </w:r>
      <w:r w:rsidR="00184C0C" w:rsidRPr="00FF5787">
        <w:rPr>
          <w:b/>
          <w:sz w:val="24"/>
        </w:rPr>
        <w:t>,</w:t>
      </w:r>
      <w:r w:rsidRPr="00BB1D21">
        <w:rPr>
          <w:b/>
          <w:sz w:val="24"/>
        </w:rPr>
        <w:t>Geetha Usha Sri Bade</w:t>
      </w:r>
      <w:r>
        <w:rPr>
          <w:b/>
          <w:sz w:val="24"/>
        </w:rPr>
        <w:t xml:space="preserve"> </w:t>
      </w:r>
      <w:r w:rsidRPr="00BB1D21">
        <w:rPr>
          <w:b/>
          <w:sz w:val="24"/>
          <w:vertAlign w:val="superscript"/>
        </w:rPr>
        <w:t>2</w:t>
      </w:r>
      <w:r w:rsidR="00184C0C" w:rsidRPr="00FF5787">
        <w:rPr>
          <w:b/>
          <w:sz w:val="24"/>
        </w:rPr>
        <w:t>,</w:t>
      </w:r>
    </w:p>
    <w:p w14:paraId="7C7278B2" w14:textId="07D853EE" w:rsidR="00184C0C" w:rsidRPr="00FF5787" w:rsidRDefault="00BB1D21" w:rsidP="00184C0C">
      <w:pPr>
        <w:pStyle w:val="IEEEAuthorName"/>
        <w:spacing w:before="0" w:after="0"/>
        <w:rPr>
          <w:b/>
          <w:sz w:val="24"/>
        </w:rPr>
      </w:pPr>
      <w:r w:rsidRPr="00BB1D21">
        <w:rPr>
          <w:b/>
          <w:sz w:val="24"/>
        </w:rPr>
        <w:t>Sree Varenya J</w:t>
      </w:r>
      <w:r w:rsidR="00184C0C" w:rsidRPr="00FF5787">
        <w:rPr>
          <w:b/>
          <w:sz w:val="24"/>
          <w:vertAlign w:val="superscript"/>
        </w:rPr>
        <w:t>3</w:t>
      </w:r>
      <w:r>
        <w:rPr>
          <w:b/>
          <w:sz w:val="24"/>
        </w:rPr>
        <w:t>,</w:t>
      </w:r>
      <w:r w:rsidRPr="00BB1D21">
        <w:rPr>
          <w:b/>
          <w:sz w:val="24"/>
          <w:lang w:val="en-US"/>
        </w:rPr>
        <w:t>Manas Kumar Yogi</w:t>
      </w:r>
      <w:r w:rsidRPr="00BB1D21">
        <w:rPr>
          <w:b/>
          <w:sz w:val="24"/>
          <w:vertAlign w:val="superscript"/>
          <w:lang w:val="en-US"/>
        </w:rPr>
        <w:t>4</w:t>
      </w:r>
    </w:p>
    <w:p w14:paraId="4E8D37C1" w14:textId="77777777" w:rsidR="00184C0C" w:rsidRPr="00FF5787" w:rsidRDefault="00184C0C" w:rsidP="00184C0C">
      <w:pPr>
        <w:pStyle w:val="IEEEAuthorAffiliation"/>
        <w:spacing w:after="0"/>
        <w:rPr>
          <w:sz w:val="24"/>
          <w:vertAlign w:val="superscript"/>
        </w:rPr>
      </w:pPr>
    </w:p>
    <w:p w14:paraId="323C3056" w14:textId="104BD3B9" w:rsidR="00BB1D21" w:rsidRDefault="00BB1D21" w:rsidP="00BB1D21">
      <w:pPr>
        <w:pStyle w:val="IEEEAuthorAffiliation"/>
        <w:spacing w:after="0"/>
        <w:rPr>
          <w:sz w:val="24"/>
        </w:rPr>
      </w:pPr>
      <w:r w:rsidRPr="00BB1D21">
        <w:rPr>
          <w:spacing w:val="-1"/>
          <w:sz w:val="24"/>
          <w:vertAlign w:val="superscript"/>
        </w:rPr>
        <w:t>1</w:t>
      </w:r>
      <w:r w:rsidRPr="000307A7">
        <w:rPr>
          <w:spacing w:val="-1"/>
          <w:sz w:val="24"/>
        </w:rPr>
        <w:t>Third Year B. Tech Student,</w:t>
      </w:r>
      <w:r w:rsidRPr="000307A7">
        <w:rPr>
          <w:sz w:val="24"/>
        </w:rPr>
        <w:t xml:space="preserve"> Department</w:t>
      </w:r>
      <w:r w:rsidRPr="000307A7">
        <w:rPr>
          <w:spacing w:val="-2"/>
          <w:sz w:val="24"/>
        </w:rPr>
        <w:t xml:space="preserve"> </w:t>
      </w:r>
      <w:r w:rsidRPr="000307A7">
        <w:rPr>
          <w:sz w:val="24"/>
        </w:rPr>
        <w:t>of</w:t>
      </w:r>
      <w:r w:rsidRPr="000307A7">
        <w:rPr>
          <w:spacing w:val="-2"/>
          <w:sz w:val="24"/>
        </w:rPr>
        <w:t xml:space="preserve"> </w:t>
      </w:r>
      <w:r w:rsidRPr="000307A7">
        <w:rPr>
          <w:sz w:val="24"/>
        </w:rPr>
        <w:t>CSE,</w:t>
      </w:r>
      <w:r>
        <w:rPr>
          <w:spacing w:val="-1"/>
          <w:sz w:val="24"/>
        </w:rPr>
        <w:t xml:space="preserve"> </w:t>
      </w:r>
      <w:r w:rsidRPr="000307A7">
        <w:rPr>
          <w:sz w:val="24"/>
        </w:rPr>
        <w:t>Pragati</w:t>
      </w:r>
      <w:r>
        <w:rPr>
          <w:sz w:val="24"/>
        </w:rPr>
        <w:t xml:space="preserve"> </w:t>
      </w:r>
      <w:r w:rsidRPr="000307A7">
        <w:rPr>
          <w:sz w:val="24"/>
        </w:rPr>
        <w:t xml:space="preserve"> Engineering College, Surampalem</w:t>
      </w:r>
    </w:p>
    <w:p w14:paraId="6BC23389" w14:textId="77777777" w:rsidR="00BB1D21" w:rsidRDefault="00BB1D21" w:rsidP="00184C0C">
      <w:pPr>
        <w:pStyle w:val="IEEEAuthorAffiliation"/>
        <w:spacing w:after="0"/>
        <w:rPr>
          <w:sz w:val="24"/>
        </w:rPr>
      </w:pPr>
      <w:r w:rsidRPr="00BB1D21">
        <w:rPr>
          <w:spacing w:val="-1"/>
          <w:sz w:val="24"/>
          <w:vertAlign w:val="superscript"/>
        </w:rPr>
        <w:t>2</w:t>
      </w:r>
      <w:r w:rsidRPr="000307A7">
        <w:rPr>
          <w:spacing w:val="-1"/>
          <w:sz w:val="24"/>
        </w:rPr>
        <w:t>Third Year B. Tech Student,</w:t>
      </w:r>
      <w:r w:rsidRPr="000307A7">
        <w:rPr>
          <w:sz w:val="24"/>
        </w:rPr>
        <w:t xml:space="preserve"> Department</w:t>
      </w:r>
      <w:r w:rsidRPr="000307A7">
        <w:rPr>
          <w:spacing w:val="-2"/>
          <w:sz w:val="24"/>
        </w:rPr>
        <w:t xml:space="preserve"> </w:t>
      </w:r>
      <w:r w:rsidRPr="000307A7">
        <w:rPr>
          <w:sz w:val="24"/>
        </w:rPr>
        <w:t>of</w:t>
      </w:r>
      <w:r w:rsidRPr="000307A7">
        <w:rPr>
          <w:spacing w:val="-2"/>
          <w:sz w:val="24"/>
        </w:rPr>
        <w:t xml:space="preserve"> </w:t>
      </w:r>
      <w:r w:rsidRPr="000307A7">
        <w:rPr>
          <w:sz w:val="24"/>
        </w:rPr>
        <w:t>CSE</w:t>
      </w:r>
      <w:r>
        <w:rPr>
          <w:sz w:val="24"/>
        </w:rPr>
        <w:t>(AI-ML)</w:t>
      </w:r>
      <w:r w:rsidRPr="000307A7">
        <w:rPr>
          <w:sz w:val="24"/>
        </w:rPr>
        <w:t>,</w:t>
      </w:r>
      <w:r w:rsidRPr="000307A7">
        <w:rPr>
          <w:spacing w:val="-1"/>
          <w:sz w:val="24"/>
        </w:rPr>
        <w:t xml:space="preserve"> </w:t>
      </w:r>
      <w:r w:rsidRPr="000307A7">
        <w:rPr>
          <w:sz w:val="24"/>
        </w:rPr>
        <w:t>Pragati Engineering College, Surampalem</w:t>
      </w:r>
    </w:p>
    <w:p w14:paraId="1EA70832" w14:textId="77777777" w:rsidR="00397200" w:rsidRDefault="00BB1D21" w:rsidP="00184C0C">
      <w:pPr>
        <w:pStyle w:val="IEEEAuthorAffiliation"/>
        <w:spacing w:after="0"/>
        <w:rPr>
          <w:sz w:val="24"/>
        </w:rPr>
      </w:pPr>
      <w:r>
        <w:rPr>
          <w:spacing w:val="-1"/>
          <w:sz w:val="24"/>
          <w:vertAlign w:val="superscript"/>
        </w:rPr>
        <w:t>3</w:t>
      </w:r>
      <w:r w:rsidRPr="000307A7">
        <w:rPr>
          <w:spacing w:val="-1"/>
          <w:sz w:val="24"/>
        </w:rPr>
        <w:t>Third Year B. Tech Student,</w:t>
      </w:r>
      <w:r w:rsidRPr="000307A7">
        <w:rPr>
          <w:sz w:val="24"/>
        </w:rPr>
        <w:t xml:space="preserve"> Department</w:t>
      </w:r>
      <w:r w:rsidRPr="000307A7">
        <w:rPr>
          <w:spacing w:val="-2"/>
          <w:sz w:val="24"/>
        </w:rPr>
        <w:t xml:space="preserve"> </w:t>
      </w:r>
      <w:r w:rsidRPr="000307A7">
        <w:rPr>
          <w:sz w:val="24"/>
        </w:rPr>
        <w:t>of</w:t>
      </w:r>
      <w:r w:rsidRPr="000307A7">
        <w:rPr>
          <w:spacing w:val="-2"/>
          <w:sz w:val="24"/>
        </w:rPr>
        <w:t xml:space="preserve"> </w:t>
      </w:r>
      <w:r w:rsidRPr="000307A7">
        <w:rPr>
          <w:sz w:val="24"/>
        </w:rPr>
        <w:t>CSE</w:t>
      </w:r>
      <w:r>
        <w:rPr>
          <w:sz w:val="24"/>
        </w:rPr>
        <w:t>(AI-ML)</w:t>
      </w:r>
      <w:r w:rsidRPr="000307A7">
        <w:rPr>
          <w:sz w:val="24"/>
        </w:rPr>
        <w:t>,</w:t>
      </w:r>
      <w:r w:rsidRPr="000307A7">
        <w:rPr>
          <w:spacing w:val="-1"/>
          <w:sz w:val="24"/>
        </w:rPr>
        <w:t xml:space="preserve"> </w:t>
      </w:r>
      <w:r w:rsidRPr="000307A7">
        <w:rPr>
          <w:sz w:val="24"/>
        </w:rPr>
        <w:t>Pragati Engineering College, Surampalem</w:t>
      </w:r>
      <w:r w:rsidR="00184C0C" w:rsidRPr="00FF5787">
        <w:rPr>
          <w:sz w:val="24"/>
        </w:rPr>
        <w:t xml:space="preserve"> </w:t>
      </w:r>
    </w:p>
    <w:p w14:paraId="1AA0C0F4" w14:textId="03822C5C" w:rsidR="00184C0C" w:rsidRPr="00FF5787" w:rsidRDefault="00397200" w:rsidP="00184C0C">
      <w:pPr>
        <w:pStyle w:val="IEEEAuthorAffiliation"/>
        <w:spacing w:after="0"/>
        <w:rPr>
          <w:sz w:val="24"/>
        </w:rPr>
      </w:pPr>
      <w:r>
        <w:rPr>
          <w:sz w:val="24"/>
          <w:vertAlign w:val="superscript"/>
        </w:rPr>
        <w:t>4</w:t>
      </w:r>
      <w:r w:rsidRPr="000307A7">
        <w:rPr>
          <w:sz w:val="24"/>
        </w:rPr>
        <w:t>Assistant Professor, Department</w:t>
      </w:r>
      <w:r w:rsidRPr="000307A7">
        <w:rPr>
          <w:spacing w:val="-2"/>
          <w:sz w:val="24"/>
        </w:rPr>
        <w:t xml:space="preserve"> </w:t>
      </w:r>
      <w:r w:rsidRPr="000307A7">
        <w:rPr>
          <w:sz w:val="24"/>
        </w:rPr>
        <w:t>of</w:t>
      </w:r>
      <w:r w:rsidRPr="000307A7">
        <w:rPr>
          <w:spacing w:val="-2"/>
          <w:sz w:val="24"/>
        </w:rPr>
        <w:t xml:space="preserve"> </w:t>
      </w:r>
      <w:r w:rsidRPr="000307A7">
        <w:rPr>
          <w:sz w:val="24"/>
        </w:rPr>
        <w:t>CSE,</w:t>
      </w:r>
      <w:r w:rsidRPr="000307A7">
        <w:rPr>
          <w:spacing w:val="-1"/>
          <w:sz w:val="24"/>
        </w:rPr>
        <w:t xml:space="preserve"> </w:t>
      </w:r>
      <w:r w:rsidRPr="000307A7">
        <w:rPr>
          <w:sz w:val="24"/>
        </w:rPr>
        <w:t>Pragati Engineering College, Surampalem</w:t>
      </w:r>
      <w:r>
        <w:rPr>
          <w:sz w:val="24"/>
        </w:rPr>
        <w:t>.</w:t>
      </w:r>
    </w:p>
    <w:p w14:paraId="24172251" w14:textId="77777777" w:rsidR="00184C0C" w:rsidRPr="00FF5787" w:rsidRDefault="00184C0C" w:rsidP="00184C0C">
      <w:pPr>
        <w:pStyle w:val="IEEEAuthorEmail"/>
        <w:spacing w:after="0"/>
        <w:rPr>
          <w:rFonts w:ascii="Times New Roman" w:hAnsi="Times New Roman"/>
          <w:i/>
          <w:sz w:val="24"/>
        </w:rPr>
      </w:pPr>
    </w:p>
    <w:p w14:paraId="268C3074" w14:textId="72CEF61E" w:rsidR="00184C0C" w:rsidRPr="00FF5787" w:rsidRDefault="00397200" w:rsidP="00184C0C">
      <w:pPr>
        <w:pStyle w:val="IEEEAuthorEmail"/>
        <w:spacing w:after="0"/>
        <w:rPr>
          <w:rFonts w:ascii="Times New Roman" w:hAnsi="Times New Roman"/>
          <w:i/>
          <w:sz w:val="24"/>
        </w:rPr>
      </w:pPr>
      <w:r>
        <w:rPr>
          <w:rFonts w:ascii="Times New Roman" w:hAnsi="Times New Roman"/>
          <w:i/>
          <w:sz w:val="24"/>
        </w:rPr>
        <w:t xml:space="preserve">Email: </w:t>
      </w:r>
      <w:r w:rsidRPr="00397200">
        <w:rPr>
          <w:rFonts w:ascii="Times New Roman" w:hAnsi="Times New Roman"/>
          <w:i/>
          <w:sz w:val="24"/>
          <w:vertAlign w:val="superscript"/>
        </w:rPr>
        <w:t>1</w:t>
      </w:r>
      <w:r>
        <w:rPr>
          <w:rFonts w:ascii="Times New Roman" w:hAnsi="Times New Roman"/>
          <w:i/>
          <w:sz w:val="24"/>
        </w:rPr>
        <w:t>sriphalya.236@gmail.com</w:t>
      </w:r>
      <w:r w:rsidR="00184C0C" w:rsidRPr="00FF5787">
        <w:rPr>
          <w:rFonts w:ascii="Times New Roman" w:hAnsi="Times New Roman"/>
          <w:i/>
          <w:sz w:val="24"/>
        </w:rPr>
        <w:t xml:space="preserve">, </w:t>
      </w:r>
      <w:hyperlink r:id="rId7" w:history="1">
        <w:r w:rsidR="00EC5F10" w:rsidRPr="003F5727">
          <w:rPr>
            <w:rStyle w:val="Hyperlink"/>
            <w:rFonts w:ascii="Times New Roman" w:hAnsi="Times New Roman"/>
            <w:i/>
            <w:sz w:val="24"/>
            <w:vertAlign w:val="superscript"/>
          </w:rPr>
          <w:t>2</w:t>
        </w:r>
        <w:r w:rsidR="00EC5F10" w:rsidRPr="003F5727">
          <w:rPr>
            <w:rStyle w:val="Hyperlink"/>
            <w:rFonts w:ascii="Times New Roman" w:hAnsi="Times New Roman"/>
            <w:i/>
            <w:sz w:val="24"/>
          </w:rPr>
          <w:t>geethabade11@gmail.com</w:t>
        </w:r>
      </w:hyperlink>
      <w:r>
        <w:rPr>
          <w:rStyle w:val="Hyperlink"/>
          <w:rFonts w:ascii="Times New Roman" w:hAnsi="Times New Roman"/>
          <w:i/>
          <w:color w:val="auto"/>
          <w:sz w:val="24"/>
          <w:u w:val="none"/>
        </w:rPr>
        <w:t xml:space="preserve"> ,</w:t>
      </w:r>
      <w:r w:rsidRPr="00397200">
        <w:rPr>
          <w:rStyle w:val="Hyperlink"/>
          <w:rFonts w:ascii="Times New Roman" w:hAnsi="Times New Roman"/>
          <w:i/>
          <w:color w:val="auto"/>
          <w:sz w:val="24"/>
          <w:u w:val="none"/>
          <w:vertAlign w:val="superscript"/>
        </w:rPr>
        <w:t>3</w:t>
      </w:r>
      <w:r w:rsidRPr="00397200">
        <w:rPr>
          <w:rStyle w:val="Hyperlink"/>
          <w:rFonts w:ascii="Times New Roman" w:hAnsi="Times New Roman"/>
          <w:i/>
          <w:color w:val="auto"/>
          <w:sz w:val="24"/>
          <w:u w:val="none"/>
        </w:rPr>
        <w:t>sreevarenya5@gmail.com</w:t>
      </w:r>
    </w:p>
    <w:p w14:paraId="6B2BA05D" w14:textId="004398BA" w:rsidR="00184C0C" w:rsidRPr="00FF5787" w:rsidRDefault="00184C0C" w:rsidP="00184C0C">
      <w:pPr>
        <w:pStyle w:val="IEEEAuthorEmail"/>
        <w:spacing w:after="0"/>
        <w:rPr>
          <w:rFonts w:ascii="Times New Roman" w:hAnsi="Times New Roman"/>
          <w:i/>
          <w:sz w:val="24"/>
        </w:rPr>
      </w:pPr>
      <w:r w:rsidRPr="00FF5787">
        <w:rPr>
          <w:rFonts w:ascii="Times New Roman" w:hAnsi="Times New Roman"/>
          <w:i/>
          <w:sz w:val="24"/>
        </w:rPr>
        <w:t xml:space="preserve">Corresponding Email: </w:t>
      </w:r>
      <w:r w:rsidR="00397200">
        <w:rPr>
          <w:rFonts w:ascii="Times New Roman" w:hAnsi="Times New Roman"/>
          <w:i/>
          <w:sz w:val="24"/>
          <w:vertAlign w:val="superscript"/>
        </w:rPr>
        <w:t>4</w:t>
      </w:r>
      <w:r w:rsidR="00397200" w:rsidRPr="00397200">
        <w:rPr>
          <w:rFonts w:ascii="Times New Roman" w:hAnsi="Times New Roman"/>
          <w:i/>
          <w:sz w:val="24"/>
        </w:rPr>
        <w:t>manas.yogi@gmail.com</w:t>
      </w:r>
    </w:p>
    <w:p w14:paraId="03B401E8" w14:textId="77777777" w:rsidR="00184C0C" w:rsidRDefault="00184C0C" w:rsidP="00184C0C">
      <w:pPr>
        <w:jc w:val="both"/>
      </w:pPr>
    </w:p>
    <w:p w14:paraId="1112FFF3" w14:textId="77777777" w:rsidR="00F444A7" w:rsidRPr="006D7DCB" w:rsidRDefault="00F444A7" w:rsidP="00F444A7"/>
    <w:p w14:paraId="7D4A432F" w14:textId="50B063E1" w:rsidR="00F444A7" w:rsidRDefault="00F444A7" w:rsidP="003B2B72">
      <w:pPr>
        <w:pStyle w:val="IEEEAbtract"/>
        <w:rPr>
          <w:i/>
          <w:sz w:val="24"/>
        </w:rPr>
      </w:pPr>
      <w:r w:rsidRPr="00E00A3A">
        <w:rPr>
          <w:rStyle w:val="IEEEAbstractHeadingChar"/>
          <w:b/>
          <w:sz w:val="24"/>
        </w:rPr>
        <w:t>Abstract</w:t>
      </w:r>
      <w:r w:rsidRPr="00E00A3A">
        <w:rPr>
          <w:i/>
          <w:sz w:val="24"/>
        </w:rPr>
        <w:t xml:space="preserve">: </w:t>
      </w:r>
    </w:p>
    <w:p w14:paraId="606BDD0C" w14:textId="0E0EEBC5" w:rsidR="00C64944" w:rsidRDefault="00C64944" w:rsidP="00C64944">
      <w:pPr>
        <w:rPr>
          <w:lang w:val="en-GB" w:eastAsia="en-GB"/>
        </w:rPr>
      </w:pPr>
      <w:r w:rsidRPr="00C64944">
        <w:rPr>
          <w:lang w:val="en-GB" w:eastAsia="en-GB"/>
        </w:rPr>
        <w:t>HealthGuard represents a cutting-edge platform designed to revolutionize the management of chronic conditions. Leveraging advanced technologies such as artificial intelligence, machine learning, and big data analytics, HealthGuard offers a comprehensive solution for individuals, healthcare providers, and researchers alike. The platform facilitates personalized care plans tailored to each patient's unique needs, empowering them to actively participate in their health journey. Through continuous monitoring, predictive analytics, and real-time feedback, HealthGuard enables early detection of potential complications and proactive interventions, thereby enhancing patient outcomes and quality of life. Moreover, HealthGuard fosters collaboration between patients and healthcare professionals, facilitating seamless communication and data sharing. By integrating wearable devices, electronic health records, and lifestyle data, HealthGuard provides a holistic view of the patient's health status, facilitating informed decision-making and optimizing treatment strategies. Furthermore, HealthGuard serves as a valuable tool for research and population health management, offering insights derived from aggregated anonymized data. As the prevalence of chronic conditions continues to rise globally, HealthGuard emerges as a pivotal platform driving innovation in chronic disease management, with the potential to revolutionize healthcare delivery and improve patient well-being.</w:t>
      </w:r>
    </w:p>
    <w:p w14:paraId="0FEE3514" w14:textId="77777777" w:rsidR="00C64944" w:rsidRDefault="00C64944" w:rsidP="00C64944">
      <w:pPr>
        <w:rPr>
          <w:lang w:val="en-GB" w:eastAsia="en-GB"/>
        </w:rPr>
      </w:pPr>
    </w:p>
    <w:p w14:paraId="0D2C9A02" w14:textId="4CF93835" w:rsidR="00C64944" w:rsidRPr="00B3116F" w:rsidRDefault="00C64944" w:rsidP="00C64944">
      <w:pPr>
        <w:rPr>
          <w:b/>
          <w:bCs/>
          <w:lang w:val="en-GB" w:eastAsia="en-GB"/>
        </w:rPr>
      </w:pPr>
      <w:r w:rsidRPr="00B3116F">
        <w:rPr>
          <w:b/>
          <w:bCs/>
          <w:lang w:val="en-GB" w:eastAsia="en-GB"/>
        </w:rPr>
        <w:t xml:space="preserve">Keywords: </w:t>
      </w:r>
    </w:p>
    <w:p w14:paraId="039C8073" w14:textId="4077025A" w:rsidR="00C64944" w:rsidRDefault="00C64944" w:rsidP="00C64944">
      <w:pPr>
        <w:rPr>
          <w:lang w:val="en-GB" w:eastAsia="en-GB"/>
        </w:rPr>
      </w:pPr>
      <w:r w:rsidRPr="00C64944">
        <w:rPr>
          <w:lang w:val="en-GB" w:eastAsia="en-GB"/>
        </w:rPr>
        <w:t>HealthGuard</w:t>
      </w:r>
      <w:r>
        <w:rPr>
          <w:lang w:val="en-GB" w:eastAsia="en-GB"/>
        </w:rPr>
        <w:t xml:space="preserve">, </w:t>
      </w:r>
      <w:r w:rsidRPr="00C64944">
        <w:rPr>
          <w:lang w:val="en-GB" w:eastAsia="en-GB"/>
        </w:rPr>
        <w:t>Chronic condition management</w:t>
      </w:r>
      <w:r>
        <w:rPr>
          <w:lang w:val="en-GB" w:eastAsia="en-GB"/>
        </w:rPr>
        <w:t xml:space="preserve">, </w:t>
      </w:r>
      <w:r w:rsidRPr="00C64944">
        <w:rPr>
          <w:lang w:val="en-GB" w:eastAsia="en-GB"/>
        </w:rPr>
        <w:t>Artificial intelligence</w:t>
      </w:r>
      <w:r>
        <w:rPr>
          <w:lang w:val="en-GB" w:eastAsia="en-GB"/>
        </w:rPr>
        <w:t xml:space="preserve">, </w:t>
      </w:r>
      <w:r w:rsidRPr="00C64944">
        <w:rPr>
          <w:lang w:val="en-GB" w:eastAsia="en-GB"/>
        </w:rPr>
        <w:t>Machine learning</w:t>
      </w:r>
      <w:r>
        <w:rPr>
          <w:lang w:val="en-GB" w:eastAsia="en-GB"/>
        </w:rPr>
        <w:t xml:space="preserve">, </w:t>
      </w:r>
      <w:r w:rsidRPr="00C64944">
        <w:rPr>
          <w:lang w:val="en-GB" w:eastAsia="en-GB"/>
        </w:rPr>
        <w:t>Big data analytics</w:t>
      </w:r>
      <w:r>
        <w:rPr>
          <w:lang w:val="en-GB" w:eastAsia="en-GB"/>
        </w:rPr>
        <w:t xml:space="preserve">, </w:t>
      </w:r>
      <w:r w:rsidRPr="00C64944">
        <w:rPr>
          <w:lang w:val="en-GB" w:eastAsia="en-GB"/>
        </w:rPr>
        <w:t>Personalized care plans</w:t>
      </w:r>
      <w:r>
        <w:rPr>
          <w:lang w:val="en-GB" w:eastAsia="en-GB"/>
        </w:rPr>
        <w:t xml:space="preserve">, </w:t>
      </w:r>
      <w:r w:rsidRPr="00C64944">
        <w:rPr>
          <w:lang w:val="en-GB" w:eastAsia="en-GB"/>
        </w:rPr>
        <w:t>Continuous monitoring</w:t>
      </w:r>
      <w:r>
        <w:rPr>
          <w:lang w:val="en-GB" w:eastAsia="en-GB"/>
        </w:rPr>
        <w:t xml:space="preserve">, </w:t>
      </w:r>
      <w:r w:rsidRPr="00C64944">
        <w:rPr>
          <w:lang w:val="en-GB" w:eastAsia="en-GB"/>
        </w:rPr>
        <w:t>Predictive analytics</w:t>
      </w:r>
      <w:r>
        <w:rPr>
          <w:lang w:val="en-GB" w:eastAsia="en-GB"/>
        </w:rPr>
        <w:t xml:space="preserve">, </w:t>
      </w:r>
      <w:r w:rsidRPr="00C64944">
        <w:rPr>
          <w:lang w:val="en-GB" w:eastAsia="en-GB"/>
        </w:rPr>
        <w:t>Wearable devices</w:t>
      </w:r>
      <w:r>
        <w:rPr>
          <w:lang w:val="en-GB" w:eastAsia="en-GB"/>
        </w:rPr>
        <w:t xml:space="preserve">, </w:t>
      </w:r>
      <w:r w:rsidRPr="00C64944">
        <w:rPr>
          <w:lang w:val="en-GB" w:eastAsia="en-GB"/>
        </w:rPr>
        <w:t>Population health management</w:t>
      </w:r>
    </w:p>
    <w:p w14:paraId="57A785D9" w14:textId="77777777" w:rsidR="00C64944" w:rsidRPr="00EC5F10" w:rsidRDefault="00C64944" w:rsidP="00C64944">
      <w:pPr>
        <w:rPr>
          <w:b/>
          <w:bCs/>
        </w:rPr>
      </w:pPr>
      <w:r w:rsidRPr="00EC5F10">
        <w:rPr>
          <w:b/>
          <w:bCs/>
        </w:rPr>
        <w:lastRenderedPageBreak/>
        <w:t>FEATURES</w:t>
      </w:r>
    </w:p>
    <w:p w14:paraId="4577F1CE" w14:textId="77777777" w:rsidR="00C64944" w:rsidRPr="00C64944" w:rsidRDefault="00C64944" w:rsidP="00C64944">
      <w:pPr>
        <w:rPr>
          <w:lang w:val="en-GB" w:eastAsia="en-GB"/>
        </w:rPr>
      </w:pPr>
    </w:p>
    <w:p w14:paraId="54F4A9C4" w14:textId="283DDA0C" w:rsidR="003B2B72" w:rsidRDefault="00732973" w:rsidP="003B2B72">
      <w:pPr>
        <w:rPr>
          <w:lang w:val="en-GB" w:eastAsia="en-GB"/>
        </w:rPr>
      </w:pPr>
      <w:r w:rsidRPr="00732973">
        <w:rPr>
          <w:lang w:eastAsia="en-GB"/>
        </w:rPr>
        <w:t>It collects the data from the patient and recommends the steps that can be helpful to the patients. This HealthGuard stores the previous records of the patient , and improvises the dashboard according to it. It is a customised page for an individual to store his daily routines.</w:t>
      </w:r>
      <w:r w:rsidRPr="00732973">
        <w:rPr>
          <w:rFonts w:ascii="Segoe UI" w:hAnsi="Segoe UI" w:cs="Segoe UI"/>
          <w:b/>
          <w:bCs/>
          <w:color w:val="212529"/>
          <w:shd w:val="clear" w:color="auto" w:fill="FFFFFF"/>
        </w:rPr>
        <w:t xml:space="preserve"> </w:t>
      </w:r>
      <w:r w:rsidRPr="00B3116F">
        <w:rPr>
          <w:b/>
          <w:bCs/>
          <w:i/>
          <w:iCs/>
          <w:lang w:eastAsia="en-GB"/>
        </w:rPr>
        <w:t>Holistic Management:</w:t>
      </w:r>
      <w:r w:rsidRPr="00732973">
        <w:rPr>
          <w:b/>
          <w:bCs/>
          <w:lang w:eastAsia="en-GB"/>
        </w:rPr>
        <w:t> </w:t>
      </w:r>
      <w:r w:rsidRPr="00732973">
        <w:rPr>
          <w:lang w:eastAsia="en-GB"/>
        </w:rPr>
        <w:t>Chronic conditions often require comprehensive management that goes beyond mere medical treatment. HealthGuard can offer a platform that integrates various aspects of care including medical treatment, lifestyle modifications, monitoring of symptoms, medication adherence, and psychological support.</w:t>
      </w:r>
      <w:r w:rsidRPr="00732973">
        <w:rPr>
          <w:lang w:eastAsia="en-GB"/>
        </w:rPr>
        <w:br/>
      </w:r>
      <w:r w:rsidRPr="00B3116F">
        <w:rPr>
          <w:b/>
          <w:bCs/>
          <w:i/>
          <w:iCs/>
          <w:lang w:eastAsia="en-GB"/>
        </w:rPr>
        <w:t>Personalized Care</w:t>
      </w:r>
      <w:r w:rsidRPr="00732973">
        <w:rPr>
          <w:b/>
          <w:bCs/>
          <w:lang w:eastAsia="en-GB"/>
        </w:rPr>
        <w:t>: </w:t>
      </w:r>
      <w:r w:rsidRPr="00732973">
        <w:rPr>
          <w:lang w:eastAsia="en-GB"/>
        </w:rPr>
        <w:t>Every individual with a chronic condition may have unique needs and requirements. HealthGuard can utilize data analytics and personalized algorithms to tailor care plans for each patient, optimizing their management and improving outcomes.</w:t>
      </w:r>
      <w:r w:rsidRPr="00732973">
        <w:rPr>
          <w:lang w:eastAsia="en-GB"/>
        </w:rPr>
        <w:br/>
      </w:r>
      <w:r w:rsidRPr="00B3116F">
        <w:rPr>
          <w:b/>
          <w:bCs/>
          <w:i/>
          <w:iCs/>
          <w:lang w:eastAsia="en-GB"/>
        </w:rPr>
        <w:t>Coordination of Care:</w:t>
      </w:r>
      <w:r w:rsidRPr="00732973">
        <w:rPr>
          <w:b/>
          <w:bCs/>
          <w:lang w:eastAsia="en-GB"/>
        </w:rPr>
        <w:t> </w:t>
      </w:r>
      <w:r w:rsidRPr="00732973">
        <w:rPr>
          <w:lang w:eastAsia="en-GB"/>
        </w:rPr>
        <w:t>Patients with chronic conditions may require care from multiple healthcare providers across various specialties. HealthGuard can serve as a centralized platform for coordinating care between different providers, ensuring seamless com</w:t>
      </w:r>
    </w:p>
    <w:p w14:paraId="7FDC0D23" w14:textId="77777777" w:rsidR="00732973" w:rsidRDefault="00732973" w:rsidP="003B2B72">
      <w:pPr>
        <w:rPr>
          <w:lang w:val="en-GB" w:eastAsia="en-GB"/>
        </w:rPr>
      </w:pPr>
    </w:p>
    <w:p w14:paraId="280AE4EF" w14:textId="77777777" w:rsidR="003B2B72" w:rsidRDefault="003B2B72" w:rsidP="00184C0C"/>
    <w:p w14:paraId="188E9252" w14:textId="736DC859" w:rsidR="00732973" w:rsidRDefault="00B3116F" w:rsidP="00184C0C">
      <w:r>
        <w:rPr>
          <w:b/>
          <w:bCs/>
        </w:rPr>
        <w:t xml:space="preserve">DETAILED VIEW OF </w:t>
      </w:r>
      <w:r w:rsidR="00AC3134">
        <w:rPr>
          <w:b/>
          <w:bCs/>
        </w:rPr>
        <w:t>THIS SMART SYSTEM</w:t>
      </w:r>
    </w:p>
    <w:p w14:paraId="21598308" w14:textId="77777777" w:rsidR="00732973" w:rsidRDefault="00732973" w:rsidP="00184C0C"/>
    <w:p w14:paraId="038F9027" w14:textId="7C92364D" w:rsidR="00732973" w:rsidRDefault="00B3116F" w:rsidP="00C64944">
      <w:pPr>
        <w:pStyle w:val="ListParagraph"/>
        <w:numPr>
          <w:ilvl w:val="0"/>
          <w:numId w:val="14"/>
        </w:numPr>
      </w:pPr>
      <w:r w:rsidRPr="00C64944">
        <w:rPr>
          <w:b/>
          <w:bCs/>
        </w:rPr>
        <w:t>PERSONALIZED HEALTH ASSESSMENTS</w:t>
      </w:r>
    </w:p>
    <w:p w14:paraId="4C2948D3" w14:textId="77777777" w:rsidR="00C64944" w:rsidRDefault="00C64944" w:rsidP="00732973">
      <w:pPr>
        <w:rPr>
          <w:lang w:val="en-IN"/>
        </w:rPr>
      </w:pPr>
    </w:p>
    <w:p w14:paraId="7EDA0928" w14:textId="09563B30" w:rsidR="00732973" w:rsidRPr="00732973" w:rsidRDefault="00732973" w:rsidP="00732973">
      <w:pPr>
        <w:rPr>
          <w:lang w:val="en-IN"/>
        </w:rPr>
      </w:pPr>
      <w:r w:rsidRPr="00732973">
        <w:rPr>
          <w:lang w:val="en-IN"/>
        </w:rPr>
        <w:t>Personalized health assessments play a crucial role in modern healthcare, offering individuals tailored insights into their health status, risks, and opportunities for improvement. Health guard, as a concept, typically involves a proactive approach to maintaining and enhancing one's health, often through preventive measures and lifestyle modifications. Here's an overview of what personalized health assessments entail, particularly in the context of health guard:</w:t>
      </w:r>
    </w:p>
    <w:p w14:paraId="0D9E4C34" w14:textId="77777777" w:rsidR="00732973" w:rsidRPr="00732973" w:rsidRDefault="00732973" w:rsidP="00732973">
      <w:pPr>
        <w:numPr>
          <w:ilvl w:val="0"/>
          <w:numId w:val="9"/>
        </w:numPr>
        <w:rPr>
          <w:lang w:val="en-IN"/>
        </w:rPr>
      </w:pPr>
      <w:r w:rsidRPr="00732973">
        <w:rPr>
          <w:b/>
          <w:bCs/>
          <w:lang w:val="en-IN"/>
        </w:rPr>
        <w:t>Comprehensive Health Evaluation</w:t>
      </w:r>
      <w:r w:rsidRPr="00732973">
        <w:rPr>
          <w:lang w:val="en-IN"/>
        </w:rPr>
        <w:t>: Personalized health assessments begin with a comprehensive evaluation of an individual's health status. This evaluation may include gathering information about medical history, lifestyle factors, genetic predispositions, and current health metrics such as blood pressure, cholesterol levels, and body composition.</w:t>
      </w:r>
    </w:p>
    <w:p w14:paraId="0CDE265C" w14:textId="77777777" w:rsidR="00732973" w:rsidRPr="00732973" w:rsidRDefault="00732973" w:rsidP="00732973">
      <w:pPr>
        <w:numPr>
          <w:ilvl w:val="0"/>
          <w:numId w:val="9"/>
        </w:numPr>
        <w:rPr>
          <w:lang w:val="en-IN"/>
        </w:rPr>
      </w:pPr>
      <w:r w:rsidRPr="00732973">
        <w:rPr>
          <w:b/>
          <w:bCs/>
          <w:lang w:val="en-IN"/>
        </w:rPr>
        <w:t>Risk Stratification</w:t>
      </w:r>
      <w:r w:rsidRPr="00732973">
        <w:rPr>
          <w:lang w:val="en-IN"/>
        </w:rPr>
        <w:t xml:space="preserve">: Once the initial assessment is complete, healthcare professionals </w:t>
      </w:r>
      <w:proofErr w:type="spellStart"/>
      <w:r w:rsidRPr="00732973">
        <w:rPr>
          <w:lang w:val="en-IN"/>
        </w:rPr>
        <w:t>analyze</w:t>
      </w:r>
      <w:proofErr w:type="spellEnd"/>
      <w:r w:rsidRPr="00732973">
        <w:rPr>
          <w:lang w:val="en-IN"/>
        </w:rPr>
        <w:t xml:space="preserve"> the gathered data to stratify an individual's risk for various health conditions. This risk stratification helps identify areas of concern and guides the development of personalized recommendations for preventive measures and interventions.</w:t>
      </w:r>
    </w:p>
    <w:p w14:paraId="41724521" w14:textId="77777777" w:rsidR="00732973" w:rsidRPr="00732973" w:rsidRDefault="00732973" w:rsidP="00732973">
      <w:pPr>
        <w:numPr>
          <w:ilvl w:val="0"/>
          <w:numId w:val="9"/>
        </w:numPr>
        <w:rPr>
          <w:lang w:val="en-IN"/>
        </w:rPr>
      </w:pPr>
      <w:r w:rsidRPr="00732973">
        <w:rPr>
          <w:b/>
          <w:bCs/>
          <w:lang w:val="en-IN"/>
        </w:rPr>
        <w:t>Genetic Testing</w:t>
      </w:r>
      <w:r w:rsidRPr="00732973">
        <w:rPr>
          <w:lang w:val="en-IN"/>
        </w:rPr>
        <w:t xml:space="preserve">: Genetic testing is increasingly becoming a valuable tool in personalized health assessments. By </w:t>
      </w:r>
      <w:proofErr w:type="spellStart"/>
      <w:r w:rsidRPr="00732973">
        <w:rPr>
          <w:lang w:val="en-IN"/>
        </w:rPr>
        <w:t>analyzing</w:t>
      </w:r>
      <w:proofErr w:type="spellEnd"/>
      <w:r w:rsidRPr="00732973">
        <w:rPr>
          <w:lang w:val="en-IN"/>
        </w:rPr>
        <w:t xml:space="preserve"> an individual's genetic makeup, healthcare providers can identify genetic predispositions to certain diseases or conditions. This information enables targeted interventions and personalized recommendations tailored to an individual's unique genetic profile.</w:t>
      </w:r>
    </w:p>
    <w:p w14:paraId="57D2D52F" w14:textId="77777777" w:rsidR="00732973" w:rsidRPr="00732973" w:rsidRDefault="00732973" w:rsidP="00732973">
      <w:pPr>
        <w:numPr>
          <w:ilvl w:val="0"/>
          <w:numId w:val="9"/>
        </w:numPr>
        <w:rPr>
          <w:lang w:val="en-IN"/>
        </w:rPr>
      </w:pPr>
      <w:r w:rsidRPr="00732973">
        <w:rPr>
          <w:b/>
          <w:bCs/>
          <w:lang w:val="en-IN"/>
        </w:rPr>
        <w:t>Lifestyle Recommendations</w:t>
      </w:r>
      <w:r w:rsidRPr="00732973">
        <w:rPr>
          <w:lang w:val="en-IN"/>
        </w:rPr>
        <w:t xml:space="preserve">: A key aspect of personalized health assessments is providing tailored lifestyle recommendations aimed at promoting optimal health and preventing disease. These recommendations may include dietary modifications, </w:t>
      </w:r>
      <w:r w:rsidRPr="00732973">
        <w:rPr>
          <w:lang w:val="en-IN"/>
        </w:rPr>
        <w:lastRenderedPageBreak/>
        <w:t>exercise routines, stress management techniques, and strategies for improving sleep quality.</w:t>
      </w:r>
    </w:p>
    <w:p w14:paraId="4E494FE1" w14:textId="77777777" w:rsidR="00732973" w:rsidRPr="00732973" w:rsidRDefault="00732973" w:rsidP="00732973">
      <w:pPr>
        <w:numPr>
          <w:ilvl w:val="0"/>
          <w:numId w:val="9"/>
        </w:numPr>
        <w:rPr>
          <w:lang w:val="en-IN"/>
        </w:rPr>
      </w:pPr>
      <w:proofErr w:type="spellStart"/>
      <w:r w:rsidRPr="00732973">
        <w:rPr>
          <w:b/>
          <w:bCs/>
          <w:lang w:val="en-IN"/>
        </w:rPr>
        <w:t>Behavioral</w:t>
      </w:r>
      <w:proofErr w:type="spellEnd"/>
      <w:r w:rsidRPr="00732973">
        <w:rPr>
          <w:b/>
          <w:bCs/>
          <w:lang w:val="en-IN"/>
        </w:rPr>
        <w:t xml:space="preserve"> Coaching</w:t>
      </w:r>
      <w:r w:rsidRPr="00732973">
        <w:rPr>
          <w:lang w:val="en-IN"/>
        </w:rPr>
        <w:t xml:space="preserve">: In addition to providing recommendations, personalized health assessments often involve ongoing support and guidance to help individuals make sustainable lifestyle changes. </w:t>
      </w:r>
      <w:proofErr w:type="spellStart"/>
      <w:r w:rsidRPr="00732973">
        <w:rPr>
          <w:lang w:val="en-IN"/>
        </w:rPr>
        <w:t>Behavioral</w:t>
      </w:r>
      <w:proofErr w:type="spellEnd"/>
      <w:r w:rsidRPr="00732973">
        <w:rPr>
          <w:lang w:val="en-IN"/>
        </w:rPr>
        <w:t xml:space="preserve"> coaching may include setting achievable goals, tracking progress, and addressing barriers to </w:t>
      </w:r>
      <w:proofErr w:type="spellStart"/>
      <w:r w:rsidRPr="00732973">
        <w:rPr>
          <w:lang w:val="en-IN"/>
        </w:rPr>
        <w:t>behavior</w:t>
      </w:r>
      <w:proofErr w:type="spellEnd"/>
      <w:r w:rsidRPr="00732973">
        <w:rPr>
          <w:lang w:val="en-IN"/>
        </w:rPr>
        <w:t xml:space="preserve"> change.</w:t>
      </w:r>
    </w:p>
    <w:p w14:paraId="6D8A427A" w14:textId="77777777" w:rsidR="00732973" w:rsidRPr="00732973" w:rsidRDefault="00732973" w:rsidP="00732973">
      <w:pPr>
        <w:numPr>
          <w:ilvl w:val="0"/>
          <w:numId w:val="9"/>
        </w:numPr>
        <w:rPr>
          <w:lang w:val="en-IN"/>
        </w:rPr>
      </w:pPr>
      <w:r w:rsidRPr="00732973">
        <w:rPr>
          <w:b/>
          <w:bCs/>
          <w:lang w:val="en-IN"/>
        </w:rPr>
        <w:t>Monitoring and Follow-Up</w:t>
      </w:r>
      <w:r w:rsidRPr="00732973">
        <w:rPr>
          <w:lang w:val="en-IN"/>
        </w:rPr>
        <w:t>: Personalized health assessments are not a one-time event but rather an ongoing process. Regular monitoring of health metrics and follow-up assessments allow healthcare providers to track progress, adjust interventions as needed, and ensure that individuals stay on track with their health goals.</w:t>
      </w:r>
    </w:p>
    <w:p w14:paraId="6C25370E" w14:textId="77777777" w:rsidR="00732973" w:rsidRPr="00732973" w:rsidRDefault="00732973" w:rsidP="00732973">
      <w:pPr>
        <w:numPr>
          <w:ilvl w:val="0"/>
          <w:numId w:val="9"/>
        </w:numPr>
        <w:rPr>
          <w:lang w:val="en-IN"/>
        </w:rPr>
      </w:pPr>
      <w:r w:rsidRPr="00732973">
        <w:rPr>
          <w:b/>
          <w:bCs/>
          <w:lang w:val="en-IN"/>
        </w:rPr>
        <w:t>Integration of Technology</w:t>
      </w:r>
      <w:r w:rsidRPr="00732973">
        <w:rPr>
          <w:lang w:val="en-IN"/>
        </w:rPr>
        <w:t>: Technology plays a significant role in personalized health assessments, facilitating remote monitoring, data tracking, and communication between individuals and healthcare providers. Wearable devices, mobile apps, and online platforms can help individuals stay engaged in their health journey and provide valuable insights into their progress.</w:t>
      </w:r>
    </w:p>
    <w:p w14:paraId="6ABE1449" w14:textId="77777777" w:rsidR="00732973" w:rsidRPr="00732973" w:rsidRDefault="00732973" w:rsidP="00732973">
      <w:pPr>
        <w:numPr>
          <w:ilvl w:val="0"/>
          <w:numId w:val="9"/>
        </w:numPr>
        <w:rPr>
          <w:lang w:val="en-IN"/>
        </w:rPr>
      </w:pPr>
      <w:r w:rsidRPr="00732973">
        <w:rPr>
          <w:b/>
          <w:bCs/>
          <w:lang w:val="en-IN"/>
        </w:rPr>
        <w:t>Empowerment and Education</w:t>
      </w:r>
      <w:r w:rsidRPr="00732973">
        <w:rPr>
          <w:lang w:val="en-IN"/>
        </w:rPr>
        <w:t>: Finally, personalized health assessments aim to empower individuals to take an active role in their health and well-being. Through education and support, individuals gain a better understanding of their health risks and the steps they can take to mitigate them, ultimately leading to improved health outcomes.</w:t>
      </w:r>
    </w:p>
    <w:p w14:paraId="6519B1B5" w14:textId="77777777" w:rsidR="00732973" w:rsidRDefault="00732973" w:rsidP="00184C0C"/>
    <w:p w14:paraId="5218A8A1" w14:textId="77777777" w:rsidR="00732973" w:rsidRDefault="00732973" w:rsidP="00184C0C"/>
    <w:p w14:paraId="752DAC03" w14:textId="775258D9" w:rsidR="00732973" w:rsidRDefault="00B3116F" w:rsidP="00C64944">
      <w:pPr>
        <w:pStyle w:val="ListParagraph"/>
        <w:numPr>
          <w:ilvl w:val="0"/>
          <w:numId w:val="15"/>
        </w:numPr>
      </w:pPr>
      <w:r w:rsidRPr="00C64944">
        <w:rPr>
          <w:b/>
          <w:bCs/>
        </w:rPr>
        <w:t>PREDICTIVE ANALYTICS</w:t>
      </w:r>
    </w:p>
    <w:p w14:paraId="07C3A675" w14:textId="77777777" w:rsidR="00C64944" w:rsidRDefault="00C64944" w:rsidP="00732973">
      <w:pPr>
        <w:rPr>
          <w:lang w:val="en-IN"/>
        </w:rPr>
      </w:pPr>
    </w:p>
    <w:p w14:paraId="2A27BA76" w14:textId="2A2FD323" w:rsidR="00732973" w:rsidRPr="00732973" w:rsidRDefault="00732973" w:rsidP="00732973">
      <w:pPr>
        <w:rPr>
          <w:lang w:val="en-IN"/>
        </w:rPr>
      </w:pPr>
      <w:r w:rsidRPr="00732973">
        <w:rPr>
          <w:lang w:val="en-IN"/>
        </w:rPr>
        <w:t xml:space="preserve">Predictive analysis in healthcare, often referred to as health guard, is a field that utilizes data, statistical algorithms, and machine learning techniques to </w:t>
      </w:r>
      <w:proofErr w:type="spellStart"/>
      <w:r w:rsidRPr="00732973">
        <w:rPr>
          <w:lang w:val="en-IN"/>
        </w:rPr>
        <w:t>analyze</w:t>
      </w:r>
      <w:proofErr w:type="spellEnd"/>
      <w:r w:rsidRPr="00732973">
        <w:rPr>
          <w:lang w:val="en-IN"/>
        </w:rPr>
        <w:t xml:space="preserve"> current and historical healthcare data in order to make predictions about future events or trends. These predictions can range from individual patient outcomes to broader population health trends. Here's a breakdown of the key components and applications of predictive analysis in health guard:</w:t>
      </w:r>
    </w:p>
    <w:p w14:paraId="5128FFA8" w14:textId="77777777" w:rsidR="00732973" w:rsidRPr="00732973" w:rsidRDefault="00732973" w:rsidP="00732973">
      <w:pPr>
        <w:numPr>
          <w:ilvl w:val="0"/>
          <w:numId w:val="10"/>
        </w:numPr>
        <w:rPr>
          <w:lang w:val="en-IN"/>
        </w:rPr>
      </w:pPr>
      <w:r w:rsidRPr="00732973">
        <w:rPr>
          <w:b/>
          <w:bCs/>
          <w:lang w:val="en-IN"/>
        </w:rPr>
        <w:t>Data Collection and Integration</w:t>
      </w:r>
      <w:r w:rsidRPr="00732973">
        <w:rPr>
          <w:lang w:val="en-IN"/>
        </w:rPr>
        <w:t>: Predictive analysis in healthcare relies on the collection and integration of diverse data sources including electronic health records (EHRs), medical imaging data, genetic information, wearable device data, socio-economic data, and environmental factors. Integrating these data sets provides a comprehensive view of patient health and the factors influencing it.</w:t>
      </w:r>
    </w:p>
    <w:p w14:paraId="2CE4B21D" w14:textId="77777777" w:rsidR="00732973" w:rsidRPr="00732973" w:rsidRDefault="00732973" w:rsidP="00732973">
      <w:pPr>
        <w:numPr>
          <w:ilvl w:val="0"/>
          <w:numId w:val="10"/>
        </w:numPr>
        <w:rPr>
          <w:lang w:val="en-IN"/>
        </w:rPr>
      </w:pPr>
      <w:r w:rsidRPr="00732973">
        <w:rPr>
          <w:b/>
          <w:bCs/>
          <w:lang w:val="en-IN"/>
        </w:rPr>
        <w:t>Feature Selection and Engineering</w:t>
      </w:r>
      <w:r w:rsidRPr="00732973">
        <w:rPr>
          <w:lang w:val="en-IN"/>
        </w:rPr>
        <w:t>: Once the data is collected, relevant features or variables need to be selected and engineered for analysis. This process involves identifying which data points are most predictive of the outcomes of interest. For example, in predicting the likelihood of a patient developing a certain disease, relevant features might include demographic information, medical history, lifestyle factors, and biomarker levels.</w:t>
      </w:r>
    </w:p>
    <w:p w14:paraId="5C91D375" w14:textId="77777777" w:rsidR="00732973" w:rsidRPr="00732973" w:rsidRDefault="00732973" w:rsidP="00732973">
      <w:pPr>
        <w:numPr>
          <w:ilvl w:val="0"/>
          <w:numId w:val="10"/>
        </w:numPr>
        <w:rPr>
          <w:lang w:val="en-IN"/>
        </w:rPr>
      </w:pPr>
      <w:r w:rsidRPr="00732973">
        <w:rPr>
          <w:b/>
          <w:bCs/>
          <w:lang w:val="en-IN"/>
        </w:rPr>
        <w:t>Model Development</w:t>
      </w:r>
      <w:r w:rsidRPr="00732973">
        <w:rPr>
          <w:lang w:val="en-IN"/>
        </w:rPr>
        <w:t>: Predictive models are then developed using machine learning algorithms such as logistic regression, decision trees, random forests, support vector machines, or neural networks. These models are trained on historical data with known outcomes to learn patterns and relationships between input variables and the target outcome.</w:t>
      </w:r>
    </w:p>
    <w:p w14:paraId="616A0FEF" w14:textId="77777777" w:rsidR="00732973" w:rsidRPr="00732973" w:rsidRDefault="00732973" w:rsidP="00732973">
      <w:pPr>
        <w:numPr>
          <w:ilvl w:val="0"/>
          <w:numId w:val="10"/>
        </w:numPr>
        <w:rPr>
          <w:lang w:val="en-IN"/>
        </w:rPr>
      </w:pPr>
      <w:r w:rsidRPr="00732973">
        <w:rPr>
          <w:b/>
          <w:bCs/>
          <w:lang w:val="en-IN"/>
        </w:rPr>
        <w:lastRenderedPageBreak/>
        <w:t>Validation and Evaluation</w:t>
      </w:r>
      <w:r w:rsidRPr="00732973">
        <w:rPr>
          <w:lang w:val="en-IN"/>
        </w:rPr>
        <w:t>: After developing the predictive model, it's essential to validate its performance on new, unseen data to ensure its generalizability. This involves splitting the data into training and testing sets or using cross-validation techniques. Evaluation metrics such as accuracy, precision, recall, and area under the receiver operating characteristic curve (AUC-ROC) are used to assess the model's performance.</w:t>
      </w:r>
    </w:p>
    <w:p w14:paraId="3CF23B43" w14:textId="77777777" w:rsidR="00732973" w:rsidRPr="00732973" w:rsidRDefault="00732973" w:rsidP="00732973">
      <w:pPr>
        <w:numPr>
          <w:ilvl w:val="0"/>
          <w:numId w:val="10"/>
        </w:numPr>
        <w:rPr>
          <w:lang w:val="en-IN"/>
        </w:rPr>
      </w:pPr>
      <w:r w:rsidRPr="00732973">
        <w:rPr>
          <w:b/>
          <w:bCs/>
          <w:lang w:val="en-IN"/>
        </w:rPr>
        <w:t>Deployment and Integration into Clinical Workflow</w:t>
      </w:r>
      <w:r w:rsidRPr="00732973">
        <w:rPr>
          <w:lang w:val="en-IN"/>
        </w:rPr>
        <w:t>: Once validated, predictive models can be deployed into clinical workflows to assist healthcare providers in making more informed decisions. This might involve integrating the predictive model into EHR systems or developing standalone decision support tools. For example, a predictive model for hospital readmissions could alert healthcare providers to patients at high risk of readmission so that appropriate interventions can be implemented.</w:t>
      </w:r>
    </w:p>
    <w:p w14:paraId="33D84159" w14:textId="77777777" w:rsidR="00732973" w:rsidRPr="00732973" w:rsidRDefault="00732973" w:rsidP="00732973">
      <w:pPr>
        <w:numPr>
          <w:ilvl w:val="0"/>
          <w:numId w:val="10"/>
        </w:numPr>
        <w:rPr>
          <w:lang w:val="en-IN"/>
        </w:rPr>
      </w:pPr>
      <w:r w:rsidRPr="00732973">
        <w:rPr>
          <w:b/>
          <w:bCs/>
          <w:lang w:val="en-IN"/>
        </w:rPr>
        <w:t>Continuous Improvement and Monitoring</w:t>
      </w:r>
      <w:r w:rsidRPr="00732973">
        <w:rPr>
          <w:lang w:val="en-IN"/>
        </w:rPr>
        <w:t>: Predictive models should be continuously monitored and updated to ensure their performance remains optimal over time. This may involve retraining the model with new data as it becomes available and refining the model's algorithms to improve accuracy and reliability.</w:t>
      </w:r>
    </w:p>
    <w:p w14:paraId="0A4FBC2A" w14:textId="77777777" w:rsidR="00732973" w:rsidRPr="00732973" w:rsidRDefault="00732973" w:rsidP="00732973">
      <w:pPr>
        <w:rPr>
          <w:lang w:val="en-IN"/>
        </w:rPr>
      </w:pPr>
      <w:r w:rsidRPr="00732973">
        <w:rPr>
          <w:lang w:val="en-IN"/>
        </w:rPr>
        <w:t>Applications of predictive analysis in health guard include:</w:t>
      </w:r>
    </w:p>
    <w:p w14:paraId="2FF26004" w14:textId="77777777" w:rsidR="00732973" w:rsidRPr="00732973" w:rsidRDefault="00732973" w:rsidP="00732973">
      <w:pPr>
        <w:numPr>
          <w:ilvl w:val="0"/>
          <w:numId w:val="11"/>
        </w:numPr>
        <w:rPr>
          <w:lang w:val="en-IN"/>
        </w:rPr>
      </w:pPr>
      <w:r w:rsidRPr="00732973">
        <w:rPr>
          <w:b/>
          <w:bCs/>
          <w:lang w:val="en-IN"/>
        </w:rPr>
        <w:t>Disease Risk Prediction</w:t>
      </w:r>
      <w:r w:rsidRPr="00732973">
        <w:rPr>
          <w:lang w:val="en-IN"/>
        </w:rPr>
        <w:t>: Predicting the risk of developing specific diseases based on individual patient characteristics and risk factors.</w:t>
      </w:r>
    </w:p>
    <w:p w14:paraId="005A3B3F" w14:textId="77777777" w:rsidR="00732973" w:rsidRPr="00732973" w:rsidRDefault="00732973" w:rsidP="00732973">
      <w:pPr>
        <w:numPr>
          <w:ilvl w:val="0"/>
          <w:numId w:val="11"/>
        </w:numPr>
        <w:rPr>
          <w:lang w:val="en-IN"/>
        </w:rPr>
      </w:pPr>
      <w:r w:rsidRPr="00732973">
        <w:rPr>
          <w:b/>
          <w:bCs/>
          <w:lang w:val="en-IN"/>
        </w:rPr>
        <w:t>Early Disease Detection</w:t>
      </w:r>
      <w:r w:rsidRPr="00732973">
        <w:rPr>
          <w:lang w:val="en-IN"/>
        </w:rPr>
        <w:t>: Identifying diseases at an early stage when treatment is most effective, such as cancer screening or predicting the onset of chronic conditions like diabetes.</w:t>
      </w:r>
    </w:p>
    <w:p w14:paraId="209F7F6F" w14:textId="77777777" w:rsidR="00732973" w:rsidRPr="00732973" w:rsidRDefault="00732973" w:rsidP="00732973">
      <w:pPr>
        <w:numPr>
          <w:ilvl w:val="0"/>
          <w:numId w:val="11"/>
        </w:numPr>
        <w:rPr>
          <w:lang w:val="en-IN"/>
        </w:rPr>
      </w:pPr>
      <w:r w:rsidRPr="00732973">
        <w:rPr>
          <w:b/>
          <w:bCs/>
          <w:lang w:val="en-IN"/>
        </w:rPr>
        <w:t>Hospital Readmission Prediction</w:t>
      </w:r>
      <w:r w:rsidRPr="00732973">
        <w:rPr>
          <w:lang w:val="en-IN"/>
        </w:rPr>
        <w:t>: Predicting the likelihood of patients being readmitted to the hospital following discharge, allowing for targeted interventions to reduce readmission rates.</w:t>
      </w:r>
    </w:p>
    <w:p w14:paraId="21E88ADC" w14:textId="77777777" w:rsidR="00732973" w:rsidRPr="00732973" w:rsidRDefault="00732973" w:rsidP="00732973">
      <w:pPr>
        <w:numPr>
          <w:ilvl w:val="0"/>
          <w:numId w:val="11"/>
        </w:numPr>
        <w:rPr>
          <w:lang w:val="en-IN"/>
        </w:rPr>
      </w:pPr>
      <w:r w:rsidRPr="00732973">
        <w:rPr>
          <w:b/>
          <w:bCs/>
          <w:lang w:val="en-IN"/>
        </w:rPr>
        <w:t>Optimizing Treatment Plans</w:t>
      </w:r>
      <w:r w:rsidRPr="00732973">
        <w:rPr>
          <w:lang w:val="en-IN"/>
        </w:rPr>
        <w:t>: Personalizing treatment plans based on predicted outcomes and likelihood of response to different interventions.</w:t>
      </w:r>
    </w:p>
    <w:p w14:paraId="7123F15C" w14:textId="77777777" w:rsidR="00732973" w:rsidRPr="00732973" w:rsidRDefault="00732973" w:rsidP="00732973">
      <w:pPr>
        <w:numPr>
          <w:ilvl w:val="0"/>
          <w:numId w:val="11"/>
        </w:numPr>
        <w:rPr>
          <w:lang w:val="en-IN"/>
        </w:rPr>
      </w:pPr>
      <w:r w:rsidRPr="00732973">
        <w:rPr>
          <w:b/>
          <w:bCs/>
          <w:lang w:val="en-IN"/>
        </w:rPr>
        <w:t>Resource Allocation</w:t>
      </w:r>
      <w:r w:rsidRPr="00732973">
        <w:rPr>
          <w:lang w:val="en-IN"/>
        </w:rPr>
        <w:t>: Predicting patient volume and healthcare resource utilization to optimize resource allocation and staffing levels.</w:t>
      </w:r>
    </w:p>
    <w:p w14:paraId="0AEF55A7" w14:textId="77777777" w:rsidR="00732973" w:rsidRPr="00732973" w:rsidRDefault="00732973" w:rsidP="00732973">
      <w:pPr>
        <w:numPr>
          <w:ilvl w:val="0"/>
          <w:numId w:val="11"/>
        </w:numPr>
        <w:rPr>
          <w:lang w:val="en-IN"/>
        </w:rPr>
      </w:pPr>
      <w:r w:rsidRPr="00732973">
        <w:rPr>
          <w:b/>
          <w:bCs/>
          <w:lang w:val="en-IN"/>
        </w:rPr>
        <w:t>Population Health Management</w:t>
      </w:r>
      <w:r w:rsidRPr="00732973">
        <w:rPr>
          <w:lang w:val="en-IN"/>
        </w:rPr>
        <w:t>: Identifying at-risk populations and implementing preventive interventions to improve overall population health outcomes.</w:t>
      </w:r>
    </w:p>
    <w:p w14:paraId="7BC517E7" w14:textId="77777777" w:rsidR="00732973" w:rsidRDefault="00732973" w:rsidP="00184C0C"/>
    <w:p w14:paraId="134D9B28" w14:textId="77777777" w:rsidR="00732973" w:rsidRDefault="00732973" w:rsidP="00184C0C"/>
    <w:p w14:paraId="4F1A617A" w14:textId="77777777" w:rsidR="00732973" w:rsidRDefault="00732973" w:rsidP="00184C0C"/>
    <w:p w14:paraId="08F8171D" w14:textId="7075120A" w:rsidR="00732973" w:rsidRDefault="00B3116F" w:rsidP="00674DAD">
      <w:pPr>
        <w:pStyle w:val="ListParagraph"/>
        <w:numPr>
          <w:ilvl w:val="0"/>
          <w:numId w:val="16"/>
        </w:numPr>
      </w:pPr>
      <w:r w:rsidRPr="00674DAD">
        <w:rPr>
          <w:b/>
          <w:bCs/>
        </w:rPr>
        <w:t>EARLY WARNING SYSTEM</w:t>
      </w:r>
    </w:p>
    <w:p w14:paraId="547E1341" w14:textId="77777777" w:rsidR="00732973" w:rsidRDefault="00732973" w:rsidP="00184C0C"/>
    <w:p w14:paraId="152295B6" w14:textId="77777777" w:rsidR="00732973" w:rsidRPr="00732973" w:rsidRDefault="00732973" w:rsidP="00732973">
      <w:pPr>
        <w:rPr>
          <w:lang w:val="en-IN"/>
        </w:rPr>
      </w:pPr>
      <w:r w:rsidRPr="00732973">
        <w:rPr>
          <w:lang w:val="en-IN"/>
        </w:rPr>
        <w:t>An early warning system (EWS) in the context of health guard refers to a proactive approach to healthcare management that utilizes data analytics, artificial intelligence, and machine learning algorithms to identify and predict potential health issues or adverse events before they occur. The goal of an early warning system is to facilitate timely interventions, thereby preventing or minimizing the impact of health-related problems. Here's an overview of the key components and applications of early warning systems in health guard:</w:t>
      </w:r>
    </w:p>
    <w:p w14:paraId="6AD6351E" w14:textId="77777777" w:rsidR="00732973" w:rsidRPr="00732973" w:rsidRDefault="00732973" w:rsidP="00732973">
      <w:pPr>
        <w:numPr>
          <w:ilvl w:val="0"/>
          <w:numId w:val="12"/>
        </w:numPr>
        <w:rPr>
          <w:lang w:val="en-IN"/>
        </w:rPr>
      </w:pPr>
      <w:r w:rsidRPr="00732973">
        <w:rPr>
          <w:b/>
          <w:bCs/>
          <w:lang w:val="en-IN"/>
        </w:rPr>
        <w:t>Data Collection and Integration</w:t>
      </w:r>
      <w:r w:rsidRPr="00732973">
        <w:rPr>
          <w:lang w:val="en-IN"/>
        </w:rPr>
        <w:t xml:space="preserve">: Similar to predictive analysis, early warning systems rely on the collection and integration of diverse data sources including electronic health records (EHRs), vital signs monitoring data, medical imaging data, </w:t>
      </w:r>
      <w:r w:rsidRPr="00732973">
        <w:rPr>
          <w:lang w:val="en-IN"/>
        </w:rPr>
        <w:lastRenderedPageBreak/>
        <w:t>laboratory test results, wearable device data, and patient-reported outcomes. Integrating these data sets provides a comprehensive view of patient health status and risk factors.</w:t>
      </w:r>
    </w:p>
    <w:p w14:paraId="36C09D1C" w14:textId="77777777" w:rsidR="00732973" w:rsidRPr="00732973" w:rsidRDefault="00732973" w:rsidP="00732973">
      <w:pPr>
        <w:numPr>
          <w:ilvl w:val="0"/>
          <w:numId w:val="12"/>
        </w:numPr>
        <w:rPr>
          <w:lang w:val="en-IN"/>
        </w:rPr>
      </w:pPr>
      <w:r w:rsidRPr="00732973">
        <w:rPr>
          <w:b/>
          <w:bCs/>
          <w:lang w:val="en-IN"/>
        </w:rPr>
        <w:t>Real-time Monitoring</w:t>
      </w:r>
      <w:r w:rsidRPr="00732973">
        <w:rPr>
          <w:lang w:val="en-IN"/>
        </w:rPr>
        <w:t xml:space="preserve">: Early warning systems continuously monitor and </w:t>
      </w:r>
      <w:proofErr w:type="spellStart"/>
      <w:r w:rsidRPr="00732973">
        <w:rPr>
          <w:lang w:val="en-IN"/>
        </w:rPr>
        <w:t>analyze</w:t>
      </w:r>
      <w:proofErr w:type="spellEnd"/>
      <w:r w:rsidRPr="00732973">
        <w:rPr>
          <w:lang w:val="en-IN"/>
        </w:rPr>
        <w:t xml:space="preserve"> incoming data in real-time to detect any deviations from normal patterns or thresholds. For example, changes in vital signs, medication adherence, or activity levels may serve as indicators of deteriorating health or increased risk of adverse events.</w:t>
      </w:r>
    </w:p>
    <w:p w14:paraId="16581384" w14:textId="77777777" w:rsidR="00732973" w:rsidRPr="00732973" w:rsidRDefault="00732973" w:rsidP="00732973">
      <w:pPr>
        <w:numPr>
          <w:ilvl w:val="0"/>
          <w:numId w:val="12"/>
        </w:numPr>
        <w:rPr>
          <w:lang w:val="en-IN"/>
        </w:rPr>
      </w:pPr>
      <w:r w:rsidRPr="00732973">
        <w:rPr>
          <w:b/>
          <w:bCs/>
          <w:lang w:val="en-IN"/>
        </w:rPr>
        <w:t>Risk Stratification and Alert Generation</w:t>
      </w:r>
      <w:r w:rsidRPr="00732973">
        <w:rPr>
          <w:lang w:val="en-IN"/>
        </w:rPr>
        <w:t>: Based on the analysis of incoming data, early warning systems stratify patients into different risk categories and generate alerts or notifications for healthcare providers when predefined risk thresholds are exceeded. These alerts can be customized based on the specific needs of individual patients and healthcare settings.</w:t>
      </w:r>
    </w:p>
    <w:p w14:paraId="4BF16859" w14:textId="77777777" w:rsidR="00732973" w:rsidRPr="00732973" w:rsidRDefault="00732973" w:rsidP="00732973">
      <w:pPr>
        <w:numPr>
          <w:ilvl w:val="0"/>
          <w:numId w:val="12"/>
        </w:numPr>
        <w:rPr>
          <w:lang w:val="en-IN"/>
        </w:rPr>
      </w:pPr>
      <w:r w:rsidRPr="00732973">
        <w:rPr>
          <w:b/>
          <w:bCs/>
          <w:lang w:val="en-IN"/>
        </w:rPr>
        <w:t>Clinical Decision Support</w:t>
      </w:r>
      <w:r w:rsidRPr="00732973">
        <w:rPr>
          <w:lang w:val="en-IN"/>
        </w:rPr>
        <w:t>: Early warning systems provide clinical decision support by presenting relevant patient data, risk scores, and recommended actions to healthcare providers in a timely manner. This empowers providers to intervene proactively and implement appropriate interventions to prevent adverse outcomes.</w:t>
      </w:r>
    </w:p>
    <w:p w14:paraId="073CFD6B" w14:textId="77777777" w:rsidR="00732973" w:rsidRPr="00732973" w:rsidRDefault="00732973" w:rsidP="00732973">
      <w:pPr>
        <w:numPr>
          <w:ilvl w:val="0"/>
          <w:numId w:val="12"/>
        </w:numPr>
        <w:rPr>
          <w:lang w:val="en-IN"/>
        </w:rPr>
      </w:pPr>
      <w:r w:rsidRPr="00732973">
        <w:rPr>
          <w:b/>
          <w:bCs/>
          <w:lang w:val="en-IN"/>
        </w:rPr>
        <w:t>Patient Engagement and Self-management</w:t>
      </w:r>
      <w:r w:rsidRPr="00732973">
        <w:rPr>
          <w:lang w:val="en-IN"/>
        </w:rPr>
        <w:t>: In addition to providing alerts to healthcare providers, early warning systems may also engage patients directly through personalized feedback, educational materials, and self-management tools. This encourages patients to take an active role in monitoring their health and adhering to recommended treatment plans.</w:t>
      </w:r>
    </w:p>
    <w:p w14:paraId="49D2B89A" w14:textId="77777777" w:rsidR="00732973" w:rsidRPr="00732973" w:rsidRDefault="00732973" w:rsidP="00732973">
      <w:pPr>
        <w:numPr>
          <w:ilvl w:val="0"/>
          <w:numId w:val="12"/>
        </w:numPr>
        <w:rPr>
          <w:lang w:val="en-IN"/>
        </w:rPr>
      </w:pPr>
      <w:r w:rsidRPr="00732973">
        <w:rPr>
          <w:b/>
          <w:bCs/>
          <w:lang w:val="en-IN"/>
        </w:rPr>
        <w:t>Integration into Care Coordination</w:t>
      </w:r>
      <w:r w:rsidRPr="00732973">
        <w:rPr>
          <w:lang w:val="en-IN"/>
        </w:rPr>
        <w:t>: Early warning systems facilitate seamless communication and collaboration among members of the healthcare team, including physicians, nurses, pharmacists, and care coordinators. This ensures timely coordination of care and follow-up interventions, especially for patients with complex health needs or chronic conditions.</w:t>
      </w:r>
    </w:p>
    <w:p w14:paraId="3400D7C5" w14:textId="77777777" w:rsidR="00732973" w:rsidRPr="00732973" w:rsidRDefault="00732973" w:rsidP="00732973">
      <w:pPr>
        <w:numPr>
          <w:ilvl w:val="0"/>
          <w:numId w:val="12"/>
        </w:numPr>
        <w:rPr>
          <w:lang w:val="en-IN"/>
        </w:rPr>
      </w:pPr>
      <w:r w:rsidRPr="00732973">
        <w:rPr>
          <w:b/>
          <w:bCs/>
          <w:lang w:val="en-IN"/>
        </w:rPr>
        <w:t>Performance Monitoring and Quality Improvement</w:t>
      </w:r>
      <w:r w:rsidRPr="00732973">
        <w:rPr>
          <w:lang w:val="en-IN"/>
        </w:rPr>
        <w:t>: Continuous evaluation of the performance and effectiveness of the early warning system is essential for quality improvement. This involves monitoring key performance indicators such as response time to alerts, adherence to recommended interventions, and patient outcomes.</w:t>
      </w:r>
    </w:p>
    <w:p w14:paraId="1F6262A8" w14:textId="77777777" w:rsidR="00732973" w:rsidRPr="00732973" w:rsidRDefault="00732973" w:rsidP="00732973">
      <w:pPr>
        <w:rPr>
          <w:lang w:val="en-IN"/>
        </w:rPr>
      </w:pPr>
      <w:r w:rsidRPr="00732973">
        <w:rPr>
          <w:lang w:val="en-IN"/>
        </w:rPr>
        <w:t>Applications of early warning systems in health guard include:</w:t>
      </w:r>
    </w:p>
    <w:p w14:paraId="1C6F8274" w14:textId="77777777" w:rsidR="00732973" w:rsidRPr="00732973" w:rsidRDefault="00732973" w:rsidP="00732973">
      <w:pPr>
        <w:numPr>
          <w:ilvl w:val="0"/>
          <w:numId w:val="13"/>
        </w:numPr>
        <w:rPr>
          <w:lang w:val="en-IN"/>
        </w:rPr>
      </w:pPr>
      <w:r w:rsidRPr="00732973">
        <w:rPr>
          <w:b/>
          <w:bCs/>
          <w:lang w:val="en-IN"/>
        </w:rPr>
        <w:t>Sepsis Detection and Management</w:t>
      </w:r>
      <w:r w:rsidRPr="00732973">
        <w:rPr>
          <w:lang w:val="en-IN"/>
        </w:rPr>
        <w:t>: Early detection of sepsis, a life-threatening condition, through the analysis of vital signs, laboratory results, and clinical data, allowing for prompt initiation of appropriate treatment.</w:t>
      </w:r>
    </w:p>
    <w:p w14:paraId="7CEC5130" w14:textId="77777777" w:rsidR="00732973" w:rsidRPr="00732973" w:rsidRDefault="00732973" w:rsidP="00732973">
      <w:pPr>
        <w:numPr>
          <w:ilvl w:val="0"/>
          <w:numId w:val="13"/>
        </w:numPr>
        <w:rPr>
          <w:lang w:val="en-IN"/>
        </w:rPr>
      </w:pPr>
      <w:r w:rsidRPr="00732973">
        <w:rPr>
          <w:b/>
          <w:bCs/>
          <w:lang w:val="en-IN"/>
        </w:rPr>
        <w:t>Fall Risk Assessment</w:t>
      </w:r>
      <w:r w:rsidRPr="00732973">
        <w:rPr>
          <w:lang w:val="en-IN"/>
        </w:rPr>
        <w:t>: Identifying patients at risk of falls based on factors such as gait instability, medication use, and previous fall history, and implementing preventive measures to reduce the risk of falls and fall-related injuries.</w:t>
      </w:r>
    </w:p>
    <w:p w14:paraId="10F38F5C" w14:textId="77777777" w:rsidR="00732973" w:rsidRPr="00732973" w:rsidRDefault="00732973" w:rsidP="00732973">
      <w:pPr>
        <w:numPr>
          <w:ilvl w:val="0"/>
          <w:numId w:val="13"/>
        </w:numPr>
        <w:rPr>
          <w:lang w:val="en-IN"/>
        </w:rPr>
      </w:pPr>
      <w:r w:rsidRPr="00732973">
        <w:rPr>
          <w:b/>
          <w:bCs/>
          <w:lang w:val="en-IN"/>
        </w:rPr>
        <w:t>Medication Adherence Monitoring</w:t>
      </w:r>
      <w:r w:rsidRPr="00732973">
        <w:rPr>
          <w:lang w:val="en-IN"/>
        </w:rPr>
        <w:t>: Monitoring medication adherence patterns and providing interventions to improve adherence rates, thereby reducing the risk of medication-related complications and hospitalizations.</w:t>
      </w:r>
    </w:p>
    <w:p w14:paraId="6ACF65B5" w14:textId="77777777" w:rsidR="00732973" w:rsidRPr="00732973" w:rsidRDefault="00732973" w:rsidP="00732973">
      <w:pPr>
        <w:numPr>
          <w:ilvl w:val="0"/>
          <w:numId w:val="13"/>
        </w:numPr>
        <w:rPr>
          <w:lang w:val="en-IN"/>
        </w:rPr>
      </w:pPr>
      <w:r w:rsidRPr="00732973">
        <w:rPr>
          <w:b/>
          <w:bCs/>
          <w:lang w:val="en-IN"/>
        </w:rPr>
        <w:t>Chronic Disease Management</w:t>
      </w:r>
      <w:r w:rsidRPr="00732973">
        <w:rPr>
          <w:lang w:val="en-IN"/>
        </w:rPr>
        <w:t>: Supporting the management of chronic diseases such as diabetes, heart failure, and chronic obstructive pulmonary disease (COPD) by monitoring disease progression, identifying exacerbations, and optimizing treatment plans.</w:t>
      </w:r>
    </w:p>
    <w:p w14:paraId="641D212F" w14:textId="317DADD1" w:rsidR="00732973" w:rsidRDefault="00732973" w:rsidP="00732973">
      <w:pPr>
        <w:rPr>
          <w:lang w:val="en-IN"/>
        </w:rPr>
      </w:pPr>
      <w:r w:rsidRPr="00732973">
        <w:rPr>
          <w:b/>
          <w:bCs/>
          <w:lang w:val="en-IN"/>
        </w:rPr>
        <w:lastRenderedPageBreak/>
        <w:t>Maternal and Neonatal Health Monitoring</w:t>
      </w:r>
      <w:r w:rsidRPr="00732973">
        <w:rPr>
          <w:lang w:val="en-IN"/>
        </w:rPr>
        <w:t>: Early detection of complications during pregnancy and childbirth, as well as monitoring the health status of newborns, to prevent maternal and neonatal morbidity and mortality.</w:t>
      </w:r>
    </w:p>
    <w:p w14:paraId="51D05AD1" w14:textId="77777777" w:rsidR="00732973" w:rsidRDefault="00732973" w:rsidP="00732973">
      <w:pPr>
        <w:rPr>
          <w:lang w:val="en-IN"/>
        </w:rPr>
      </w:pPr>
    </w:p>
    <w:p w14:paraId="3D94FA65" w14:textId="77777777" w:rsidR="00732973" w:rsidRDefault="00732973" w:rsidP="00732973">
      <w:pPr>
        <w:rPr>
          <w:lang w:val="en-IN"/>
        </w:rPr>
      </w:pPr>
    </w:p>
    <w:p w14:paraId="74E56F9D" w14:textId="77777777" w:rsidR="00732973" w:rsidRDefault="00732973" w:rsidP="00732973">
      <w:pPr>
        <w:rPr>
          <w:lang w:val="en-IN"/>
        </w:rPr>
      </w:pPr>
    </w:p>
    <w:p w14:paraId="233DFDC0" w14:textId="330085B0" w:rsidR="00732973" w:rsidRDefault="00B3116F" w:rsidP="00B3116F">
      <w:pPr>
        <w:pStyle w:val="ListParagraph"/>
        <w:numPr>
          <w:ilvl w:val="0"/>
          <w:numId w:val="17"/>
        </w:numPr>
      </w:pPr>
      <w:r w:rsidRPr="00B3116F">
        <w:rPr>
          <w:b/>
          <w:bCs/>
        </w:rPr>
        <w:t>BEHAVIORAL MODIFICATION PROGRAMS</w:t>
      </w:r>
      <w:r>
        <w:t xml:space="preserve"> </w:t>
      </w:r>
    </w:p>
    <w:p w14:paraId="120DF43E" w14:textId="77777777" w:rsidR="00B3116F" w:rsidRDefault="00B3116F" w:rsidP="00732973"/>
    <w:p w14:paraId="1C3C672C" w14:textId="36CDD916" w:rsidR="00732973" w:rsidRDefault="00732973" w:rsidP="00732973">
      <w:r>
        <w:t xml:space="preserve">The integration of a </w:t>
      </w:r>
      <w:proofErr w:type="spellStart"/>
      <w:r>
        <w:t>behavioral</w:t>
      </w:r>
      <w:proofErr w:type="spellEnd"/>
      <w:r>
        <w:t xml:space="preserve"> modification program within a health guard app is paramount for fostering sustainable lifestyle changes and enhancing overall well-being. These programs utilize principles from </w:t>
      </w:r>
      <w:proofErr w:type="spellStart"/>
      <w:r>
        <w:t>behavioral</w:t>
      </w:r>
      <w:proofErr w:type="spellEnd"/>
      <w:r>
        <w:t xml:space="preserve"> psychology to encourage users to adopt healthier habits and sustain them over time.</w:t>
      </w:r>
    </w:p>
    <w:p w14:paraId="544ED435" w14:textId="77777777" w:rsidR="00732973" w:rsidRDefault="00732973" w:rsidP="00732973"/>
    <w:p w14:paraId="6F2FCB32" w14:textId="77777777" w:rsidR="00732973" w:rsidRDefault="00732973" w:rsidP="00732973">
      <w:r>
        <w:t xml:space="preserve">First and foremost, the importance lies in addressing the root causes of unhealthy </w:t>
      </w:r>
      <w:proofErr w:type="spellStart"/>
      <w:r>
        <w:t>behaviors</w:t>
      </w:r>
      <w:proofErr w:type="spellEnd"/>
      <w:r>
        <w:t xml:space="preserve"> rather than merely treating symptoms. By focusing on </w:t>
      </w:r>
      <w:proofErr w:type="spellStart"/>
      <w:r>
        <w:t>behavior</w:t>
      </w:r>
      <w:proofErr w:type="spellEnd"/>
      <w:r>
        <w:t xml:space="preserve"> modification, the app empowers users to understand their habits, triggers, and motivations, facilitating long-term changes in diet, exercise, stress management, and other key areas of health.</w:t>
      </w:r>
    </w:p>
    <w:p w14:paraId="1793241E" w14:textId="77777777" w:rsidR="00732973" w:rsidRDefault="00732973" w:rsidP="00732973"/>
    <w:p w14:paraId="02DD5C8F" w14:textId="77777777" w:rsidR="00732973" w:rsidRDefault="00732973" w:rsidP="00732973">
      <w:r>
        <w:t>The program typically works by employing various strategies such as goal setting, self-monitoring, feedback mechanisms, and reinforcement techniques. Users set personalized health goals, track their progress, and receive real-time feedback and rewards for positive actions. Additionally, the app may leverage social support features, allowing users to connect with peers, share achievements, and provide encouragement.</w:t>
      </w:r>
    </w:p>
    <w:p w14:paraId="01347C45" w14:textId="77777777" w:rsidR="00732973" w:rsidRDefault="00732973" w:rsidP="00732973"/>
    <w:p w14:paraId="55901DE3" w14:textId="77777777" w:rsidR="00732973" w:rsidRDefault="00732973" w:rsidP="00732973">
      <w:r>
        <w:t xml:space="preserve">Furthermore, </w:t>
      </w:r>
      <w:proofErr w:type="spellStart"/>
      <w:r>
        <w:t>behavioral</w:t>
      </w:r>
      <w:proofErr w:type="spellEnd"/>
      <w:r>
        <w:t xml:space="preserve"> modification programs promote self-awareness and mindfulness, encouraging users to reflect on their </w:t>
      </w:r>
      <w:proofErr w:type="spellStart"/>
      <w:r>
        <w:t>behaviors</w:t>
      </w:r>
      <w:proofErr w:type="spellEnd"/>
      <w:r>
        <w:t xml:space="preserve"> and make informed choices. Through techniques like cognitive restructuring and stress management exercises, individuals can develop healthier coping mechanisms and reduce reliance on unhealthy habits.</w:t>
      </w:r>
    </w:p>
    <w:p w14:paraId="14D76E7E" w14:textId="77777777" w:rsidR="00732973" w:rsidRDefault="00732973" w:rsidP="00732973"/>
    <w:p w14:paraId="27B6A720" w14:textId="77777777" w:rsidR="00732973" w:rsidRDefault="00732973" w:rsidP="00732973">
      <w:r>
        <w:t>Moreover, these programs adapt to individual needs and preferences, offering tailored recommendations based on user data and feedback. By fostering a sense of autonomy and empowerment, users are more likely to embrace lifestyle changes and maintain them beyond short-term interventions.</w:t>
      </w:r>
    </w:p>
    <w:p w14:paraId="253637D1" w14:textId="77777777" w:rsidR="00732973" w:rsidRDefault="00732973" w:rsidP="00732973"/>
    <w:p w14:paraId="514D7E85" w14:textId="77777777" w:rsidR="00732973" w:rsidRDefault="00732973" w:rsidP="00732973"/>
    <w:p w14:paraId="1276FA29" w14:textId="35A9F91D" w:rsidR="00732973" w:rsidRDefault="00B3116F" w:rsidP="00B3116F">
      <w:pPr>
        <w:pStyle w:val="ListParagraph"/>
        <w:numPr>
          <w:ilvl w:val="0"/>
          <w:numId w:val="17"/>
        </w:numPr>
      </w:pPr>
      <w:r w:rsidRPr="00B3116F">
        <w:rPr>
          <w:b/>
          <w:bCs/>
        </w:rPr>
        <w:t>REMOTE PATIENT MONITORING</w:t>
      </w:r>
    </w:p>
    <w:p w14:paraId="703AB422" w14:textId="77777777" w:rsidR="00B3116F" w:rsidRDefault="00B3116F" w:rsidP="00732973"/>
    <w:p w14:paraId="7967B827" w14:textId="7AC4F011" w:rsidR="00732973" w:rsidRDefault="00732973" w:rsidP="00732973">
      <w:r>
        <w:t>Remote Patient Monitoring (RPM) is a revolutionary feature within health guard apps that enables healthcare providers to monitor patients' health data remotely, outside of traditional clinical settings. This technology holds immense importance in modern healthcare, offering numerous benefits for both patients and healthcare providers.</w:t>
      </w:r>
    </w:p>
    <w:p w14:paraId="1B10B864" w14:textId="77777777" w:rsidR="00732973" w:rsidRDefault="00732973" w:rsidP="00732973"/>
    <w:p w14:paraId="6B7E907E" w14:textId="77777777" w:rsidR="00732973" w:rsidRDefault="00732973" w:rsidP="00732973">
      <w:r>
        <w:t xml:space="preserve">Firstly, RPM enhances accessibility to healthcare services, especially for individuals with chronic conditions or those living in remote areas. Patients can conveniently track vital signs, symptoms, and medication adherence using connected devices such as wearables or home </w:t>
      </w:r>
      <w:r>
        <w:lastRenderedPageBreak/>
        <w:t>monitoring equipment. This continuous monitoring allows for early detection of health issues and timely intervention, reducing the need for frequent hospital visits and improving overall patient outcomes.</w:t>
      </w:r>
    </w:p>
    <w:p w14:paraId="717A2C81" w14:textId="77777777" w:rsidR="00732973" w:rsidRDefault="00732973" w:rsidP="00732973"/>
    <w:p w14:paraId="770A3F14" w14:textId="77777777" w:rsidR="00732973" w:rsidRDefault="00732973" w:rsidP="00732973">
      <w:r>
        <w:t>Moreover, RPM facilitates proactive and personalized care. Healthcare providers receive real-time data on patients' health metrics, enabling them to identify trends, adjust treatment plans, and provide timely medical advice or interventions. This proactive approach can prevent exacerbation of conditions, reduce hospital readmissions, and ultimately enhance quality of life for patients.</w:t>
      </w:r>
    </w:p>
    <w:p w14:paraId="5F22E9F6" w14:textId="77777777" w:rsidR="00732973" w:rsidRDefault="00732973" w:rsidP="00732973"/>
    <w:p w14:paraId="59765A68" w14:textId="77777777" w:rsidR="00732973" w:rsidRDefault="00732973" w:rsidP="00732973">
      <w:r>
        <w:t>The working of RPM in health guard apps typically involves seamless integration with wearable devices or home monitoring equipment. Patients use these devices to collect and transmit health data, which is then securely transmitted to healthcare providers through the app. Healthcare providers can access this data through a centralized dashboard, allowing for continuous monitoring and timely intervention as needed.</w:t>
      </w:r>
    </w:p>
    <w:p w14:paraId="2C773208" w14:textId="77777777" w:rsidR="00732973" w:rsidRDefault="00732973" w:rsidP="00732973"/>
    <w:p w14:paraId="73C7261C" w14:textId="77777777" w:rsidR="00732973" w:rsidRDefault="00732973" w:rsidP="00732973">
      <w:r>
        <w:t>Furthermore, RPM promotes patient engagement and empowerment by involving them in their own care management. Patients gain greater insight into their health status, become more proactive in managing their conditions, and feel more connected to their healthcare providers. This collaborative approach fosters a stronger patient-provider relationship and improves overall patient satisfaction.</w:t>
      </w:r>
    </w:p>
    <w:p w14:paraId="4001CE7B" w14:textId="77777777" w:rsidR="00732973" w:rsidRDefault="00732973" w:rsidP="00732973"/>
    <w:p w14:paraId="60A963A1" w14:textId="77777777" w:rsidR="00732973" w:rsidRDefault="00732973" w:rsidP="00732973"/>
    <w:p w14:paraId="6F6ABAFC" w14:textId="7A08062C" w:rsidR="00732973" w:rsidRPr="00AC3134" w:rsidRDefault="00B3116F" w:rsidP="00B3116F">
      <w:pPr>
        <w:pStyle w:val="ListParagraph"/>
        <w:numPr>
          <w:ilvl w:val="0"/>
          <w:numId w:val="17"/>
        </w:numPr>
      </w:pPr>
      <w:r w:rsidRPr="00B3116F">
        <w:rPr>
          <w:b/>
          <w:bCs/>
        </w:rPr>
        <w:t>COLLABORATIVE CARE TEAMS</w:t>
      </w:r>
    </w:p>
    <w:p w14:paraId="1A2F5BEB" w14:textId="77777777" w:rsidR="00AC3134" w:rsidRDefault="00AC3134" w:rsidP="00AC3134"/>
    <w:p w14:paraId="6C94524D" w14:textId="77777777" w:rsidR="00732973" w:rsidRDefault="00732973" w:rsidP="00732973">
      <w:r>
        <w:t>Collaborative Care Teams within health guard apps represent a paradigm shift in healthcare delivery, emphasizing teamwork and coordination among various healthcare professionals involved in a patient's care. This approach is crucial for ensuring holistic and integrated healthcare services, particularly for individuals with complex medical needs or chronic conditions.</w:t>
      </w:r>
    </w:p>
    <w:p w14:paraId="11263E73" w14:textId="77777777" w:rsidR="00732973" w:rsidRDefault="00732973" w:rsidP="00732973"/>
    <w:p w14:paraId="0336799A" w14:textId="77777777" w:rsidR="00732973" w:rsidRDefault="00732973" w:rsidP="00732973">
      <w:r>
        <w:t>The importance of Collaborative Care Teams lies in their ability to provide comprehensive and patient-</w:t>
      </w:r>
      <w:proofErr w:type="spellStart"/>
      <w:r>
        <w:t>centered</w:t>
      </w:r>
      <w:proofErr w:type="spellEnd"/>
      <w:r>
        <w:t xml:space="preserve"> care. By bringing together professionals from different disciplines such as physicians, nurses, pharmacists, social workers, and specialists, these teams can address the diverse needs of patients more effectively. Each team member contributes their expertise to develop tailored treatment plans, coordinate services, and monitor patient progress, leading to improved health outcomes and satisfaction.</w:t>
      </w:r>
    </w:p>
    <w:p w14:paraId="5BE3C8C8" w14:textId="77777777" w:rsidR="00732973" w:rsidRDefault="00732973" w:rsidP="00732973"/>
    <w:p w14:paraId="4C9A9792" w14:textId="77777777" w:rsidR="00732973" w:rsidRDefault="00732973" w:rsidP="00732973">
      <w:r>
        <w:t>One key aspect of Collaborative Care Teams in health guard apps is their ability to facilitate communication and information sharing among team members. Through secure messaging systems, shared electronic health records, and collaborative care platforms integrated into the app, healthcare professionals can easily exchange vital patient information, discuss cases, and make informed decisions collaboratively. This seamless communication enhances care coordination, reduces medical errors, and ensures continuity of care across different settings.</w:t>
      </w:r>
    </w:p>
    <w:p w14:paraId="61B590A2" w14:textId="77777777" w:rsidR="00732973" w:rsidRDefault="00732973" w:rsidP="00732973"/>
    <w:p w14:paraId="0D7A7377" w14:textId="77777777" w:rsidR="00732973" w:rsidRDefault="00732973" w:rsidP="00732973">
      <w:r>
        <w:lastRenderedPageBreak/>
        <w:t>Moreover, Collaborative Care Teams empower patients to actively participate in their own care management. By involving patients in care planning, goal setting, and treatment decisions, these teams promote patient engagement, adherence to treatment regimens, and self-management skills. Patients feel supported and valued as active members of their care team, leading to greater satisfaction and improved health outcomes.</w:t>
      </w:r>
    </w:p>
    <w:p w14:paraId="2DAC6330" w14:textId="77777777" w:rsidR="00732973" w:rsidRDefault="00732973" w:rsidP="00732973"/>
    <w:p w14:paraId="416B8456" w14:textId="4CF3145D" w:rsidR="003B2B72" w:rsidRDefault="00732973" w:rsidP="00184C0C">
      <w:r>
        <w:t>In summary, Collaborative Care Teams in health guard apps play a pivotal role in delivering patient-</w:t>
      </w:r>
      <w:proofErr w:type="spellStart"/>
      <w:r>
        <w:t>centered</w:t>
      </w:r>
      <w:proofErr w:type="spellEnd"/>
      <w:r>
        <w:t>, coordinated, and high-quality healthcare services. By fostering teamwork, communication, and patient engagement, these teams optimize resource utilization, enhance care quality, and ultimately improve the overall health and well-being of patients.</w:t>
      </w:r>
    </w:p>
    <w:p w14:paraId="38EA5518" w14:textId="77777777" w:rsidR="00B3116F" w:rsidRDefault="00B3116F" w:rsidP="00184C0C"/>
    <w:p w14:paraId="7FE31DF6" w14:textId="4EA1DAAF" w:rsidR="003B2B72" w:rsidRDefault="003B2B72" w:rsidP="00184C0C"/>
    <w:p w14:paraId="1A337319" w14:textId="59F3E099" w:rsidR="003B2B72" w:rsidRPr="00B3116F" w:rsidRDefault="00EC5F10" w:rsidP="00B3116F">
      <w:pPr>
        <w:pStyle w:val="ListParagraph"/>
        <w:numPr>
          <w:ilvl w:val="0"/>
          <w:numId w:val="17"/>
        </w:numPr>
        <w:rPr>
          <w:b/>
          <w:bCs/>
        </w:rPr>
      </w:pPr>
      <w:r w:rsidRPr="00B3116F">
        <w:rPr>
          <w:b/>
          <w:bCs/>
        </w:rPr>
        <w:t>INTEGRATION WITH HER SYSTEM</w:t>
      </w:r>
    </w:p>
    <w:p w14:paraId="2FDE0901" w14:textId="77777777" w:rsidR="00B3116F" w:rsidRDefault="00B3116F" w:rsidP="00EC5F10">
      <w:pPr>
        <w:jc w:val="both"/>
      </w:pPr>
    </w:p>
    <w:p w14:paraId="047D0B7D" w14:textId="001E9245" w:rsidR="00EC5F10" w:rsidRDefault="00EC5F10" w:rsidP="00EC5F10">
      <w:pPr>
        <w:jc w:val="both"/>
      </w:pPr>
      <w:r>
        <w:t>Integration with EHR systems in HealthGuard goes beyond mere access to patient information; it facilitates a holistic approach to healthcare delivery. With seamless integration, HealthGuard ensures that healthcare providers have a comprehensive view of each patient's medical history, including past diagnoses, treatments, medications, and allergies. This comprehensive view enables healthcare professionals to make well-informed decisions quickly, particularly in critical situations where time is of the essence.</w:t>
      </w:r>
    </w:p>
    <w:p w14:paraId="4C2E7C7F" w14:textId="77777777" w:rsidR="00EC5F10" w:rsidRDefault="00EC5F10" w:rsidP="00EC5F10">
      <w:pPr>
        <w:jc w:val="both"/>
      </w:pPr>
    </w:p>
    <w:p w14:paraId="2E6AF5EB" w14:textId="77777777" w:rsidR="00EC5F10" w:rsidRDefault="00EC5F10" w:rsidP="00EC5F10">
      <w:pPr>
        <w:jc w:val="both"/>
      </w:pPr>
      <w:r>
        <w:t>Moreover, the real-time access to patient data enables healthcare providers to stay updated on any changes in the patient's condition, ensuring that treatment plans are adjusted promptly as needed. This level of agility and responsiveness is particularly crucial in managing chronic conditions or acute medical emergencies where timely intervention can significantly impact patient outcomes.</w:t>
      </w:r>
    </w:p>
    <w:p w14:paraId="586913C8" w14:textId="77777777" w:rsidR="00EC5F10" w:rsidRDefault="00EC5F10" w:rsidP="00EC5F10">
      <w:pPr>
        <w:jc w:val="both"/>
      </w:pPr>
    </w:p>
    <w:p w14:paraId="5228D093" w14:textId="77777777" w:rsidR="00EC5F10" w:rsidRDefault="00EC5F10" w:rsidP="00EC5F10">
      <w:pPr>
        <w:jc w:val="both"/>
      </w:pPr>
      <w:r>
        <w:t xml:space="preserve">Furthermore, </w:t>
      </w:r>
      <w:proofErr w:type="spellStart"/>
      <w:r>
        <w:t>HealthGuard's</w:t>
      </w:r>
      <w:proofErr w:type="spellEnd"/>
      <w:r>
        <w:t xml:space="preserve"> integration with EHR systems enhances interdisciplinary collaboration among healthcare professionals. By allowing different specialists, nurses, and support staff to access and contribute to the patient's electronic health record, HealthGuard promotes coordinated care delivery. For instance, a primary care physician can easily consult with specialists or share relevant patient information with allied healthcare professionals, fostering a team-based approach to patient care.</w:t>
      </w:r>
    </w:p>
    <w:p w14:paraId="02D666FB" w14:textId="77777777" w:rsidR="00EC5F10" w:rsidRDefault="00EC5F10" w:rsidP="00EC5F10">
      <w:pPr>
        <w:jc w:val="both"/>
      </w:pPr>
    </w:p>
    <w:p w14:paraId="76395AE9" w14:textId="77777777" w:rsidR="00EC5F10" w:rsidRDefault="00EC5F10" w:rsidP="00EC5F10">
      <w:pPr>
        <w:jc w:val="both"/>
      </w:pPr>
      <w:r>
        <w:t xml:space="preserve">In addition to improving communication and collaboration within healthcare teams, </w:t>
      </w:r>
      <w:proofErr w:type="spellStart"/>
      <w:r>
        <w:t>HealthGuard's</w:t>
      </w:r>
      <w:proofErr w:type="spellEnd"/>
      <w:r>
        <w:t xml:space="preserve"> integration with EHR systems also enhances patient engagement and empowerment. Patients can access their own electronic health records through secure portals, enabling them to actively participate in their care management. This transparency fosters trust between patients and healthcare providers and encourages patients to take a more active role in managing their health.</w:t>
      </w:r>
    </w:p>
    <w:p w14:paraId="1161918A" w14:textId="77777777" w:rsidR="00EC5F10" w:rsidRDefault="00EC5F10" w:rsidP="00EC5F10">
      <w:pPr>
        <w:jc w:val="both"/>
      </w:pPr>
    </w:p>
    <w:p w14:paraId="1D2DEB8C" w14:textId="6E575F9C" w:rsidR="00EC5F10" w:rsidRPr="00B3116F" w:rsidRDefault="00EC5F10" w:rsidP="00B3116F">
      <w:pPr>
        <w:pStyle w:val="ListParagraph"/>
        <w:numPr>
          <w:ilvl w:val="0"/>
          <w:numId w:val="17"/>
        </w:numPr>
        <w:rPr>
          <w:b/>
          <w:bCs/>
        </w:rPr>
      </w:pPr>
      <w:r w:rsidRPr="00B3116F">
        <w:rPr>
          <w:b/>
          <w:bCs/>
        </w:rPr>
        <w:t>DATA PRIVACY AND SECURITY</w:t>
      </w:r>
    </w:p>
    <w:p w14:paraId="436991E5" w14:textId="77777777" w:rsidR="00B3116F" w:rsidRDefault="00B3116F" w:rsidP="00EC5F10">
      <w:pPr>
        <w:jc w:val="both"/>
      </w:pPr>
    </w:p>
    <w:p w14:paraId="19B1D237" w14:textId="23DF2A61" w:rsidR="00EC5F10" w:rsidRDefault="00EC5F10" w:rsidP="00EC5F10">
      <w:pPr>
        <w:jc w:val="both"/>
      </w:pPr>
      <w:r>
        <w:lastRenderedPageBreak/>
        <w:t>In addition to encryption, access controls, and regular security audits, HealthGuard employs a multi-layered approach to data privacy and security to provide comprehensive protection for patient information. This approach involves:</w:t>
      </w:r>
    </w:p>
    <w:p w14:paraId="55DA46EB" w14:textId="77777777" w:rsidR="00EC5F10" w:rsidRDefault="00EC5F10" w:rsidP="00EC5F10">
      <w:pPr>
        <w:jc w:val="both"/>
      </w:pPr>
    </w:p>
    <w:p w14:paraId="31DF9564" w14:textId="18F75521" w:rsidR="00EC5F10" w:rsidRDefault="00EC5F10" w:rsidP="00EC5F10">
      <w:pPr>
        <w:jc w:val="both"/>
      </w:pPr>
      <w:r>
        <w:t>1. Role-Based Access Control (RBAC): HealthGuard implements RBAC to restrict access to patient records based on the roles and responsibilities of healthcare professionals. By assigning specific access privileges to authorized users, HealthGuard ensures that only individuals with a legitimate need to view patient data can do so, minimizing the risk of unauthorized access.</w:t>
      </w:r>
    </w:p>
    <w:p w14:paraId="6972E602" w14:textId="77777777" w:rsidR="00EC5F10" w:rsidRDefault="00EC5F10" w:rsidP="00EC5F10">
      <w:pPr>
        <w:jc w:val="both"/>
      </w:pPr>
    </w:p>
    <w:p w14:paraId="77EEBBE8" w14:textId="30179C76" w:rsidR="00EC5F10" w:rsidRDefault="00EC5F10" w:rsidP="00EC5F10">
      <w:pPr>
        <w:jc w:val="both"/>
      </w:pPr>
      <w:r>
        <w:t>2. Data Encryption in Transit and at Rest: HealthGuard employs encryption protocols to secure patient data both during transmission between devices and while stored in databases. This ensures that even if intercepted during transmission or compromised through unauthorized access to storage systems, patient information remains protected and unintelligible to unauthorized parties.</w:t>
      </w:r>
    </w:p>
    <w:p w14:paraId="1CABA3AD" w14:textId="77777777" w:rsidR="00EC5F10" w:rsidRDefault="00EC5F10" w:rsidP="00EC5F10">
      <w:pPr>
        <w:jc w:val="both"/>
      </w:pPr>
    </w:p>
    <w:p w14:paraId="7FB2E901" w14:textId="10560A40" w:rsidR="00EC5F10" w:rsidRDefault="00EC5F10" w:rsidP="00EC5F10">
      <w:pPr>
        <w:jc w:val="both"/>
      </w:pPr>
      <w:r>
        <w:t>3. Two-Factor Authentication (2FA): To further enhance security, HealthGuard implements two-factor authentication for user authentication processes. This additional layer of verification requires users to provide two forms of identification, such as a password and a unique code sent to their mobile device, before gaining access to the system. By requiring multiple factors for authentication, HealthGuard reduces the risk of unauthorized access resulting from stolen or compromised credentials.</w:t>
      </w:r>
    </w:p>
    <w:p w14:paraId="0DA1BE4F" w14:textId="77777777" w:rsidR="00EC5F10" w:rsidRDefault="00EC5F10" w:rsidP="00EC5F10">
      <w:pPr>
        <w:jc w:val="both"/>
      </w:pPr>
    </w:p>
    <w:p w14:paraId="110E8264" w14:textId="11CE3A7E" w:rsidR="00EC5F10" w:rsidRDefault="00EC5F10" w:rsidP="00EC5F10">
      <w:pPr>
        <w:jc w:val="both"/>
      </w:pPr>
      <w:r>
        <w:t>4. Data Masking and Anonymization: HealthGuard utilizes data masking and anonymization techniques to de-identify sensitive patient information when it is not necessary for clinical purposes. By replacing identifiable data elements with pseudonyms or masking certain portions of the data, HealthGuard reduces the risk of privacy breaches while still enabling analysis and research activities that contribute to improving healthcare outcomes.</w:t>
      </w:r>
    </w:p>
    <w:p w14:paraId="74ACF7D0" w14:textId="77777777" w:rsidR="00EC5F10" w:rsidRDefault="00EC5F10" w:rsidP="00EC5F10">
      <w:pPr>
        <w:jc w:val="both"/>
      </w:pPr>
    </w:p>
    <w:p w14:paraId="2AABDD53" w14:textId="29C998A3" w:rsidR="00EC5F10" w:rsidRDefault="00EC5F10" w:rsidP="00EC5F10">
      <w:pPr>
        <w:jc w:val="both"/>
      </w:pPr>
      <w:r>
        <w:t xml:space="preserve">5. Regular Security Audits and Vulnerability Assessments: HealthGuard conducts regular security audits and vulnerability assessments to proactively identify and address potential security weaknesses or threats. By continuously monitoring the system for any vulnerabilities or suspicious activities, HealthGuard can promptly implement patches and updates to mitigate risks and strengthen its </w:t>
      </w:r>
      <w:proofErr w:type="spellStart"/>
      <w:r>
        <w:t>defenses</w:t>
      </w:r>
      <w:proofErr w:type="spellEnd"/>
      <w:r>
        <w:t xml:space="preserve"> against evolving cyber threats.</w:t>
      </w:r>
    </w:p>
    <w:p w14:paraId="1E568F3F" w14:textId="77777777" w:rsidR="00EC5F10" w:rsidRDefault="00EC5F10" w:rsidP="00EC5F10">
      <w:pPr>
        <w:jc w:val="both"/>
      </w:pPr>
    </w:p>
    <w:p w14:paraId="79C23269" w14:textId="2851BD22" w:rsidR="00EC5F10" w:rsidRDefault="00EC5F10" w:rsidP="00EC5F10">
      <w:pPr>
        <w:jc w:val="both"/>
      </w:pPr>
      <w:r>
        <w:t>6. Employee Training and Awareness Programs: HealthGuard provides comprehensive training and awareness programs for employees to educate them about best practices for data privacy and security. By ensuring that staff members are well-informed about their roles and responsibilities in safeguarding patient information, HealthGuard minimizes the risk of insider threats and human error that could compromise data security.</w:t>
      </w:r>
    </w:p>
    <w:p w14:paraId="2A14CDC6" w14:textId="77777777" w:rsidR="00EC5F10" w:rsidRDefault="00EC5F10" w:rsidP="00EC5F10">
      <w:pPr>
        <w:jc w:val="both"/>
      </w:pPr>
    </w:p>
    <w:p w14:paraId="08BE9AA3" w14:textId="77777777" w:rsidR="00EC5F10" w:rsidRDefault="00EC5F10" w:rsidP="00EC5F10">
      <w:pPr>
        <w:jc w:val="both"/>
      </w:pPr>
    </w:p>
    <w:p w14:paraId="7740F083" w14:textId="6360E115" w:rsidR="00EC5F10" w:rsidRDefault="00EC5F10" w:rsidP="00B3116F">
      <w:pPr>
        <w:pStyle w:val="ListParagraph"/>
        <w:numPr>
          <w:ilvl w:val="0"/>
          <w:numId w:val="17"/>
        </w:numPr>
        <w:jc w:val="both"/>
        <w:rPr>
          <w:b/>
          <w:bCs/>
        </w:rPr>
      </w:pPr>
      <w:r w:rsidRPr="00B3116F">
        <w:rPr>
          <w:b/>
          <w:bCs/>
        </w:rPr>
        <w:t>COMMUNITY SUPPORT AND RESOURCES</w:t>
      </w:r>
    </w:p>
    <w:p w14:paraId="10E7EFD5" w14:textId="77777777" w:rsidR="00B3116F" w:rsidRPr="00B3116F" w:rsidRDefault="00B3116F" w:rsidP="00B3116F">
      <w:pPr>
        <w:ind w:left="360"/>
        <w:jc w:val="both"/>
        <w:rPr>
          <w:b/>
          <w:bCs/>
        </w:rPr>
      </w:pPr>
    </w:p>
    <w:p w14:paraId="55D8DE40" w14:textId="77777777" w:rsidR="00EC5F10" w:rsidRDefault="00EC5F10" w:rsidP="00EC5F10">
      <w:pPr>
        <w:jc w:val="both"/>
      </w:pPr>
      <w:r>
        <w:lastRenderedPageBreak/>
        <w:t xml:space="preserve">In addition to the core healthcare services, HealthGuard recognizes the importance of holistic well-being and aims to address the various social, emotional, and lifestyle factors that impact an individual's health. </w:t>
      </w:r>
    </w:p>
    <w:p w14:paraId="7BD31E94" w14:textId="77777777" w:rsidR="00EC5F10" w:rsidRDefault="00EC5F10" w:rsidP="00EC5F10">
      <w:pPr>
        <w:jc w:val="both"/>
      </w:pPr>
    </w:p>
    <w:p w14:paraId="6D491218" w14:textId="21D79C9A" w:rsidR="00EC5F10" w:rsidRDefault="00EC5F10" w:rsidP="00EC5F10">
      <w:pPr>
        <w:jc w:val="both"/>
      </w:pPr>
      <w:r>
        <w:t>1. Educational Materials: HealthGuard provides access to a wealth of educational materials covering a range of health topics, from chronic disease management to mental health awareness and healthy lifestyle choices. These materials are curated by healthcare professionals and tailored to the specific needs and interests of the community, empowering individuals to make informed decisions about their health.</w:t>
      </w:r>
    </w:p>
    <w:p w14:paraId="27480627" w14:textId="77777777" w:rsidR="00EC5F10" w:rsidRDefault="00EC5F10" w:rsidP="00EC5F10">
      <w:pPr>
        <w:jc w:val="both"/>
      </w:pPr>
    </w:p>
    <w:p w14:paraId="1120BB25" w14:textId="6D71AD01" w:rsidR="00EC5F10" w:rsidRDefault="00EC5F10" w:rsidP="00EC5F10">
      <w:pPr>
        <w:jc w:val="both"/>
      </w:pPr>
      <w:r>
        <w:t>2. Support Groups: HealthGuard facilitates the formation of support groups where individuals facing similar health challenges can connect, share experiences, and provide mutual support. Whether it's coping with a chronic illness, managing a mental health condition, or navigating a major life transition, these support groups offer a safe and empathetic space for individuals to seek guidance, encouragement, and camaraderie.</w:t>
      </w:r>
    </w:p>
    <w:p w14:paraId="2FB83E07" w14:textId="77777777" w:rsidR="00EC5F10" w:rsidRDefault="00EC5F10" w:rsidP="00EC5F10">
      <w:pPr>
        <w:jc w:val="both"/>
      </w:pPr>
    </w:p>
    <w:p w14:paraId="4A30663D" w14:textId="4E7C06F6" w:rsidR="00EC5F10" w:rsidRDefault="00EC5F10" w:rsidP="00EC5F10">
      <w:pPr>
        <w:jc w:val="both"/>
      </w:pPr>
      <w:r>
        <w:t>3. Access to Local Healthcare Resources: Recognizing that healthcare needs vary from one community to another, HealthGuard establishes partnerships with local healthcare providers, clinics, and community organizations to ensure that individuals have access to a comprehensive network of healthcare resources. This includes primary care providers, specialists, mental health services, rehabilitation facilities, and other essential healthcare services tailored to the specific needs of the community.</w:t>
      </w:r>
    </w:p>
    <w:p w14:paraId="3DCF07E1" w14:textId="77777777" w:rsidR="00EC5F10" w:rsidRDefault="00EC5F10" w:rsidP="00EC5F10">
      <w:pPr>
        <w:jc w:val="both"/>
      </w:pPr>
    </w:p>
    <w:p w14:paraId="4A6E14C9" w14:textId="0581E66C" w:rsidR="00EC5F10" w:rsidRDefault="00EC5F10" w:rsidP="00EC5F10">
      <w:pPr>
        <w:jc w:val="both"/>
      </w:pPr>
      <w:r>
        <w:t>4. Promoting Long-Term Wellness and Preventive Care Initiatives: Beyond addressing immediate healthcare needs, HealthGuard places a strong emphasis on promoting long-term wellness and preventive care initiatives. This includes encouraging regular health screenings, vaccinations, and lifestyle modifications to prevent the onset of chronic diseases and promote overall well-being. Through educational campaigns, wellness challenges, and personalized health coaching, HealthGuard empowers individuals to adopt healthier habits and prioritize their ongoing health and wellness.</w:t>
      </w:r>
    </w:p>
    <w:p w14:paraId="7C2038E2" w14:textId="77777777" w:rsidR="00EC5F10" w:rsidRDefault="00EC5F10" w:rsidP="00EC5F10">
      <w:pPr>
        <w:jc w:val="both"/>
      </w:pPr>
    </w:p>
    <w:p w14:paraId="7B333C72" w14:textId="140050A5" w:rsidR="00EC5F10" w:rsidRDefault="00EC5F10" w:rsidP="00EC5F10">
      <w:pPr>
        <w:jc w:val="both"/>
      </w:pPr>
      <w:r>
        <w:t>5. Partnerships with Community Organizations: HealthGuard collaborates with local community organizations, non-profits, and advocacy groups to leverage existing resources and infrastructure in the community. By partnering with organizations that specialize in areas such as nutrition education, fitness programs, housing assistance, and social services, HealthGuard ensures that individuals receive holistic support that addresses their unique needs and circumstances.</w:t>
      </w:r>
    </w:p>
    <w:p w14:paraId="09A42F8A" w14:textId="77777777" w:rsidR="00EC5F10" w:rsidRDefault="00EC5F10" w:rsidP="00EC5F10">
      <w:pPr>
        <w:jc w:val="both"/>
        <w:rPr>
          <w:b/>
          <w:bCs/>
        </w:rPr>
      </w:pPr>
    </w:p>
    <w:p w14:paraId="434961B9" w14:textId="77777777" w:rsidR="00EC5F10" w:rsidRPr="00EC5F10" w:rsidRDefault="00EC5F10" w:rsidP="00EC5F10">
      <w:pPr>
        <w:jc w:val="both"/>
        <w:rPr>
          <w:b/>
          <w:bCs/>
        </w:rPr>
      </w:pPr>
    </w:p>
    <w:p w14:paraId="2D5E9D9F" w14:textId="75A65208" w:rsidR="00EC5F10" w:rsidRDefault="00EC5F10" w:rsidP="00EC5F10">
      <w:pPr>
        <w:jc w:val="both"/>
        <w:rPr>
          <w:b/>
          <w:bCs/>
        </w:rPr>
      </w:pPr>
      <w:r>
        <w:rPr>
          <w:b/>
          <w:bCs/>
        </w:rPr>
        <w:t>CONCLUSION</w:t>
      </w:r>
    </w:p>
    <w:p w14:paraId="46E12AF5" w14:textId="77777777" w:rsidR="00EC5F10" w:rsidRDefault="00EC5F10" w:rsidP="00EC5F10">
      <w:pPr>
        <w:jc w:val="both"/>
        <w:rPr>
          <w:b/>
          <w:bCs/>
        </w:rPr>
      </w:pPr>
    </w:p>
    <w:p w14:paraId="05634B9C" w14:textId="77777777" w:rsidR="00AC3134" w:rsidRPr="00AC3134" w:rsidRDefault="00AC3134" w:rsidP="00AC3134">
      <w:pPr>
        <w:jc w:val="both"/>
      </w:pPr>
      <w:r w:rsidRPr="00AC3134">
        <w:t xml:space="preserve">In conclusion, HealthGuard represents a next-generation chronic condition management platform that revolutionizes healthcare by seamlessly integrating cutting-edge technology with personalized care. By offering personalized health assessments, predictive analytics, an early warning system, </w:t>
      </w:r>
      <w:proofErr w:type="spellStart"/>
      <w:r w:rsidRPr="00AC3134">
        <w:t>behavioral</w:t>
      </w:r>
      <w:proofErr w:type="spellEnd"/>
      <w:r w:rsidRPr="00AC3134">
        <w:t xml:space="preserve"> modification programs, remote patient monitoring, collaborative </w:t>
      </w:r>
      <w:r w:rsidRPr="00AC3134">
        <w:lastRenderedPageBreak/>
        <w:t>care teams, integration with EHR systems, and robust data privacy measures, HealthGuard empowers users to take control of their health proactively.</w:t>
      </w:r>
    </w:p>
    <w:p w14:paraId="4D584536" w14:textId="77777777" w:rsidR="00AC3134" w:rsidRPr="00AC3134" w:rsidRDefault="00AC3134" w:rsidP="00AC3134">
      <w:pPr>
        <w:jc w:val="both"/>
      </w:pPr>
    </w:p>
    <w:p w14:paraId="44BC45A1" w14:textId="42ADE67A" w:rsidR="00AC3134" w:rsidRPr="00AC3134" w:rsidRDefault="00AC3134" w:rsidP="00AC3134">
      <w:pPr>
        <w:jc w:val="both"/>
      </w:pPr>
      <w:r w:rsidRPr="00AC3134">
        <w:t xml:space="preserve">Through its comprehensive approach, HealthGuard not only identifies potential health risks but also provides timely interventions and support to prevent the onset or progression of chronic conditions. By leveraging machine learning algorithms and real-time monitoring, it enables healthcare providers to deliver more effective and personalized care, resulting in improved patient outcomes and quality of </w:t>
      </w:r>
      <w:proofErr w:type="spellStart"/>
      <w:r w:rsidRPr="00AC3134">
        <w:t>life</w:t>
      </w:r>
      <w:r>
        <w:t>.</w:t>
      </w:r>
      <w:r w:rsidRPr="00AC3134">
        <w:t>Moreover</w:t>
      </w:r>
      <w:proofErr w:type="spellEnd"/>
      <w:r w:rsidRPr="00AC3134">
        <w:t>, by fostering a supportive community and providing access to educational resources, HealthGuard promotes a holistic approach to health management, emphasizing the importance of peer support and continuous learning in achieving long-term well-being.</w:t>
      </w:r>
    </w:p>
    <w:p w14:paraId="05C8003E" w14:textId="77777777" w:rsidR="00AC3134" w:rsidRPr="00AC3134" w:rsidRDefault="00AC3134" w:rsidP="00AC3134">
      <w:pPr>
        <w:jc w:val="both"/>
      </w:pPr>
    </w:p>
    <w:p w14:paraId="0F2CA7B9" w14:textId="64BDFA53" w:rsidR="00EC5F10" w:rsidRPr="00AC3134" w:rsidRDefault="00AC3134" w:rsidP="00AC3134">
      <w:pPr>
        <w:jc w:val="both"/>
      </w:pPr>
      <w:r w:rsidRPr="00AC3134">
        <w:t>Overall, HealthGuard sets a new standard for chronic condition management, offering a transformative solution that prioritizes individualized care, data security, and community support, ultimately paving the way towards a healthier future for all.</w:t>
      </w:r>
    </w:p>
    <w:p w14:paraId="74C23487" w14:textId="77777777" w:rsidR="00EC5F10" w:rsidRPr="00EC5F10" w:rsidRDefault="00EC5F10" w:rsidP="00EC5F10">
      <w:pPr>
        <w:jc w:val="both"/>
        <w:rPr>
          <w:b/>
          <w:bCs/>
        </w:rPr>
      </w:pPr>
    </w:p>
    <w:sectPr w:rsidR="00EC5F10" w:rsidRPr="00EC5F10" w:rsidSect="00C14A6A">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96E4A" w14:textId="77777777" w:rsidR="00ED1CCB" w:rsidRDefault="00ED1CCB" w:rsidP="00C14A6A">
      <w:r>
        <w:separator/>
      </w:r>
    </w:p>
  </w:endnote>
  <w:endnote w:type="continuationSeparator" w:id="0">
    <w:p w14:paraId="75913F45" w14:textId="77777777" w:rsidR="00ED1CCB" w:rsidRDefault="00ED1CCB" w:rsidP="00C14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F85CB" w14:textId="77777777" w:rsidR="00184C0C" w:rsidRDefault="00184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1145727"/>
      <w:docPartObj>
        <w:docPartGallery w:val="Page Numbers (Bottom of Page)"/>
        <w:docPartUnique/>
      </w:docPartObj>
    </w:sdtPr>
    <w:sdtEndPr>
      <w:rPr>
        <w:noProof/>
      </w:rPr>
    </w:sdtEndPr>
    <w:sdtContent>
      <w:p w14:paraId="2253FBC5" w14:textId="77777777" w:rsidR="00184C0C" w:rsidRDefault="00184C0C" w:rsidP="00C14A6A">
        <w:pPr>
          <w:pStyle w:val="Footer"/>
          <w:jc w:val="both"/>
        </w:pPr>
      </w:p>
      <w:p w14:paraId="0AEE85A4" w14:textId="77777777" w:rsidR="00C14A6A" w:rsidRPr="00C14A6A" w:rsidRDefault="00C14A6A" w:rsidP="00C14A6A">
        <w:pPr>
          <w:pStyle w:val="Footer"/>
          <w:jc w:val="both"/>
          <w:rPr>
            <w:noProof/>
          </w:rPr>
        </w:pPr>
        <w:r>
          <w:t>Copyright © The Author(s) 2021.This is an Open Access Article distributed under the CC BY license. (</w:t>
        </w:r>
        <w:hyperlink r:id="rId1" w:history="1">
          <w:r w:rsidRPr="00A2571A">
            <w:rPr>
              <w:rStyle w:val="Hyperlink"/>
            </w:rPr>
            <w:t>http://creativecommons.org/licenses/by/4.0/</w:t>
          </w:r>
        </w:hyperlink>
        <w:r w:rsidR="00184C0C">
          <w:t xml:space="preserve">)                                                       </w:t>
        </w:r>
        <w:r w:rsidR="00F64ED1">
          <w:fldChar w:fldCharType="begin"/>
        </w:r>
        <w:r>
          <w:instrText xml:space="preserve"> PAGE   \* MERGEFORMAT </w:instrText>
        </w:r>
        <w:r w:rsidR="00F64ED1">
          <w:fldChar w:fldCharType="separate"/>
        </w:r>
        <w:r w:rsidR="009C3471">
          <w:rPr>
            <w:noProof/>
          </w:rPr>
          <w:t>1</w:t>
        </w:r>
        <w:r w:rsidR="00F64ED1">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5252525"/>
      <w:docPartObj>
        <w:docPartGallery w:val="Page Numbers (Bottom of Page)"/>
        <w:docPartUnique/>
      </w:docPartObj>
    </w:sdtPr>
    <w:sdtEndPr>
      <w:rPr>
        <w:noProof/>
      </w:rPr>
    </w:sdtEndPr>
    <w:sdtContent>
      <w:p w14:paraId="1AA60839" w14:textId="77777777" w:rsidR="00C14A6A" w:rsidRDefault="00F64ED1">
        <w:pPr>
          <w:pStyle w:val="Footer"/>
          <w:jc w:val="right"/>
        </w:pPr>
        <w:r>
          <w:fldChar w:fldCharType="begin"/>
        </w:r>
        <w:r w:rsidR="00C14A6A">
          <w:instrText xml:space="preserve"> PAGE   \* MERGEFORMAT </w:instrText>
        </w:r>
        <w:r>
          <w:fldChar w:fldCharType="separate"/>
        </w:r>
        <w:r w:rsidR="00C14A6A">
          <w:rPr>
            <w:noProof/>
          </w:rPr>
          <w:t>1</w:t>
        </w:r>
        <w:r>
          <w:rPr>
            <w:noProof/>
          </w:rPr>
          <w:fldChar w:fldCharType="end"/>
        </w:r>
      </w:p>
    </w:sdtContent>
  </w:sdt>
  <w:p w14:paraId="6E963C22" w14:textId="77777777" w:rsidR="00C14A6A" w:rsidRDefault="00C14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0CE23" w14:textId="77777777" w:rsidR="00ED1CCB" w:rsidRDefault="00ED1CCB" w:rsidP="00C14A6A">
      <w:r>
        <w:separator/>
      </w:r>
    </w:p>
  </w:footnote>
  <w:footnote w:type="continuationSeparator" w:id="0">
    <w:p w14:paraId="5E165323" w14:textId="77777777" w:rsidR="00ED1CCB" w:rsidRDefault="00ED1CCB" w:rsidP="00C14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87A38" w14:textId="77777777" w:rsidR="00184C0C" w:rsidRDefault="00184C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12479" w14:textId="77777777" w:rsidR="00D01419" w:rsidRDefault="00D01419">
    <w:pPr>
      <w:pStyle w:val="Header"/>
      <w:rPr>
        <w:b/>
        <w:shd w:val="clear" w:color="auto" w:fill="FFFFFF"/>
      </w:rPr>
    </w:pPr>
    <w:r w:rsidRPr="00D01419">
      <w:rPr>
        <w:b/>
        <w:shd w:val="clear" w:color="auto" w:fill="FFFFFF"/>
      </w:rPr>
      <w:t>International Journal of Information technology and Computer Engineering</w:t>
    </w:r>
    <w:r w:rsidR="00184C0C" w:rsidRPr="00184C0C">
      <w:rPr>
        <w:rFonts w:eastAsia="Times New Roman"/>
        <w:snapToGrid w:val="0"/>
        <w:color w:val="000000"/>
        <w:w w:val="0"/>
        <w:sz w:val="0"/>
        <w:szCs w:val="0"/>
        <w:u w:color="000000"/>
        <w:bdr w:val="none" w:sz="0" w:space="0" w:color="000000"/>
        <w:shd w:val="clear" w:color="000000" w:fill="000000"/>
      </w:rPr>
      <w:t xml:space="preserve"> </w:t>
    </w:r>
  </w:p>
  <w:p w14:paraId="1D00EDEE" w14:textId="77777777" w:rsidR="00EA18FC" w:rsidRPr="003C2EE3" w:rsidRDefault="00184C0C" w:rsidP="00EA18FC">
    <w:pPr>
      <w:pStyle w:val="Header"/>
      <w:rPr>
        <w:b/>
        <w:shd w:val="clear" w:color="auto" w:fill="FFFFFF"/>
      </w:rPr>
    </w:pPr>
    <w:r w:rsidRPr="00184C0C">
      <w:rPr>
        <w:b/>
        <w:noProof/>
        <w:shd w:val="clear" w:color="auto" w:fill="FFFFFF"/>
        <w:lang w:val="en-IN" w:eastAsia="en-IN"/>
      </w:rPr>
      <w:drawing>
        <wp:anchor distT="0" distB="0" distL="114300" distR="114300" simplePos="0" relativeHeight="251659264" behindDoc="0" locked="0" layoutInCell="1" allowOverlap="1" wp14:anchorId="40085DCD" wp14:editId="1C034D14">
          <wp:simplePos x="0" y="0"/>
          <wp:positionH relativeFrom="column">
            <wp:posOffset>4791075</wp:posOffset>
          </wp:positionH>
          <wp:positionV relativeFrom="paragraph">
            <wp:posOffset>5715</wp:posOffset>
          </wp:positionV>
          <wp:extent cx="980440" cy="704850"/>
          <wp:effectExtent l="0" t="0" r="0" b="0"/>
          <wp:wrapThrough wrapText="bothSides">
            <wp:wrapPolygon edited="0">
              <wp:start x="0" y="0"/>
              <wp:lineTo x="0" y="21016"/>
              <wp:lineTo x="20984" y="21016"/>
              <wp:lineTo x="20984" y="0"/>
              <wp:lineTo x="0" y="0"/>
            </wp:wrapPolygon>
          </wp:wrapThrough>
          <wp:docPr id="4" name="Picture 4" descr="C:\Users\UYSER\Downloads\5 Journals\posters\logo\IJIT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YSER\Downloads\5 Journals\posters\logo\IJITC.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044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hd w:val="clear" w:color="auto" w:fill="FFFFFF"/>
      </w:rPr>
      <w:t>ISSN</w:t>
    </w:r>
    <w:r w:rsidR="00EA18FC" w:rsidRPr="003C2EE3">
      <w:rPr>
        <w:b/>
        <w:shd w:val="clear" w:color="auto" w:fill="FFFFFF"/>
      </w:rPr>
      <w:t>: 2455-5290 </w:t>
    </w:r>
  </w:p>
  <w:p w14:paraId="47B4913D" w14:textId="77777777" w:rsidR="00EA18FC" w:rsidRPr="00470663" w:rsidRDefault="00EA18FC" w:rsidP="00EA18FC">
    <w:pPr>
      <w:pStyle w:val="Header"/>
      <w:ind w:left="10" w:hanging="10"/>
      <w:rPr>
        <w:color w:val="000000" w:themeColor="text1"/>
      </w:rPr>
    </w:pPr>
    <w:r w:rsidRPr="00470663">
      <w:rPr>
        <w:color w:val="000000" w:themeColor="text1"/>
      </w:rPr>
      <w:t xml:space="preserve">Vol : 02 , No. 01, </w:t>
    </w:r>
    <w:r w:rsidR="00184C0C">
      <w:rPr>
        <w:color w:val="000000" w:themeColor="text1"/>
      </w:rPr>
      <w:t>June-July 2022</w:t>
    </w:r>
  </w:p>
  <w:p w14:paraId="75349977" w14:textId="77777777" w:rsidR="0049107C" w:rsidRDefault="00000000">
    <w:pPr>
      <w:pStyle w:val="Header"/>
    </w:pPr>
    <w:hyperlink r:id="rId2" w:history="1">
      <w:r w:rsidR="00184C0C" w:rsidRPr="006D3C41">
        <w:rPr>
          <w:rStyle w:val="Hyperlink"/>
        </w:rPr>
        <w:t>http://journal.hmjournals.com/index.php/IJITC</w:t>
      </w:r>
    </w:hyperlink>
  </w:p>
  <w:p w14:paraId="7DF04EEE" w14:textId="77777777" w:rsidR="00D01419" w:rsidRDefault="00184C0C">
    <w:pPr>
      <w:pStyle w:val="Header"/>
    </w:pPr>
    <w:r w:rsidRPr="00796865">
      <w:rPr>
        <w:b/>
      </w:rPr>
      <w:t>DOI:</w:t>
    </w:r>
    <w:r w:rsidRPr="00796865">
      <w:t xml:space="preserve"> </w:t>
    </w:r>
    <w:hyperlink r:id="rId3" w:history="1">
      <w:r w:rsidRPr="006D3C41">
        <w:rPr>
          <w:rStyle w:val="Hyperlink"/>
        </w:rPr>
        <w:t>https://doi.org/10.55529/ijitc.22.1.11</w:t>
      </w:r>
    </w:hyperlink>
  </w:p>
  <w:p w14:paraId="07110576" w14:textId="77777777" w:rsidR="00184C0C" w:rsidRDefault="00184C0C">
    <w:pPr>
      <w:pStyle w:val="Header"/>
    </w:pPr>
  </w:p>
  <w:p w14:paraId="330B433B" w14:textId="77777777" w:rsidR="00184C0C" w:rsidRDefault="00184C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EBF52" w14:textId="77777777" w:rsidR="00C14A6A" w:rsidRDefault="00C14A6A" w:rsidP="00C14A6A">
    <w:pPr>
      <w:pStyle w:val="Header"/>
    </w:pPr>
    <w:r>
      <w:t xml:space="preserve">Journal of Contemporary Issues in Business and Government Vol. 26, No. 1, 2020 </w:t>
    </w:r>
    <w:hyperlink r:id="rId1" w:history="1">
      <w:r w:rsidRPr="00A2571A">
        <w:rPr>
          <w:rStyle w:val="Hyperlink"/>
        </w:rPr>
        <w:t>https://cibg.org.au/</w:t>
      </w:r>
    </w:hyperlink>
  </w:p>
  <w:p w14:paraId="29EE9BE9" w14:textId="77777777" w:rsidR="00C14A6A" w:rsidRDefault="00C14A6A" w:rsidP="00C14A6A">
    <w:pPr>
      <w:pStyle w:val="Header"/>
    </w:pPr>
    <w:r>
      <w:t>P-ISSN: 2204-1990; E-ISSN: 1323-6903</w:t>
    </w:r>
  </w:p>
  <w:p w14:paraId="41DFFB82" w14:textId="77777777" w:rsidR="00C14A6A" w:rsidRDefault="00C14A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78EE"/>
    <w:multiLevelType w:val="multilevel"/>
    <w:tmpl w:val="1C08D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C431325"/>
    <w:multiLevelType w:val="multilevel"/>
    <w:tmpl w:val="3AC28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250C3"/>
    <w:multiLevelType w:val="multilevel"/>
    <w:tmpl w:val="F92CB9D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309E4B14"/>
    <w:multiLevelType w:val="hybridMultilevel"/>
    <w:tmpl w:val="E682C9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8273D7"/>
    <w:multiLevelType w:val="multilevel"/>
    <w:tmpl w:val="9C8E938C"/>
    <w:numStyleLink w:val="IEEEBullet1"/>
  </w:abstractNum>
  <w:abstractNum w:abstractNumId="6" w15:restartNumberingAfterBreak="0">
    <w:nsid w:val="45760961"/>
    <w:multiLevelType w:val="hybridMultilevel"/>
    <w:tmpl w:val="E86C0D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AD26CD"/>
    <w:multiLevelType w:val="hybridMultilevel"/>
    <w:tmpl w:val="881652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4CDB30D9"/>
    <w:multiLevelType w:val="hybridMultilevel"/>
    <w:tmpl w:val="5E72C3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232215"/>
    <w:multiLevelType w:val="multilevel"/>
    <w:tmpl w:val="9A52B476"/>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CDA55FB"/>
    <w:multiLevelType w:val="multilevel"/>
    <w:tmpl w:val="965824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4514CDD"/>
    <w:multiLevelType w:val="hybridMultilevel"/>
    <w:tmpl w:val="A6348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15:restartNumberingAfterBreak="0">
    <w:nsid w:val="70C7555B"/>
    <w:multiLevelType w:val="multilevel"/>
    <w:tmpl w:val="A05A3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AC5B30"/>
    <w:multiLevelType w:val="multilevel"/>
    <w:tmpl w:val="EE20ED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6801108">
    <w:abstractNumId w:val="10"/>
  </w:num>
  <w:num w:numId="2" w16cid:durableId="735519720">
    <w:abstractNumId w:val="13"/>
  </w:num>
  <w:num w:numId="3" w16cid:durableId="14801519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128845">
    <w:abstractNumId w:val="8"/>
  </w:num>
  <w:num w:numId="5" w16cid:durableId="1462267129">
    <w:abstractNumId w:val="5"/>
  </w:num>
  <w:num w:numId="6" w16cid:durableId="30304705">
    <w:abstractNumId w:val="3"/>
  </w:num>
  <w:num w:numId="7" w16cid:durableId="1946382598">
    <w:abstractNumId w:val="12"/>
  </w:num>
  <w:num w:numId="8" w16cid:durableId="1288660374">
    <w:abstractNumId w:val="2"/>
  </w:num>
  <w:num w:numId="9" w16cid:durableId="6581174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583421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3017233">
    <w:abstractNumId w:val="14"/>
  </w:num>
  <w:num w:numId="12" w16cid:durableId="11056609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932252">
    <w:abstractNumId w:val="1"/>
  </w:num>
  <w:num w:numId="14" w16cid:durableId="1499928838">
    <w:abstractNumId w:val="4"/>
  </w:num>
  <w:num w:numId="15" w16cid:durableId="1662931471">
    <w:abstractNumId w:val="7"/>
  </w:num>
  <w:num w:numId="16" w16cid:durableId="1595163430">
    <w:abstractNumId w:val="6"/>
  </w:num>
  <w:num w:numId="17" w16cid:durableId="13921965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6A"/>
    <w:rsid w:val="000513C8"/>
    <w:rsid w:val="00090CCB"/>
    <w:rsid w:val="00147D08"/>
    <w:rsid w:val="00184C0C"/>
    <w:rsid w:val="00184DC4"/>
    <w:rsid w:val="00193323"/>
    <w:rsid w:val="0019694D"/>
    <w:rsid w:val="001A4231"/>
    <w:rsid w:val="001A7286"/>
    <w:rsid w:val="001F1E2D"/>
    <w:rsid w:val="00323576"/>
    <w:rsid w:val="003523B1"/>
    <w:rsid w:val="0036788D"/>
    <w:rsid w:val="00397200"/>
    <w:rsid w:val="003B2B72"/>
    <w:rsid w:val="00457A82"/>
    <w:rsid w:val="00465331"/>
    <w:rsid w:val="0049107C"/>
    <w:rsid w:val="004B21BA"/>
    <w:rsid w:val="00540C09"/>
    <w:rsid w:val="0054355D"/>
    <w:rsid w:val="00547FA0"/>
    <w:rsid w:val="00570D25"/>
    <w:rsid w:val="005A4603"/>
    <w:rsid w:val="00674DAD"/>
    <w:rsid w:val="00732973"/>
    <w:rsid w:val="007F43DA"/>
    <w:rsid w:val="008D39C6"/>
    <w:rsid w:val="00987B0A"/>
    <w:rsid w:val="009C3471"/>
    <w:rsid w:val="00A30012"/>
    <w:rsid w:val="00A37B63"/>
    <w:rsid w:val="00A77182"/>
    <w:rsid w:val="00AC3134"/>
    <w:rsid w:val="00B3116F"/>
    <w:rsid w:val="00B63772"/>
    <w:rsid w:val="00BB1D21"/>
    <w:rsid w:val="00BD136F"/>
    <w:rsid w:val="00C10498"/>
    <w:rsid w:val="00C14A6A"/>
    <w:rsid w:val="00C30E04"/>
    <w:rsid w:val="00C64944"/>
    <w:rsid w:val="00D01419"/>
    <w:rsid w:val="00D4751E"/>
    <w:rsid w:val="00DB39CD"/>
    <w:rsid w:val="00DC4617"/>
    <w:rsid w:val="00E00A3A"/>
    <w:rsid w:val="00E41139"/>
    <w:rsid w:val="00E5754A"/>
    <w:rsid w:val="00EA18FC"/>
    <w:rsid w:val="00EC5F10"/>
    <w:rsid w:val="00ED1CCB"/>
    <w:rsid w:val="00F444A7"/>
    <w:rsid w:val="00F64ED1"/>
    <w:rsid w:val="00F72F59"/>
    <w:rsid w:val="00FA33EB"/>
    <w:rsid w:val="00FE0E5E"/>
    <w:rsid w:val="00FE29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EB776"/>
  <w15:docId w15:val="{689D4C43-4A2A-4A70-BEFC-5FC1782C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4A7"/>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uiPriority w:val="9"/>
    <w:qFormat/>
    <w:rsid w:val="00BB1D2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F444A7"/>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C14A6A"/>
    <w:pPr>
      <w:tabs>
        <w:tab w:val="center" w:pos="4680"/>
        <w:tab w:val="right" w:pos="9360"/>
      </w:tabs>
    </w:pPr>
  </w:style>
  <w:style w:type="character" w:customStyle="1" w:styleId="HeaderChar">
    <w:name w:val="Header Char"/>
    <w:basedOn w:val="DefaultParagraphFont"/>
    <w:link w:val="Header"/>
    <w:rsid w:val="00C14A6A"/>
  </w:style>
  <w:style w:type="paragraph" w:styleId="Footer">
    <w:name w:val="footer"/>
    <w:basedOn w:val="Normal"/>
    <w:link w:val="FooterChar"/>
    <w:uiPriority w:val="99"/>
    <w:unhideWhenUsed/>
    <w:rsid w:val="00C14A6A"/>
    <w:pPr>
      <w:tabs>
        <w:tab w:val="center" w:pos="4680"/>
        <w:tab w:val="right" w:pos="9360"/>
      </w:tabs>
    </w:pPr>
  </w:style>
  <w:style w:type="character" w:customStyle="1" w:styleId="FooterChar">
    <w:name w:val="Footer Char"/>
    <w:basedOn w:val="DefaultParagraphFont"/>
    <w:link w:val="Footer"/>
    <w:uiPriority w:val="99"/>
    <w:rsid w:val="00C14A6A"/>
  </w:style>
  <w:style w:type="character" w:styleId="Hyperlink">
    <w:name w:val="Hyperlink"/>
    <w:basedOn w:val="DefaultParagraphFont"/>
    <w:uiPriority w:val="99"/>
    <w:unhideWhenUsed/>
    <w:rsid w:val="00C14A6A"/>
    <w:rPr>
      <w:color w:val="0000FF" w:themeColor="hyperlink"/>
      <w:u w:val="single"/>
    </w:rPr>
  </w:style>
  <w:style w:type="character" w:customStyle="1" w:styleId="Heading3Char">
    <w:name w:val="Heading 3 Char"/>
    <w:basedOn w:val="DefaultParagraphFont"/>
    <w:link w:val="Heading3"/>
    <w:rsid w:val="00F444A7"/>
    <w:rPr>
      <w:rFonts w:ascii="Arial" w:eastAsia="SimSun" w:hAnsi="Arial" w:cs="Arial"/>
      <w:b/>
      <w:bCs/>
      <w:sz w:val="26"/>
      <w:szCs w:val="26"/>
      <w:lang w:val="en-AU" w:eastAsia="zh-CN"/>
    </w:rPr>
  </w:style>
  <w:style w:type="paragraph" w:customStyle="1" w:styleId="IEEEAuthorName">
    <w:name w:val="IEEE Author Name"/>
    <w:basedOn w:val="Normal"/>
    <w:next w:val="Normal"/>
    <w:rsid w:val="00F444A7"/>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F444A7"/>
    <w:pPr>
      <w:spacing w:after="60"/>
      <w:jc w:val="center"/>
    </w:pPr>
    <w:rPr>
      <w:rFonts w:eastAsia="Times New Roman"/>
      <w:i/>
      <w:sz w:val="20"/>
      <w:lang w:val="en-GB" w:eastAsia="en-GB"/>
    </w:rPr>
  </w:style>
  <w:style w:type="paragraph" w:customStyle="1" w:styleId="IEEEHeading2">
    <w:name w:val="IEEE Heading 2"/>
    <w:basedOn w:val="Normal"/>
    <w:next w:val="IEEEParagraph"/>
    <w:rsid w:val="00F444A7"/>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F444A7"/>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F444A7"/>
    <w:rPr>
      <w:i/>
    </w:rPr>
  </w:style>
  <w:style w:type="character" w:customStyle="1" w:styleId="IEEEAbstractHeadingChar">
    <w:name w:val="IEEE Abstract Heading Char"/>
    <w:link w:val="IEEEAbstractHeading"/>
    <w:rsid w:val="00F444A7"/>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F444A7"/>
    <w:pPr>
      <w:adjustRightInd w:val="0"/>
      <w:snapToGrid w:val="0"/>
      <w:jc w:val="both"/>
    </w:pPr>
    <w:rPr>
      <w:b/>
      <w:sz w:val="18"/>
      <w:lang w:val="en-GB" w:eastAsia="en-GB"/>
    </w:rPr>
  </w:style>
  <w:style w:type="character" w:customStyle="1" w:styleId="IEEEAbtractChar">
    <w:name w:val="IEEE Abtract Char"/>
    <w:link w:val="IEEEAbtract"/>
    <w:rsid w:val="00F444A7"/>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F444A7"/>
    <w:pPr>
      <w:adjustRightInd w:val="0"/>
      <w:snapToGrid w:val="0"/>
      <w:ind w:firstLine="216"/>
      <w:jc w:val="both"/>
    </w:pPr>
    <w:rPr>
      <w:sz w:val="20"/>
    </w:rPr>
  </w:style>
  <w:style w:type="paragraph" w:customStyle="1" w:styleId="IEEETableCell">
    <w:name w:val="IEEE Table Cell"/>
    <w:basedOn w:val="IEEEParagraph"/>
    <w:rsid w:val="00F444A7"/>
    <w:pPr>
      <w:ind w:firstLine="0"/>
      <w:jc w:val="left"/>
    </w:pPr>
    <w:rPr>
      <w:sz w:val="18"/>
    </w:rPr>
  </w:style>
  <w:style w:type="paragraph" w:customStyle="1" w:styleId="IEEETitle">
    <w:name w:val="IEEE Title"/>
    <w:basedOn w:val="Normal"/>
    <w:next w:val="IEEEAuthorName"/>
    <w:rsid w:val="00F444A7"/>
    <w:pPr>
      <w:adjustRightInd w:val="0"/>
      <w:snapToGrid w:val="0"/>
      <w:jc w:val="center"/>
    </w:pPr>
    <w:rPr>
      <w:sz w:val="48"/>
    </w:rPr>
  </w:style>
  <w:style w:type="paragraph" w:customStyle="1" w:styleId="IEEEHeading3">
    <w:name w:val="IEEE Heading 3"/>
    <w:basedOn w:val="Normal"/>
    <w:next w:val="IEEEParagraph"/>
    <w:link w:val="IEEEHeading3Char"/>
    <w:rsid w:val="00F444A7"/>
    <w:pPr>
      <w:numPr>
        <w:numId w:val="2"/>
      </w:numPr>
      <w:adjustRightInd w:val="0"/>
      <w:snapToGrid w:val="0"/>
      <w:spacing w:before="120" w:after="60"/>
      <w:ind w:firstLine="216"/>
      <w:jc w:val="both"/>
    </w:pPr>
    <w:rPr>
      <w:i/>
      <w:sz w:val="20"/>
    </w:rPr>
  </w:style>
  <w:style w:type="paragraph" w:styleId="Caption">
    <w:name w:val="caption"/>
    <w:basedOn w:val="Normal"/>
    <w:next w:val="Normal"/>
    <w:qFormat/>
    <w:rsid w:val="00F444A7"/>
    <w:pPr>
      <w:spacing w:before="120" w:after="120"/>
    </w:pPr>
    <w:rPr>
      <w:b/>
      <w:bCs/>
      <w:sz w:val="20"/>
      <w:szCs w:val="20"/>
    </w:rPr>
  </w:style>
  <w:style w:type="character" w:customStyle="1" w:styleId="IEEEParagraphChar">
    <w:name w:val="IEEE Paragraph Char"/>
    <w:link w:val="IEEEParagraph"/>
    <w:rsid w:val="00F444A7"/>
    <w:rPr>
      <w:rFonts w:ascii="Times New Roman" w:eastAsia="SimSun" w:hAnsi="Times New Roman" w:cs="Times New Roman"/>
      <w:sz w:val="20"/>
      <w:szCs w:val="24"/>
      <w:lang w:val="en-AU" w:eastAsia="zh-CN"/>
    </w:rPr>
  </w:style>
  <w:style w:type="numbering" w:customStyle="1" w:styleId="IEEEBullet1">
    <w:name w:val="IEEE Bullet 1"/>
    <w:basedOn w:val="NoList"/>
    <w:rsid w:val="00F444A7"/>
    <w:pPr>
      <w:numPr>
        <w:numId w:val="4"/>
      </w:numPr>
    </w:pPr>
  </w:style>
  <w:style w:type="paragraph" w:customStyle="1" w:styleId="IEEEFigureCaptionSingle-Line">
    <w:name w:val="IEEE Figure Caption Single-Line"/>
    <w:basedOn w:val="Normal"/>
    <w:next w:val="IEEEParagraph"/>
    <w:rsid w:val="00F444A7"/>
    <w:pPr>
      <w:spacing w:before="120" w:after="120"/>
      <w:jc w:val="center"/>
    </w:pPr>
    <w:rPr>
      <w:sz w:val="16"/>
    </w:rPr>
  </w:style>
  <w:style w:type="character" w:customStyle="1" w:styleId="IEEEHeading3Char">
    <w:name w:val="IEEE Heading 3 Char"/>
    <w:link w:val="IEEEHeading3"/>
    <w:rsid w:val="00F444A7"/>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F444A7"/>
    <w:pPr>
      <w:jc w:val="center"/>
    </w:pPr>
  </w:style>
  <w:style w:type="paragraph" w:customStyle="1" w:styleId="IEEEReferenceItem">
    <w:name w:val="IEEE Reference Item"/>
    <w:basedOn w:val="Normal"/>
    <w:rsid w:val="00F444A7"/>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F444A7"/>
    <w:pPr>
      <w:jc w:val="both"/>
    </w:pPr>
  </w:style>
  <w:style w:type="paragraph" w:customStyle="1" w:styleId="IEEETableHeaderCentered">
    <w:name w:val="IEEE Table Header Centered"/>
    <w:basedOn w:val="IEEETableCell"/>
    <w:rsid w:val="00F444A7"/>
    <w:pPr>
      <w:jc w:val="center"/>
    </w:pPr>
    <w:rPr>
      <w:b/>
      <w:bCs/>
    </w:rPr>
  </w:style>
  <w:style w:type="paragraph" w:customStyle="1" w:styleId="IEEETableHeaderLeft-Justified">
    <w:name w:val="IEEE Table Header Left-Justified"/>
    <w:basedOn w:val="IEEETableCell"/>
    <w:rsid w:val="00F444A7"/>
    <w:rPr>
      <w:b/>
      <w:bCs/>
    </w:rPr>
  </w:style>
  <w:style w:type="character" w:styleId="PageNumber">
    <w:name w:val="page number"/>
    <w:rsid w:val="00F444A7"/>
  </w:style>
  <w:style w:type="paragraph" w:styleId="BalloonText">
    <w:name w:val="Balloon Text"/>
    <w:basedOn w:val="Normal"/>
    <w:link w:val="BalloonTextChar"/>
    <w:uiPriority w:val="99"/>
    <w:semiHidden/>
    <w:unhideWhenUsed/>
    <w:rsid w:val="00F444A7"/>
    <w:rPr>
      <w:rFonts w:ascii="Tahoma" w:hAnsi="Tahoma" w:cs="Tahoma"/>
      <w:sz w:val="16"/>
      <w:szCs w:val="16"/>
    </w:rPr>
  </w:style>
  <w:style w:type="character" w:customStyle="1" w:styleId="BalloonTextChar">
    <w:name w:val="Balloon Text Char"/>
    <w:basedOn w:val="DefaultParagraphFont"/>
    <w:link w:val="BalloonText"/>
    <w:uiPriority w:val="99"/>
    <w:semiHidden/>
    <w:rsid w:val="00F444A7"/>
    <w:rPr>
      <w:rFonts w:ascii="Tahoma" w:eastAsia="SimSun" w:hAnsi="Tahoma" w:cs="Tahoma"/>
      <w:sz w:val="16"/>
      <w:szCs w:val="16"/>
      <w:lang w:val="en-AU" w:eastAsia="zh-CN"/>
    </w:rPr>
  </w:style>
  <w:style w:type="character" w:styleId="Strong">
    <w:name w:val="Strong"/>
    <w:basedOn w:val="DefaultParagraphFont"/>
    <w:uiPriority w:val="22"/>
    <w:qFormat/>
    <w:rsid w:val="00E00A3A"/>
    <w:rPr>
      <w:b/>
      <w:bCs/>
    </w:rPr>
  </w:style>
  <w:style w:type="character" w:customStyle="1" w:styleId="Heading1Char">
    <w:name w:val="Heading 1 Char"/>
    <w:basedOn w:val="DefaultParagraphFont"/>
    <w:link w:val="Heading1"/>
    <w:uiPriority w:val="9"/>
    <w:rsid w:val="00BB1D21"/>
    <w:rPr>
      <w:rFonts w:asciiTheme="majorHAnsi" w:eastAsiaTheme="majorEastAsia" w:hAnsiTheme="majorHAnsi" w:cstheme="majorBidi"/>
      <w:color w:val="365F91" w:themeColor="accent1" w:themeShade="BF"/>
      <w:sz w:val="32"/>
      <w:szCs w:val="32"/>
      <w:lang w:val="en-AU" w:eastAsia="zh-CN"/>
    </w:rPr>
  </w:style>
  <w:style w:type="character" w:styleId="UnresolvedMention">
    <w:name w:val="Unresolved Mention"/>
    <w:basedOn w:val="DefaultParagraphFont"/>
    <w:uiPriority w:val="99"/>
    <w:semiHidden/>
    <w:unhideWhenUsed/>
    <w:rsid w:val="00EC5F10"/>
    <w:rPr>
      <w:color w:val="605E5C"/>
      <w:shd w:val="clear" w:color="auto" w:fill="E1DFDD"/>
    </w:rPr>
  </w:style>
  <w:style w:type="paragraph" w:styleId="ListParagraph">
    <w:name w:val="List Paragraph"/>
    <w:basedOn w:val="Normal"/>
    <w:uiPriority w:val="34"/>
    <w:qFormat/>
    <w:rsid w:val="00C64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27835">
      <w:bodyDiv w:val="1"/>
      <w:marLeft w:val="0"/>
      <w:marRight w:val="0"/>
      <w:marTop w:val="0"/>
      <w:marBottom w:val="0"/>
      <w:divBdr>
        <w:top w:val="none" w:sz="0" w:space="0" w:color="auto"/>
        <w:left w:val="none" w:sz="0" w:space="0" w:color="auto"/>
        <w:bottom w:val="none" w:sz="0" w:space="0" w:color="auto"/>
        <w:right w:val="none" w:sz="0" w:space="0" w:color="auto"/>
      </w:divBdr>
    </w:div>
    <w:div w:id="490946205">
      <w:bodyDiv w:val="1"/>
      <w:marLeft w:val="0"/>
      <w:marRight w:val="0"/>
      <w:marTop w:val="0"/>
      <w:marBottom w:val="0"/>
      <w:divBdr>
        <w:top w:val="none" w:sz="0" w:space="0" w:color="auto"/>
        <w:left w:val="none" w:sz="0" w:space="0" w:color="auto"/>
        <w:bottom w:val="none" w:sz="0" w:space="0" w:color="auto"/>
        <w:right w:val="none" w:sz="0" w:space="0" w:color="auto"/>
      </w:divBdr>
    </w:div>
    <w:div w:id="514271617">
      <w:bodyDiv w:val="1"/>
      <w:marLeft w:val="0"/>
      <w:marRight w:val="0"/>
      <w:marTop w:val="0"/>
      <w:marBottom w:val="0"/>
      <w:divBdr>
        <w:top w:val="none" w:sz="0" w:space="0" w:color="auto"/>
        <w:left w:val="none" w:sz="0" w:space="0" w:color="auto"/>
        <w:bottom w:val="none" w:sz="0" w:space="0" w:color="auto"/>
        <w:right w:val="none" w:sz="0" w:space="0" w:color="auto"/>
      </w:divBdr>
    </w:div>
    <w:div w:id="614139775">
      <w:bodyDiv w:val="1"/>
      <w:marLeft w:val="0"/>
      <w:marRight w:val="0"/>
      <w:marTop w:val="0"/>
      <w:marBottom w:val="0"/>
      <w:divBdr>
        <w:top w:val="none" w:sz="0" w:space="0" w:color="auto"/>
        <w:left w:val="none" w:sz="0" w:space="0" w:color="auto"/>
        <w:bottom w:val="none" w:sz="0" w:space="0" w:color="auto"/>
        <w:right w:val="none" w:sz="0" w:space="0" w:color="auto"/>
      </w:divBdr>
    </w:div>
    <w:div w:id="634411023">
      <w:bodyDiv w:val="1"/>
      <w:marLeft w:val="0"/>
      <w:marRight w:val="0"/>
      <w:marTop w:val="0"/>
      <w:marBottom w:val="0"/>
      <w:divBdr>
        <w:top w:val="none" w:sz="0" w:space="0" w:color="auto"/>
        <w:left w:val="none" w:sz="0" w:space="0" w:color="auto"/>
        <w:bottom w:val="none" w:sz="0" w:space="0" w:color="auto"/>
        <w:right w:val="none" w:sz="0" w:space="0" w:color="auto"/>
      </w:divBdr>
    </w:div>
    <w:div w:id="745610907">
      <w:bodyDiv w:val="1"/>
      <w:marLeft w:val="0"/>
      <w:marRight w:val="0"/>
      <w:marTop w:val="0"/>
      <w:marBottom w:val="0"/>
      <w:divBdr>
        <w:top w:val="none" w:sz="0" w:space="0" w:color="auto"/>
        <w:left w:val="none" w:sz="0" w:space="0" w:color="auto"/>
        <w:bottom w:val="none" w:sz="0" w:space="0" w:color="auto"/>
        <w:right w:val="none" w:sz="0" w:space="0" w:color="auto"/>
      </w:divBdr>
    </w:div>
    <w:div w:id="852649674">
      <w:bodyDiv w:val="1"/>
      <w:marLeft w:val="0"/>
      <w:marRight w:val="0"/>
      <w:marTop w:val="0"/>
      <w:marBottom w:val="0"/>
      <w:divBdr>
        <w:top w:val="none" w:sz="0" w:space="0" w:color="auto"/>
        <w:left w:val="none" w:sz="0" w:space="0" w:color="auto"/>
        <w:bottom w:val="none" w:sz="0" w:space="0" w:color="auto"/>
        <w:right w:val="none" w:sz="0" w:space="0" w:color="auto"/>
      </w:divBdr>
    </w:div>
    <w:div w:id="1086658124">
      <w:bodyDiv w:val="1"/>
      <w:marLeft w:val="0"/>
      <w:marRight w:val="0"/>
      <w:marTop w:val="0"/>
      <w:marBottom w:val="0"/>
      <w:divBdr>
        <w:top w:val="none" w:sz="0" w:space="0" w:color="auto"/>
        <w:left w:val="none" w:sz="0" w:space="0" w:color="auto"/>
        <w:bottom w:val="none" w:sz="0" w:space="0" w:color="auto"/>
        <w:right w:val="none" w:sz="0" w:space="0" w:color="auto"/>
      </w:divBdr>
    </w:div>
    <w:div w:id="1197735995">
      <w:bodyDiv w:val="1"/>
      <w:marLeft w:val="0"/>
      <w:marRight w:val="0"/>
      <w:marTop w:val="0"/>
      <w:marBottom w:val="0"/>
      <w:divBdr>
        <w:top w:val="none" w:sz="0" w:space="0" w:color="auto"/>
        <w:left w:val="none" w:sz="0" w:space="0" w:color="auto"/>
        <w:bottom w:val="none" w:sz="0" w:space="0" w:color="auto"/>
        <w:right w:val="none" w:sz="0" w:space="0" w:color="auto"/>
      </w:divBdr>
    </w:div>
    <w:div w:id="1201241971">
      <w:bodyDiv w:val="1"/>
      <w:marLeft w:val="0"/>
      <w:marRight w:val="0"/>
      <w:marTop w:val="0"/>
      <w:marBottom w:val="0"/>
      <w:divBdr>
        <w:top w:val="none" w:sz="0" w:space="0" w:color="auto"/>
        <w:left w:val="none" w:sz="0" w:space="0" w:color="auto"/>
        <w:bottom w:val="none" w:sz="0" w:space="0" w:color="auto"/>
        <w:right w:val="none" w:sz="0" w:space="0" w:color="auto"/>
      </w:divBdr>
    </w:div>
    <w:div w:id="1245384124">
      <w:bodyDiv w:val="1"/>
      <w:marLeft w:val="0"/>
      <w:marRight w:val="0"/>
      <w:marTop w:val="0"/>
      <w:marBottom w:val="0"/>
      <w:divBdr>
        <w:top w:val="none" w:sz="0" w:space="0" w:color="auto"/>
        <w:left w:val="none" w:sz="0" w:space="0" w:color="auto"/>
        <w:bottom w:val="none" w:sz="0" w:space="0" w:color="auto"/>
        <w:right w:val="none" w:sz="0" w:space="0" w:color="auto"/>
      </w:divBdr>
    </w:div>
    <w:div w:id="1476415632">
      <w:bodyDiv w:val="1"/>
      <w:marLeft w:val="0"/>
      <w:marRight w:val="0"/>
      <w:marTop w:val="0"/>
      <w:marBottom w:val="0"/>
      <w:divBdr>
        <w:top w:val="none" w:sz="0" w:space="0" w:color="auto"/>
        <w:left w:val="none" w:sz="0" w:space="0" w:color="auto"/>
        <w:bottom w:val="none" w:sz="0" w:space="0" w:color="auto"/>
        <w:right w:val="none" w:sz="0" w:space="0" w:color="auto"/>
      </w:divBdr>
    </w:div>
    <w:div w:id="1480267605">
      <w:bodyDiv w:val="1"/>
      <w:marLeft w:val="0"/>
      <w:marRight w:val="0"/>
      <w:marTop w:val="0"/>
      <w:marBottom w:val="0"/>
      <w:divBdr>
        <w:top w:val="none" w:sz="0" w:space="0" w:color="auto"/>
        <w:left w:val="none" w:sz="0" w:space="0" w:color="auto"/>
        <w:bottom w:val="none" w:sz="0" w:space="0" w:color="auto"/>
        <w:right w:val="none" w:sz="0" w:space="0" w:color="auto"/>
      </w:divBdr>
    </w:div>
    <w:div w:id="1588343870">
      <w:bodyDiv w:val="1"/>
      <w:marLeft w:val="0"/>
      <w:marRight w:val="0"/>
      <w:marTop w:val="0"/>
      <w:marBottom w:val="0"/>
      <w:divBdr>
        <w:top w:val="none" w:sz="0" w:space="0" w:color="auto"/>
        <w:left w:val="none" w:sz="0" w:space="0" w:color="auto"/>
        <w:bottom w:val="none" w:sz="0" w:space="0" w:color="auto"/>
        <w:right w:val="none" w:sz="0" w:space="0" w:color="auto"/>
      </w:divBdr>
    </w:div>
    <w:div w:id="1791050743">
      <w:bodyDiv w:val="1"/>
      <w:marLeft w:val="0"/>
      <w:marRight w:val="0"/>
      <w:marTop w:val="0"/>
      <w:marBottom w:val="0"/>
      <w:divBdr>
        <w:top w:val="none" w:sz="0" w:space="0" w:color="auto"/>
        <w:left w:val="none" w:sz="0" w:space="0" w:color="auto"/>
        <w:bottom w:val="none" w:sz="0" w:space="0" w:color="auto"/>
        <w:right w:val="none" w:sz="0" w:space="0" w:color="auto"/>
      </w:divBdr>
    </w:div>
    <w:div w:id="192028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2geethabade11@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doi.org/10.55529/ijitc.22.1.11" TargetMode="External"/><Relationship Id="rId2" Type="http://schemas.openxmlformats.org/officeDocument/2006/relationships/hyperlink" Target="http://journal.hmjournals.com/index.php/IJITC" TargetMode="External"/><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hyperlink" Target="https://cibg.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11</Pages>
  <Words>4448</Words>
  <Characters>25354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Veera Vasu Sriphalya Akula</cp:lastModifiedBy>
  <cp:revision>6</cp:revision>
  <dcterms:created xsi:type="dcterms:W3CDTF">2024-05-14T05:50:00Z</dcterms:created>
  <dcterms:modified xsi:type="dcterms:W3CDTF">2024-05-15T09:34:00Z</dcterms:modified>
</cp:coreProperties>
</file>