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EV Market Analysis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>
        <w:drawing>
          <wp:inline>
            <wp:extent cx="4937760" cy="4073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7352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Data Sources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Raw EV vehicle data: train file (200,000 rows) and test file (100,000 rows), 37 columns per row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CSV files (ev_market_train.csv, ev_market_test.csv)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Data Ingestion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Loads the CSV files into the analytics tool and checks data types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Tableau Desktop (Connect to Text File)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Data Preparation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Removes 1 duplicate row and checks nulls in key columns before analysis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Python (pandas)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Data Storage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Holds the cleaned data as a Tableau extract for fast dashboard loading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Cleaned CSV, Tableau Data Extract (.hyper)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Analytics / BI Layer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Calculates KPIs and derived fields: Est Revenue, Price per km, Battery Health %, Charging Band, Vehicle Type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Tableau Desktop calculated fields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Reporting / Visualization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9 worksheets, 1 dashboard with KPI cards and filters, 1 five-point story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Tableau Desktop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Publishing &amp; Version Control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Shares the dashboard link and stores data, screenshots, and README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Tableau Public, GitHub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Business Users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Market analysts, first-time EV buyers, and managers who read insights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r>
                  <w:t>Web browser (Tableau Public link)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