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2024</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t>EV Market Analysis (Tableau)</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
        <w:rPr>
          <w:b/>
        </w:rPr>
        <w:t>1. Which vehicle categories sell the most units?</w:t>
      </w:r>
    </w:p>
    <w:p>
      <w:r>
        <w:rPr>
          <w:b/>
        </w:rPr>
        <w:t xml:space="preserve">Visualization: </w:t>
      </w:r>
      <w:r>
        <w:t>Horizontal bar chart: SUM(annual_sales_units) by category, sorted high to low.</w:t>
      </w:r>
    </w:p>
    <w:p>
      <w:r>
        <w:rPr>
          <w:b/>
        </w:rPr>
        <w:t xml:space="preserve">Key finding: </w:t>
      </w:r>
      <w:r>
        <w:t>Two-Wheeler Scooter leads with about 174.6 million units, followed by Hatchback at about 154.9 million. Compact SUV and Sedan are about 153 million each.</w:t>
      </w:r>
    </w:p>
    <w:p>
      <w:r>
        <w:t>[Insert Tableau screenshot of this visualisation here]</w:t>
      </w:r>
    </w:p>
    <w:p>
      <w:r>
        <w:rPr>
          <w:b/>
        </w:rPr>
        <w:t>2. Which manufacturers lead in annual sales?</w:t>
      </w:r>
    </w:p>
    <w:p>
      <w:r>
        <w:rPr>
          <w:b/>
        </w:rPr>
        <w:t xml:space="preserve">Visualization: </w:t>
      </w:r>
      <w:r>
        <w:t>Bar chart: top 10 manufacturers by SUM(annual_sales_units).</w:t>
      </w:r>
    </w:p>
    <w:p>
      <w:r>
        <w:rPr>
          <w:b/>
        </w:rPr>
        <w:t xml:space="preserve">Key finding: </w:t>
      </w:r>
      <w:r>
        <w:t>AmpereWorks leads with about 9.45 million units, but the whole top 10 sits in a narrow band of 8.66 to 9.45 million, so no brand dominates.</w:t>
      </w:r>
    </w:p>
    <w:p>
      <w:r>
        <w:t>[Insert Tableau screenshot of this visualisation here]</w:t>
      </w:r>
    </w:p>
    <w:p>
      <w:r>
        <w:rPr>
          <w:b/>
        </w:rPr>
        <w:t>3. How is sales share spread across regions?</w:t>
      </w:r>
    </w:p>
    <w:p>
      <w:r>
        <w:rPr>
          <w:b/>
        </w:rPr>
        <w:t xml:space="preserve">Visualization: </w:t>
      </w:r>
      <w:r>
        <w:t>Bar chart with a table calculation (percent of total) by market_region.</w:t>
      </w:r>
    </w:p>
    <w:p>
      <w:r>
        <w:rPr>
          <w:b/>
        </w:rPr>
        <w:t xml:space="preserve">Key finding: </w:t>
      </w:r>
      <w:r>
        <w:t>All seven regions hold between 14.0% and 14.4% of sales, so the market is spread almost evenly.</w:t>
      </w:r>
    </w:p>
    <w:p>
      <w:r>
        <w:t>[Insert Tableau screenshot of this visualisation here]</w:t>
      </w:r>
    </w:p>
    <w:p>
      <w:r>
        <w:rPr>
          <w:b/>
        </w:rPr>
        <w:t>4. Which battery type degrades least over 5 years?</w:t>
      </w:r>
    </w:p>
    <w:p>
      <w:r>
        <w:rPr>
          <w:b/>
        </w:rPr>
        <w:t xml:space="preserve">Visualization: </w:t>
      </w:r>
      <w:r>
        <w:t>Bar chart: AVG(battery_degradation_pct_5yr) by battery_type.</w:t>
      </w:r>
    </w:p>
    <w:p>
      <w:r>
        <w:rPr>
          <w:b/>
        </w:rPr>
        <w:t xml:space="preserve">Key finding: </w:t>
      </w:r>
      <w:r>
        <w:t>Solid-State has the lowest average degradation at 7.4%, then LFP at 10.1%. NMC, NCA and Sodium-Ion are all about 14%.</w:t>
      </w:r>
    </w:p>
    <w:p>
      <w:r>
        <w:t>[Insert Tableau screenshot of this visualisation here]</w:t>
      </w:r>
    </w:p>
    <w:p>
      <w:r>
        <w:rPr>
          <w:b/>
        </w:rPr>
        <w:t>5. How do price and range vary across categories?</w:t>
      </w:r>
    </w:p>
    <w:p>
      <w:r>
        <w:rPr>
          <w:b/>
        </w:rPr>
        <w:t xml:space="preserve">Visualization: </w:t>
      </w:r>
      <w:r>
        <w:t>Scatter plot: AVG(price_usd) vs AVG(range_km) for each category.</w:t>
      </w:r>
    </w:p>
    <w:p>
      <w:r>
        <w:rPr>
          <w:b/>
        </w:rPr>
        <w:t xml:space="preserve">Key finding: </w:t>
      </w:r>
      <w:r>
        <w:t>Two-wheelers are cheapest ($2,555, 105 km). Electric Bus ($274,543, 270 km) and Electric Truck ($167,749, 226 km) cost the most but do not have the longest range. Sports Car has the top range among expensive cars (375 km at $163,593).</w:t>
      </w:r>
    </w:p>
    <w:p>
      <w:r>
        <w:t>[Insert Tableau screenshot of this visualisation here]</w:t>
      </w:r>
    </w:p>
    <w:p>
      <w:r>
        <w:rPr>
          <w:b/>
        </w:rPr>
        <w:t>6. Does fast charging reduce the charging time?</w:t>
      </w:r>
    </w:p>
    <w:p>
      <w:r>
        <w:rPr>
          <w:b/>
        </w:rPr>
        <w:t xml:space="preserve">Visualization: </w:t>
      </w:r>
      <w:r>
        <w:t>Bar chart: AVG(charging_dc_fast_time_min) by Charging Band (Fast, Medium, Slow).</w:t>
      </w:r>
    </w:p>
    <w:p>
      <w:r>
        <w:rPr>
          <w:b/>
        </w:rPr>
        <w:t xml:space="preserve">Key finding: </w:t>
      </w:r>
      <w:r>
        <w:t>No. Fast (150+ kW) averages 20.8 minutes, Medium 21.9 minutes and Slow 20.5 minutes. This does not support our earlier assumption that faster charging gives much shorter charging times.</w:t>
      </w:r>
    </w:p>
    <w:p>
      <w:r>
        <w:t>[Insert Tableau screenshot of this visualisation here]</w:t>
      </w:r>
    </w:p>
    <w:p>
      <w:r>
        <w:rPr>
          <w:b/>
        </w:rPr>
        <w:t>7. How have price and range changed across model years (2018 to 2026)?</w:t>
      </w:r>
    </w:p>
    <w:p>
      <w:r>
        <w:rPr>
          <w:b/>
        </w:rPr>
        <w:t xml:space="preserve">Visualization: </w:t>
      </w:r>
      <w:r>
        <w:t>Dual line chart: AVG(price_usd) and AVG(range_km) by model_year.</w:t>
      </w:r>
    </w:p>
    <w:p>
      <w:r>
        <w:rPr>
          <w:b/>
        </w:rPr>
        <w:t xml:space="preserve">Key finding: </w:t>
      </w:r>
      <w:r>
        <w:t>Average price stays between $64,227 and $65,544 and average range between 323 and 326 km. There is no clear upward or downward trend.</w:t>
      </w:r>
    </w:p>
    <w:p>
      <w:r>
        <w:t>[Insert Tableau screenshot of this visualisation here]</w:t>
      </w:r>
    </w:p>
    <w:p>
      <w:r>
        <w:rPr>
          <w:b/>
        </w:rPr>
        <w:t>8. Which recommended use case generates the most sales?</w:t>
      </w:r>
    </w:p>
    <w:p>
      <w:r>
        <w:rPr>
          <w:b/>
        </w:rPr>
        <w:t xml:space="preserve">Visualization: </w:t>
      </w:r>
      <w:r>
        <w:t>Horizontal bar chart: SUM(annual_sales_units) by recommended_use_case.</w:t>
      </w:r>
    </w:p>
    <w:p>
      <w:r>
        <w:rPr>
          <w:b/>
        </w:rPr>
        <w:t xml:space="preserve">Key finding: </w:t>
      </w:r>
      <w:r>
        <w:t>Family Daily Use leads with about 617 million units (about 40% of sales), followed by Urban Commute at about 27%. Public Transport is the smallest segment.</w:t>
      </w:r>
    </w:p>
    <w:p>
      <w:r>
        <w:t>[Insert Tableau screenshot of this visualisation here]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