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September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>
        <w:drawing>
          <wp:inline>
            <wp:extent cx="2011680" cy="4632301"/>
            <wp:docPr id="1507075289" name="Picture 1507075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6323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>Story Points:</w:t>
      </w:r>
    </w:p>
    <w:p>
      <w:r>
        <w:rPr>
          <w:b/>
        </w:rPr>
        <w:t xml:space="preserve">Point 1, Introduction: </w:t>
      </w:r>
      <w:r>
        <w:t>We analysed 199,999 EV records with 37 columns. Each point below builds one part of the story.</w:t>
      </w:r>
    </w:p>
    <w:p>
      <w:r>
        <w:rPr>
          <w:b/>
        </w:rPr>
        <w:t xml:space="preserve">Point 2, Sales Leaders: </w:t>
      </w:r>
      <w:r>
        <w:t>Two-Wheeler Scooter and Hatchback lead unit sales. The top 10 manufacturers each sell between 8.7 and 9.5 million units.</w:t>
      </w:r>
    </w:p>
    <w:p>
      <w:r>
        <w:rPr>
          <w:b/>
        </w:rPr>
        <w:t xml:space="preserve">Point 3, Battery Health: </w:t>
      </w:r>
      <w:r>
        <w:t>Solid-State batteries degrade least over 5 years (7.4% on average), compared with about 14% for NMC, NCA and Sodium-Ion.</w:t>
      </w:r>
    </w:p>
    <w:p>
      <w:r>
        <w:rPr>
          <w:b/>
        </w:rPr>
        <w:t xml:space="preserve">Point 4, Customer Use: </w:t>
      </w:r>
      <w:r>
        <w:t>Family Daily Use accounts for about 40% of sales, followed by Urban Commute at about 27%.</w:t>
      </w:r>
    </w:p>
    <w:p>
      <w:r>
        <w:rPr>
          <w:b/>
        </w:rPr>
        <w:t xml:space="preserve">Point 5, Conclusion: </w:t>
      </w:r>
      <w:r>
        <w:t>Regions, model years and customer ratings are almost flat, and fast charging does not cut charging time in this data. Product and battery decisions should focus on category and battery type.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>Publish Story on Tableau Public and paste the public link below: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>
        <w:t>[Paste your Tableau Public story link here]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