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7A"/>
          <w:sz w:val="40"/>
        </w:rPr>
        <w:t>EV Market Analysis using Tableau</w:t>
      </w:r>
    </w:p>
    <w:p>
      <w:pPr>
        <w:jc w:val="center"/>
      </w:pPr>
      <w:r>
        <w:rPr>
          <w:i/>
        </w:rPr>
        <w:t>Project Report: data, dashboard, story and delivery plan</w:t>
      </w:r>
    </w:p>
    <w:p>
      <w:pPr>
        <w:pStyle w:val="Heading1"/>
      </w:pPr>
      <w:r>
        <w:t>1. Project Overview</w:t>
      </w:r>
    </w:p>
    <w:p>
      <w:r>
        <w:t>This project analyses an electric vehicle (EV) dataset to show market trends in sales, pricing, range, battery health and charging. The results are presented in a Tableau dashboard and a five-point Tableau story, and the work is shared through Tableau Public and GitHub.</w:t>
      </w:r>
    </w:p>
    <w:p>
      <w:r>
        <w:rPr>
          <w:b/>
        </w:rPr>
        <w:t xml:space="preserve">Problem: </w:t>
      </w:r>
      <w:r>
        <w:t>Analysts and first-time EV buyers have a large dataset with no single view to compare brands, regions, battery health and charging.</w:t>
      </w:r>
    </w:p>
    <w:p>
      <w:r>
        <w:rPr>
          <w:b/>
        </w:rPr>
        <w:t xml:space="preserve">Objective: </w:t>
      </w:r>
      <w:r>
        <w:t>Build an interactive dashboard (9 worksheets, KPI cards and filters) and a five-point story, then publish them.</w:t>
      </w:r>
    </w:p>
    <w:p>
      <w:pPr>
        <w:pStyle w:val="Heading1"/>
      </w:pPr>
      <w:r>
        <w:t>2. Dataset and Data Preparation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2736"/>
            <w:shd w:val="clear" w:color="auto" w:fill="DCEBFA"/>
          </w:tcPr>
          <w:p>
            <w:r>
              <w:rPr>
                <w:b/>
              </w:rPr>
              <w:t>File</w:t>
            </w:r>
          </w:p>
        </w:tc>
        <w:tc>
          <w:tcPr>
            <w:tcW w:type="dxa" w:w="3168"/>
            <w:shd w:val="clear" w:color="auto" w:fill="DCEBFA"/>
          </w:tcPr>
          <w:p>
            <w:r>
              <w:rPr>
                <w:b/>
              </w:rPr>
              <w:t>Rows</w:t>
            </w:r>
          </w:p>
        </w:tc>
        <w:tc>
          <w:tcPr>
            <w:tcW w:type="dxa" w:w="1152"/>
            <w:shd w:val="clear" w:color="auto" w:fill="DCEBFA"/>
          </w:tcPr>
          <w:p>
            <w:r>
              <w:rPr>
                <w:b/>
              </w:rPr>
              <w:t>Columns</w:t>
            </w:r>
          </w:p>
        </w:tc>
        <w:tc>
          <w:tcPr>
            <w:tcW w:type="dxa" w:w="1296"/>
            <w:shd w:val="clear" w:color="auto" w:fill="DCEBFA"/>
          </w:tcPr>
          <w:p>
            <w:r>
              <w:rPr>
                <w:b/>
              </w:rPr>
              <w:t>Size</w:t>
            </w:r>
          </w:p>
        </w:tc>
        <w:tc>
          <w:tcPr>
            <w:tcW w:type="dxa" w:w="2736"/>
            <w:shd w:val="clear" w:color="auto" w:fill="DCEBFA"/>
          </w:tcPr>
          <w:p>
            <w:r>
              <w:rPr>
                <w:b/>
              </w:rPr>
              <w:t>Use</w:t>
            </w:r>
          </w:p>
        </w:tc>
      </w:tr>
      <w:tr>
        <w:tc>
          <w:tcPr>
            <w:tcW w:type="dxa" w:w="2736"/>
          </w:tcPr>
          <w:p>
            <w:r>
              <w:t>ev_market_train.csv</w:t>
            </w:r>
          </w:p>
        </w:tc>
        <w:tc>
          <w:tcPr>
            <w:tcW w:type="dxa" w:w="3168"/>
          </w:tcPr>
          <w:p>
            <w:r>
              <w:t>200,000 (199,999 after duplicate removal)</w:t>
            </w:r>
          </w:p>
        </w:tc>
        <w:tc>
          <w:tcPr>
            <w:tcW w:type="dxa" w:w="1152"/>
          </w:tcPr>
          <w:p>
            <w:r>
              <w:t>37</w:t>
            </w:r>
          </w:p>
        </w:tc>
        <w:tc>
          <w:tcPr>
            <w:tcW w:type="dxa" w:w="1296"/>
          </w:tcPr>
          <w:p>
            <w:r>
              <w:t>46.5 MB</w:t>
            </w:r>
          </w:p>
        </w:tc>
        <w:tc>
          <w:tcPr>
            <w:tcW w:type="dxa" w:w="2736"/>
          </w:tcPr>
          <w:p>
            <w:r>
              <w:t>Main analysis dataset</w:t>
            </w:r>
          </w:p>
        </w:tc>
      </w:tr>
      <w:tr>
        <w:tc>
          <w:tcPr>
            <w:tcW w:type="dxa" w:w="2736"/>
          </w:tcPr>
          <w:p>
            <w:r>
              <w:t>ev_market_test.csv</w:t>
            </w:r>
          </w:p>
        </w:tc>
        <w:tc>
          <w:tcPr>
            <w:tcW w:type="dxa" w:w="3168"/>
          </w:tcPr>
          <w:p>
            <w:r>
              <w:t>100,000</w:t>
            </w:r>
          </w:p>
        </w:tc>
        <w:tc>
          <w:tcPr>
            <w:tcW w:type="dxa" w:w="1152"/>
          </w:tcPr>
          <w:p>
            <w:r>
              <w:t>37</w:t>
            </w:r>
          </w:p>
        </w:tc>
        <w:tc>
          <w:tcPr>
            <w:tcW w:type="dxa" w:w="1296"/>
          </w:tcPr>
          <w:p>
            <w:r>
              <w:t>23.2 MB</w:t>
            </w:r>
          </w:p>
        </w:tc>
        <w:tc>
          <w:tcPr>
            <w:tcW w:type="dxa" w:w="2736"/>
          </w:tcPr>
          <w:p>
            <w:r>
              <w:t>Optional; can be combined with train</w:t>
            </w:r>
          </w:p>
        </w:tc>
      </w:tr>
    </w:tbl>
    <w:p/>
    <w:p>
      <w:r>
        <w:rPr>
          <w:b/>
        </w:rPr>
        <w:t xml:space="preserve">Null checks: </w:t>
      </w:r>
      <w:r>
        <w:t>Null values were found in 5 columns (18,996 empty cells in total). The largest gaps were in resale_value_pct_3yr (6,103), customer_rating (3,977) and battery_cycle_life (3,786). Tableau ignores nulls in averages, so these do not stop the analysis.</w:t>
      </w:r>
    </w:p>
    <w:p>
      <w:r>
        <w:rPr>
          <w:b/>
        </w:rPr>
        <w:t xml:space="preserve">Duplicates: </w:t>
      </w:r>
      <w:r>
        <w:t>One full-row duplicate was found and removed.</w:t>
      </w:r>
    </w:p>
    <w:p>
      <w:r>
        <w:rPr>
          <w:b/>
        </w:rPr>
        <w:t xml:space="preserve">Consistency: </w:t>
      </w:r>
      <w:r>
        <w:t>No extra spaces were found in the 9 text columns, and the 15 categories and 7 regions are consistently spelled.</w:t>
      </w:r>
    </w:p>
    <w:p>
      <w:r>
        <w:rPr>
          <w:b/>
        </w:rPr>
        <w:t xml:space="preserve">Known issue: </w:t>
      </w:r>
      <w:r>
        <w:t>Efficiency values for buses and trucks, and some 2-wheelers, are not realistic. These values are used only for comparisons within a category.</w:t>
      </w:r>
    </w:p>
    <w:p>
      <w:pPr>
        <w:pStyle w:val="Heading2"/>
      </w:pPr>
      <w:r>
        <w:t>Calculated fields</w:t>
      </w:r>
    </w:p>
    <w:tbl>
      <w:tblPr>
        <w:tblStyle w:val="TableGrid"/>
        <w:tblW w:type="auto" w:w="0"/>
        <w:tblLook w:firstColumn="1" w:firstRow="1" w:lastColumn="0" w:lastRow="0" w:noHBand="0" w:noVBand="1" w:val="04A0"/>
      </w:tblPr>
      <w:tblGrid>
        <w:gridCol w:w="4824"/>
        <w:gridCol w:w="4824"/>
      </w:tblGrid>
      <w:tr>
        <w:tc>
          <w:tcPr>
            <w:tcW w:type="dxa" w:w="2304"/>
            <w:shd w:val="clear" w:color="auto" w:fill="DCEBFA"/>
          </w:tcPr>
          <w:p>
            <w:r>
              <w:rPr>
                <w:b/>
              </w:rPr>
              <w:t>Field</w:t>
            </w:r>
          </w:p>
        </w:tc>
        <w:tc>
          <w:tcPr>
            <w:tcW w:type="dxa" w:w="7488"/>
            <w:shd w:val="clear" w:color="auto" w:fill="DCEBFA"/>
          </w:tcPr>
          <w:p>
            <w:r>
              <w:rPr>
                <w:b/>
              </w:rPr>
              <w:t>Formula / logic</w:t>
            </w:r>
          </w:p>
        </w:tc>
      </w:tr>
      <w:tr>
        <w:tc>
          <w:tcPr>
            <w:tcW w:type="dxa" w:w="2304"/>
          </w:tcPr>
          <w:p>
            <w:r>
              <w:t>Est Revenue</w:t>
            </w:r>
          </w:p>
        </w:tc>
        <w:tc>
          <w:tcPr>
            <w:tcW w:type="dxa" w:w="7488"/>
          </w:tcPr>
          <w:p>
            <w:r>
              <w:t>annual_sales_units x price_usd</w:t>
            </w:r>
          </w:p>
        </w:tc>
      </w:tr>
      <w:tr>
        <w:tc>
          <w:tcPr>
            <w:tcW w:type="dxa" w:w="2304"/>
          </w:tcPr>
          <w:p>
            <w:r>
              <w:t>Price per km</w:t>
            </w:r>
          </w:p>
        </w:tc>
        <w:tc>
          <w:tcPr>
            <w:tcW w:type="dxa" w:w="7488"/>
          </w:tcPr>
          <w:p>
            <w:r>
              <w:t>price_usd / range_km</w:t>
            </w:r>
          </w:p>
        </w:tc>
      </w:tr>
      <w:tr>
        <w:tc>
          <w:tcPr>
            <w:tcW w:type="dxa" w:w="2304"/>
          </w:tcPr>
          <w:p>
            <w:r>
              <w:t>Battery Health %</w:t>
            </w:r>
          </w:p>
        </w:tc>
        <w:tc>
          <w:tcPr>
            <w:tcW w:type="dxa" w:w="7488"/>
          </w:tcPr>
          <w:p>
            <w:r>
              <w:t>100 - battery_degradation_pct_5yr</w:t>
            </w:r>
          </w:p>
        </w:tc>
      </w:tr>
      <w:tr>
        <w:tc>
          <w:tcPr>
            <w:tcW w:type="dxa" w:w="2304"/>
          </w:tcPr>
          <w:p>
            <w:r>
              <w:t>Charging Band</w:t>
            </w:r>
          </w:p>
        </w:tc>
        <w:tc>
          <w:tcPr>
            <w:tcW w:type="dxa" w:w="7488"/>
          </w:tcPr>
          <w:p>
            <w:r>
              <w:t>Fast (150+ kW), Medium (50 to 149 kW), Slow (under 50 kW), based on max_dc_charging_kw</w:t>
            </w:r>
          </w:p>
        </w:tc>
      </w:tr>
      <w:tr>
        <w:tc>
          <w:tcPr>
            <w:tcW w:type="dxa" w:w="2304"/>
          </w:tcPr>
          <w:p>
            <w:r>
              <w:t>Vehicle Type</w:t>
            </w:r>
          </w:p>
        </w:tc>
        <w:tc>
          <w:tcPr>
            <w:tcW w:type="dxa" w:w="7488"/>
          </w:tcPr>
          <w:p>
            <w:r>
              <w:t>2/3-wheeler, Commercial (bus and truck), or Passenger Car, based on category</w:t>
            </w:r>
          </w:p>
        </w:tc>
      </w:tr>
    </w:tbl>
    <w:p/>
    <w:p>
      <w:pPr>
        <w:pStyle w:val="Heading1"/>
      </w:pPr>
      <w:r>
        <w:t>3. Worksheets (9 sheets)</w:t>
      </w:r>
    </w:p>
    <w:tbl>
      <w:tblPr>
        <w:tblStyle w:val="TableGrid"/>
        <w:tblW w:type="auto" w:w="0"/>
        <w:tblLook w:firstColumn="1" w:firstRow="1" w:lastColumn="0" w:lastRow="0" w:noHBand="0" w:noVBand="1" w:val="04A0"/>
      </w:tblPr>
      <w:tblGrid>
        <w:gridCol w:w="2412"/>
        <w:gridCol w:w="2412"/>
        <w:gridCol w:w="2412"/>
        <w:gridCol w:w="2412"/>
      </w:tblGrid>
      <w:tr>
        <w:tc>
          <w:tcPr>
            <w:tcW w:type="dxa" w:w="576"/>
            <w:shd w:val="clear" w:color="auto" w:fill="DCEBFA"/>
          </w:tcPr>
          <w:p>
            <w:r>
              <w:rPr>
                <w:b/>
              </w:rPr>
              <w:t>#</w:t>
            </w:r>
          </w:p>
        </w:tc>
        <w:tc>
          <w:tcPr>
            <w:tcW w:type="dxa" w:w="2448"/>
            <w:shd w:val="clear" w:color="auto" w:fill="DCEBFA"/>
          </w:tcPr>
          <w:p>
            <w:r>
              <w:rPr>
                <w:b/>
              </w:rPr>
              <w:t>Worksheet</w:t>
            </w:r>
          </w:p>
        </w:tc>
        <w:tc>
          <w:tcPr>
            <w:tcW w:type="dxa" w:w="4608"/>
            <w:shd w:val="clear" w:color="auto" w:fill="DCEBFA"/>
          </w:tcPr>
          <w:p>
            <w:r>
              <w:rPr>
                <w:b/>
              </w:rPr>
              <w:t>Business question</w:t>
            </w:r>
          </w:p>
        </w:tc>
        <w:tc>
          <w:tcPr>
            <w:tcW w:type="dxa" w:w="2304"/>
            <w:shd w:val="clear" w:color="auto" w:fill="DCEBFA"/>
          </w:tcPr>
          <w:p>
            <w:r>
              <w:rPr>
                <w:b/>
              </w:rPr>
              <w:t>Chart type</w:t>
            </w:r>
          </w:p>
        </w:tc>
      </w:tr>
      <w:tr>
        <w:tc>
          <w:tcPr>
            <w:tcW w:type="dxa" w:w="576"/>
          </w:tcPr>
          <w:p>
            <w:r>
              <w:t>1</w:t>
            </w:r>
          </w:p>
        </w:tc>
        <w:tc>
          <w:tcPr>
            <w:tcW w:type="dxa" w:w="2448"/>
          </w:tcPr>
          <w:p>
            <w:r>
              <w:t>Top Manufacturers</w:t>
            </w:r>
          </w:p>
        </w:tc>
        <w:tc>
          <w:tcPr>
            <w:tcW w:type="dxa" w:w="4608"/>
          </w:tcPr>
          <w:p>
            <w:r>
              <w:t>Which companies sell the most vehicles?</w:t>
            </w:r>
          </w:p>
        </w:tc>
        <w:tc>
          <w:tcPr>
            <w:tcW w:type="dxa" w:w="2304"/>
          </w:tcPr>
          <w:p>
            <w:r>
              <w:t>Horizontal bar</w:t>
            </w:r>
          </w:p>
        </w:tc>
      </w:tr>
      <w:tr>
        <w:tc>
          <w:tcPr>
            <w:tcW w:type="dxa" w:w="576"/>
          </w:tcPr>
          <w:p>
            <w:r>
              <w:t>2</w:t>
            </w:r>
          </w:p>
        </w:tc>
        <w:tc>
          <w:tcPr>
            <w:tcW w:type="dxa" w:w="2448"/>
          </w:tcPr>
          <w:p>
            <w:r>
              <w:t>Price vs Range</w:t>
            </w:r>
          </w:p>
        </w:tc>
        <w:tc>
          <w:tcPr>
            <w:tcW w:type="dxa" w:w="4608"/>
          </w:tcPr>
          <w:p>
            <w:r>
              <w:t>How do price and range compare across categories?</w:t>
            </w:r>
          </w:p>
        </w:tc>
        <w:tc>
          <w:tcPr>
            <w:tcW w:type="dxa" w:w="2304"/>
          </w:tcPr>
          <w:p>
            <w:r>
              <w:t>Scatter plot</w:t>
            </w:r>
          </w:p>
        </w:tc>
      </w:tr>
      <w:tr>
        <w:tc>
          <w:tcPr>
            <w:tcW w:type="dxa" w:w="576"/>
          </w:tcPr>
          <w:p>
            <w:r>
              <w:t>3</w:t>
            </w:r>
          </w:p>
        </w:tc>
        <w:tc>
          <w:tcPr>
            <w:tcW w:type="dxa" w:w="2448"/>
          </w:tcPr>
          <w:p>
            <w:r>
              <w:t>Regional Market Share</w:t>
            </w:r>
          </w:p>
        </w:tc>
        <w:tc>
          <w:tcPr>
            <w:tcW w:type="dxa" w:w="4608"/>
          </w:tcPr>
          <w:p>
            <w:r>
              <w:t>How are sales spread across regions?</w:t>
            </w:r>
          </w:p>
        </w:tc>
        <w:tc>
          <w:tcPr>
            <w:tcW w:type="dxa" w:w="2304"/>
          </w:tcPr>
          <w:p>
            <w:r>
              <w:t>Bar (percent of total)</w:t>
            </w:r>
          </w:p>
        </w:tc>
      </w:tr>
      <w:tr>
        <w:tc>
          <w:tcPr>
            <w:tcW w:type="dxa" w:w="576"/>
          </w:tcPr>
          <w:p>
            <w:r>
              <w:t>4</w:t>
            </w:r>
          </w:p>
        </w:tc>
        <w:tc>
          <w:tcPr>
            <w:tcW w:type="dxa" w:w="2448"/>
          </w:tcPr>
          <w:p>
            <w:r>
              <w:t>Battery Comparison</w:t>
            </w:r>
          </w:p>
        </w:tc>
        <w:tc>
          <w:tcPr>
            <w:tcW w:type="dxa" w:w="4608"/>
          </w:tcPr>
          <w:p>
            <w:r>
              <w:t>Which battery type degrades least?</w:t>
            </w:r>
          </w:p>
        </w:tc>
        <w:tc>
          <w:tcPr>
            <w:tcW w:type="dxa" w:w="2304"/>
          </w:tcPr>
          <w:p>
            <w:r>
              <w:t>Bar</w:t>
            </w:r>
          </w:p>
        </w:tc>
      </w:tr>
      <w:tr>
        <w:tc>
          <w:tcPr>
            <w:tcW w:type="dxa" w:w="576"/>
          </w:tcPr>
          <w:p>
            <w:r>
              <w:t>5</w:t>
            </w:r>
          </w:p>
        </w:tc>
        <w:tc>
          <w:tcPr>
            <w:tcW w:type="dxa" w:w="2448"/>
          </w:tcPr>
          <w:p>
            <w:r>
              <w:t>Range vs Battery Size</w:t>
            </w:r>
          </w:p>
        </w:tc>
        <w:tc>
          <w:tcPr>
            <w:tcW w:type="dxa" w:w="4608"/>
          </w:tcPr>
          <w:p>
            <w:r>
              <w:t>How does battery size relate to range?</w:t>
            </w:r>
          </w:p>
        </w:tc>
        <w:tc>
          <w:tcPr>
            <w:tcW w:type="dxa" w:w="2304"/>
          </w:tcPr>
          <w:p>
            <w:r>
              <w:t>Scatter plot (sample)</w:t>
            </w:r>
          </w:p>
        </w:tc>
      </w:tr>
      <w:tr>
        <w:tc>
          <w:tcPr>
            <w:tcW w:type="dxa" w:w="576"/>
          </w:tcPr>
          <w:p>
            <w:r>
              <w:t>6</w:t>
            </w:r>
          </w:p>
        </w:tc>
        <w:tc>
          <w:tcPr>
            <w:tcW w:type="dxa" w:w="2448"/>
          </w:tcPr>
          <w:p>
            <w:r>
              <w:t>Charging Speed</w:t>
            </w:r>
          </w:p>
        </w:tc>
        <w:tc>
          <w:tcPr>
            <w:tcW w:type="dxa" w:w="4608"/>
          </w:tcPr>
          <w:p>
            <w:r>
              <w:t>Does fast charging reduce charging time?</w:t>
            </w:r>
          </w:p>
        </w:tc>
        <w:tc>
          <w:tcPr>
            <w:tcW w:type="dxa" w:w="2304"/>
          </w:tcPr>
          <w:p>
            <w:r>
              <w:t>Bar by charging band</w:t>
            </w:r>
          </w:p>
        </w:tc>
      </w:tr>
      <w:tr>
        <w:tc>
          <w:tcPr>
            <w:tcW w:type="dxa" w:w="576"/>
          </w:tcPr>
          <w:p>
            <w:r>
              <w:t>7</w:t>
            </w:r>
          </w:p>
        </w:tc>
        <w:tc>
          <w:tcPr>
            <w:tcW w:type="dxa" w:w="2448"/>
          </w:tcPr>
          <w:p>
            <w:r>
              <w:t>Model Year Trend</w:t>
            </w:r>
          </w:p>
        </w:tc>
        <w:tc>
          <w:tcPr>
            <w:tcW w:type="dxa" w:w="4608"/>
          </w:tcPr>
          <w:p>
            <w:r>
              <w:t>How have price and range changed from 2018 to 2026?</w:t>
            </w:r>
          </w:p>
        </w:tc>
        <w:tc>
          <w:tcPr>
            <w:tcW w:type="dxa" w:w="2304"/>
          </w:tcPr>
          <w:p>
            <w:r>
              <w:t>Dual line</w:t>
            </w:r>
          </w:p>
        </w:tc>
      </w:tr>
      <w:tr>
        <w:tc>
          <w:tcPr>
            <w:tcW w:type="dxa" w:w="576"/>
          </w:tcPr>
          <w:p>
            <w:r>
              <w:t>8</w:t>
            </w:r>
          </w:p>
        </w:tc>
        <w:tc>
          <w:tcPr>
            <w:tcW w:type="dxa" w:w="2448"/>
          </w:tcPr>
          <w:p>
            <w:r>
              <w:t>Use Case Mix</w:t>
            </w:r>
          </w:p>
        </w:tc>
        <w:tc>
          <w:tcPr>
            <w:tcW w:type="dxa" w:w="4608"/>
          </w:tcPr>
          <w:p>
            <w:r>
              <w:t>Which use cases and categories dominate?</w:t>
            </w:r>
          </w:p>
        </w:tc>
        <w:tc>
          <w:tcPr>
            <w:tcW w:type="dxa" w:w="2304"/>
          </w:tcPr>
          <w:p>
            <w:r>
              <w:t>Stacked bar</w:t>
            </w:r>
          </w:p>
        </w:tc>
      </w:tr>
      <w:tr>
        <w:tc>
          <w:tcPr>
            <w:tcW w:type="dxa" w:w="576"/>
          </w:tcPr>
          <w:p>
            <w:r>
              <w:t>9</w:t>
            </w:r>
          </w:p>
        </w:tc>
        <w:tc>
          <w:tcPr>
            <w:tcW w:type="dxa" w:w="2448"/>
          </w:tcPr>
          <w:p>
            <w:r>
              <w:t>Rating and Safety</w:t>
            </w:r>
          </w:p>
        </w:tc>
        <w:tc>
          <w:tcPr>
            <w:tcW w:type="dxa" w:w="4608"/>
          </w:tcPr>
          <w:p>
            <w:r>
              <w:t>Do safety stars or autonomy affect rating?</w:t>
            </w:r>
          </w:p>
        </w:tc>
        <w:tc>
          <w:tcPr>
            <w:tcW w:type="dxa" w:w="2304"/>
          </w:tcPr>
          <w:p>
            <w:r>
              <w:t>Highlight table (heatmap)</w:t>
            </w:r>
          </w:p>
        </w:tc>
      </w:tr>
    </w:tbl>
    <w:p/>
    <w:p>
      <w:pPr>
        <w:pStyle w:val="Heading1"/>
      </w:pPr>
      <w:r>
        <w:t>4. Dashboard and Story</w:t>
      </w:r>
    </w:p>
    <w:p>
      <w:r>
        <w:rPr>
          <w:b/>
        </w:rPr>
        <w:t xml:space="preserve">Dashboard: </w:t>
      </w:r>
      <w:r>
        <w:t>Five KPI cards at the top (total vehicles, total sales, average price, average range, average rating), six charts in a 3 x 2 grid, and filters for market_region, category and model_year that apply to all worksheets. Layout is designed for a desktop browser at 1200 x 800.</w:t>
      </w:r>
    </w:p>
    <w:p>
      <w:r>
        <w:rPr>
          <w:b/>
        </w:rPr>
        <w:t xml:space="preserve">Story: </w:t>
      </w:r>
      <w:r>
        <w:t>Five points: introduction, sales leaders, battery health, customer use and conclusion. Each point uses one chart from the dashboard.</w:t>
      </w:r>
    </w:p>
    <w:p>
      <w:pPr>
        <w:pStyle w:val="Heading1"/>
      </w:pPr>
      <w:r>
        <w:t>5. Key Findings</w:t>
      </w:r>
    </w:p>
    <w:p>
      <w:pPr>
        <w:pStyle w:val="ListBullet"/>
      </w:pPr>
      <w:r>
        <w:rPr>
          <w:b/>
        </w:rPr>
        <w:t xml:space="preserve">Scale: </w:t>
      </w:r>
      <w:r>
        <w:t>199,999 vehicles, 1.55 billion total annual sales units, average price $64,921, average range 324.5 km, average rating 4.09.</w:t>
      </w:r>
    </w:p>
    <w:p>
      <w:pPr>
        <w:pStyle w:val="ListBullet"/>
      </w:pPr>
      <w:r>
        <w:rPr>
          <w:b/>
        </w:rPr>
        <w:t xml:space="preserve">Categories: </w:t>
      </w:r>
      <w:r>
        <w:t>Two-Wheeler Scooter leads with about 174.6 million units, followed by Hatchback (about 154.9 million).</w:t>
      </w:r>
    </w:p>
    <w:p>
      <w:pPr>
        <w:pStyle w:val="ListBullet"/>
      </w:pPr>
      <w:r>
        <w:rPr>
          <w:b/>
        </w:rPr>
        <w:t xml:space="preserve">Manufacturers: </w:t>
      </w:r>
      <w:r>
        <w:t>The top 10 each sell between 8.7 and 9.5 million units, so no single brand dominates. AmpereWorks leads with about 9.45 million.</w:t>
      </w:r>
    </w:p>
    <w:p>
      <w:pPr>
        <w:pStyle w:val="ListBullet"/>
      </w:pPr>
      <w:r>
        <w:rPr>
          <w:b/>
        </w:rPr>
        <w:t xml:space="preserve">Regions: </w:t>
      </w:r>
      <w:r>
        <w:t>All seven regions hold between 14.0% and 14.4% of sales.</w:t>
      </w:r>
    </w:p>
    <w:p>
      <w:pPr>
        <w:pStyle w:val="ListBullet"/>
      </w:pPr>
      <w:r>
        <w:rPr>
          <w:b/>
        </w:rPr>
        <w:t xml:space="preserve">Battery health: </w:t>
      </w:r>
      <w:r>
        <w:t>Solid-State batteries degrade least over 5 years (7.4% on average). LFP averages 10.1%, and NMC, NCA and Sodium-Ion are about 14%.</w:t>
      </w:r>
    </w:p>
    <w:p>
      <w:pPr>
        <w:pStyle w:val="ListBullet"/>
      </w:pPr>
      <w:r>
        <w:rPr>
          <w:b/>
        </w:rPr>
        <w:t xml:space="preserve">Use case: </w:t>
      </w:r>
      <w:r>
        <w:t>Family Daily Use accounts for about 40% of sales, followed by Urban Commute at about 27%.</w:t>
      </w:r>
    </w:p>
    <w:p>
      <w:pPr>
        <w:pStyle w:val="ListBullet"/>
      </w:pPr>
      <w:r>
        <w:rPr>
          <w:b/>
        </w:rPr>
        <w:t xml:space="preserve">Price and range by year: </w:t>
      </w:r>
      <w:r>
        <w:t>Average price stays between $64,227 and $65,544 and range between 323 and 326 km. There is no clear trend from 2018 to 2026.</w:t>
      </w:r>
    </w:p>
    <w:p>
      <w:pPr>
        <w:pStyle w:val="ListBullet"/>
      </w:pPr>
      <w:r>
        <w:rPr>
          <w:b/>
        </w:rPr>
        <w:t xml:space="preserve">Charging: </w:t>
      </w:r>
      <w:r>
        <w:t>Charging time is about the same across bands (Fast 20.8 min, Medium 21.9 min, Slow 20.5 min). The earlier assumption that fast charging saves time is not supported by this data.</w:t>
      </w:r>
    </w:p>
    <w:p>
      <w:pPr>
        <w:pStyle w:val="ListBullet"/>
      </w:pPr>
      <w:r>
        <w:rPr>
          <w:b/>
        </w:rPr>
        <w:t xml:space="preserve">Ratings: </w:t>
      </w:r>
      <w:r>
        <w:t>Average rating is 4.08 to 4.17 across safety stars and autonomy levels, so differences are small.</w:t>
      </w:r>
    </w:p>
    <w:p>
      <w:pPr>
        <w:pStyle w:val="Heading1"/>
      </w:pPr>
      <w:r>
        <w:t>6. Publishing and GitHub</w:t>
      </w:r>
    </w:p>
    <w:p>
      <w:pPr>
        <w:pStyle w:val="Heading2"/>
      </w:pPr>
      <w:r>
        <w:t>Publishing</w:t>
      </w:r>
    </w:p>
    <w:p>
      <w:r>
        <w:t>Tableau Public dashboard link: [paste link here]</w:t>
      </w:r>
    </w:p>
    <w:p>
      <w:r>
        <w:t>Tableau Public story link: [paste link here]</w:t>
      </w:r>
    </w:p>
    <w:p>
      <w:pPr>
        <w:pStyle w:val="Heading2"/>
      </w:pPr>
      <w:r>
        <w:t>GitHub repository</w:t>
      </w:r>
    </w:p>
    <w:p>
      <w:pPr>
        <w:pStyle w:val="ListNumber"/>
      </w:pPr>
      <w:r>
        <w:t>Create a public repository named ev-market-tableau-analysis on github.com.</w:t>
      </w:r>
    </w:p>
    <w:p>
      <w:pPr>
        <w:pStyle w:val="ListNumber"/>
      </w:pPr>
      <w:r>
        <w:t>Upload ev_market_train.csv (or the cleaned version), screenshots of the dashboard and story, and README.md.</w:t>
      </w:r>
    </w:p>
    <w:p>
      <w:pPr>
        <w:pStyle w:val="ListNumber"/>
      </w:pPr>
      <w:r>
        <w:t>README.md should include: project title, problem statement, dataset details (200,000 rows, 37 columns), the 9 worksheets, the Tableau Public links, and 3 to 5 key findings.</w:t>
      </w:r>
    </w:p>
    <w:p>
      <w:pPr>
        <w:pStyle w:val="ListNumber"/>
      </w:pPr>
      <w:r>
        <w:t>Commit the changes. Optional command-line steps: git init, git add ., git commit -m "EV market Tableau analysis", git branch -M main, git remote add origin &lt;repo-link&gt;, git push -u origin main.</w:t>
      </w:r>
    </w:p>
    <w:p>
      <w:pPr>
        <w:pStyle w:val="Heading1"/>
      </w:pPr>
      <w:r>
        <w:t>7. Limitations</w:t>
      </w:r>
    </w:p>
    <w:p>
      <w:pPr>
        <w:pStyle w:val="ListBullet"/>
      </w:pPr>
      <w:r>
        <w:t>The dataset looks like sample or test data. Several patterns (flat regions, flat model years, flat ratings) are unlikely in real market data.</w:t>
      </w:r>
    </w:p>
    <w:p>
      <w:pPr>
        <w:pStyle w:val="ListBullet"/>
      </w:pPr>
      <w:r>
        <w:t>Efficiency values for buses, trucks and 2-wheelers are not realistic, so absolute efficiency claims should be avoided.</w:t>
      </w:r>
    </w:p>
    <w:p>
      <w:pPr>
        <w:pStyle w:val="ListBullet"/>
      </w:pPr>
      <w:r>
        <w:t>The analysis describes patterns in this data only; it does not show cause and effect.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