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a balanced summary of the main </w:t>
      </w:r>
      <w:r w:rsidDel="00000000" w:rsidR="00000000" w:rsidRPr="00000000">
        <w:rPr>
          <w:b w:val="1"/>
          <w:rtl w:val="0"/>
        </w:rPr>
        <w:t xml:space="preserve">arguments for and against government action on climate change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m1g1dkp8ly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Arguments </w:t>
      </w: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For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Government Action on Climate Change: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Protecting Public Health and Safety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Climate change increases the risk of extreme weather, droughts, flooding, and disease. Governments have a duty to protect citizens from these threats.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Failures and Externalities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Carbon emissions are a classic example of a negative externality. Without intervention, markets don’t account for the social costs of pollution.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Global Leadership and Cooperation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Climate change is a global issue. Government policies can lead international efforts and uphold global agreements (e.g., the Paris Accord).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Economic Opportunities in Green Sectors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Government investment can stimulate innovation in renewable energy, sustainable agriculture, and green jobs.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Intergenerational Responsibility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Action today can prevent future generations from inheriting a degraded and unstable environment.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xjvbxrzrm9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Arguments </w:t>
      </w: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Against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Government Action on Climate Change: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Economic Costs and Burden on Businesses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Regulations can raise energy prices, hurt industries like coal and oil, and lead to job losses in affected sectors.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Inefficiency and Government Overreach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Some argue that government-led initiatives are less efficient than market-based or voluntary solutions and may restrict personal or business freedoms.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Scientific Uncertainty or Debate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While the scientific consensus is strong, some critics argue that uncertainty in climate models doesn't justify sweeping policies.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Global Disparities in Responsibility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Some believe action should fall more heavily on major polluters like China or the U.S., not on smaller or developing nations.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Technological Optimism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Critics may argue that innovation and private sector solutions (like carbon capture or geoengineering) will emerge without government mandates.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