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Some people believe gun control is harmful to individual rights for the following key reasons: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Second Amendment Rights (U.S. context):</w:t>
        <w:br w:type="textWrapping"/>
      </w:r>
      <w:r w:rsidDel="00000000" w:rsidR="00000000" w:rsidRPr="00000000">
        <w:rPr>
          <w:rtl w:val="0"/>
        </w:rPr>
        <w:t xml:space="preserve"> In the United States, many view the Second Amendment—which guarantees the right to "keep and bear arms"—as a fundamental individual liberty. They argue that gun control infringes on this constitutional right.</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Self-Defense:</w:t>
        <w:br w:type="textWrapping"/>
      </w:r>
      <w:r w:rsidDel="00000000" w:rsidR="00000000" w:rsidRPr="00000000">
        <w:rPr>
          <w:rtl w:val="0"/>
        </w:rPr>
        <w:t xml:space="preserve"> Opponents of gun control often believe that owning firearms is essential for protecting themselves, their families, and their property. They argue that restrictions could leave law-abiding citizens defenseless against criminals who might still obtain guns illegally.</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Government Overreach:</w:t>
        <w:br w:type="textWrapping"/>
      </w:r>
      <w:r w:rsidDel="00000000" w:rsidR="00000000" w:rsidRPr="00000000">
        <w:rPr>
          <w:rtl w:val="0"/>
        </w:rPr>
        <w:t xml:space="preserve"> Some see gun control as a sign of excessive government interference in private life. They worry that strict regulations could lead to a slippery slope where more personal freedoms are taken away.</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Deterrent Against Tyranny:</w:t>
        <w:br w:type="textWrapping"/>
      </w:r>
      <w:r w:rsidDel="00000000" w:rsidR="00000000" w:rsidRPr="00000000">
        <w:rPr>
          <w:rtl w:val="0"/>
        </w:rPr>
        <w:t xml:space="preserve"> A more ideological argument is that an armed populace serves as a check against potential government tyranny. Historical references (e.g., authoritarian regimes disarming citizens) are often cited in support of this view.</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Ineffectiveness of Gun Laws:</w:t>
        <w:br w:type="textWrapping"/>
      </w:r>
      <w:r w:rsidDel="00000000" w:rsidR="00000000" w:rsidRPr="00000000">
        <w:rPr>
          <w:rtl w:val="0"/>
        </w:rPr>
        <w:t xml:space="preserve"> Critics argue that gun control laws do not effectively prevent crime or violence and instead penalize responsible gun owners. They believe that these laws fail to address the root causes of violence.</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Cultural and Historical Significance:</w:t>
        <w:br w:type="textWrapping"/>
      </w:r>
      <w:r w:rsidDel="00000000" w:rsidR="00000000" w:rsidRPr="00000000">
        <w:rPr>
          <w:rtl w:val="0"/>
        </w:rPr>
        <w:t xml:space="preserve"> Especially in the U.S., gun ownership is deeply tied to cultural identity, rural traditions, and independence. Gun control can be perceived as a threat to those traditions.</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In short, opponents of gun control often view it as a violation of personal freedom, a threat to safety, and a step toward authoritarianism.</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