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E7490"/>
          <w:sz w:val="19"/>
        </w:rPr>
        <w:t>CYBERSECURITY RESEARCH &amp; OPERATIONS WHITE PAPER</w:t>
      </w:r>
    </w:p>
    <w:p>
      <w:pPr>
        <w:spacing w:before="0" w:after="120"/>
      </w:pPr>
      <w:r>
        <w:rPr>
          <w:rFonts w:ascii="Calibri" w:hAnsi="Calibri"/>
          <w:b/>
          <w:color w:val="1E3A8A"/>
          <w:sz w:val="44"/>
        </w:rPr>
        <w:t>XAI-IDPS-SOC: Strategic Problem, Industry Gap &amp; Value Proposition Analysis</w:t>
      </w:r>
    </w:p>
    <w:p>
      <w:pPr>
        <w:spacing w:before="0" w:after="320"/>
      </w:pPr>
      <w:r>
        <w:rPr>
          <w:rFonts w:ascii="Calibri" w:hAnsi="Calibri"/>
          <w:color w:val="475569"/>
          <w:sz w:val="24"/>
        </w:rPr>
        <w:t>A Concrete Architectural Evaluation of What Pain Points This Platform Solves, Who It Is Built For, and Why Existing SIEM/XAI Tools Fall Short.</w:t>
      </w:r>
    </w:p>
    <w:p>
      <w:pPr>
        <w:spacing w:after="4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F172A"/>
                <w:sz w:val="21"/>
              </w:rPr>
              <w:t xml:space="preserve">EXECUTIVE THESIS: </w:t>
            </w:r>
            <w:r>
              <w:rPr>
                <w:rFonts w:ascii="Calibri" w:hAnsi="Calibri"/>
                <w:color w:val="334155"/>
                <w:sz w:val="21"/>
              </w:rPr>
              <w:t>Modern Machine Learning-based Intrusion Detection Systems (ML-IDS) suffer from a fundamental 'Trust and Transport Crisis.' Academic models achieve &gt;95% F1-scores on offline benchmark datasets but discard per-alert explainability during transport. Meanwhile, operational SOC analysts face overwhelming alert fatigue without knowing WHY a model classified a flow as malicious, and commercial SIEM platforms lock risk formulas behind proprietary black-boxes. XAI-IDPS-SOC solves this by providing the first open-source pipeline that carries local SHAP TreeExplainer attributions end-to-end from inference to an interactive triage dashboard, governed by a transparent, user-tunable 4-weight composite risk formula.</w:t>
            </w:r>
          </w:p>
        </w:tc>
      </w:tr>
    </w:tbl>
    <w:p>
      <w:pPr>
        <w:spacing w:after="160"/>
      </w:pPr>
    </w:p>
    <w:p>
      <w:pPr>
        <w:pStyle w:val="Heading1"/>
        <w:spacing w:before="320" w:after="120"/>
      </w:pPr>
      <w:r>
        <w:rPr>
          <w:color w:val="1E3A8A"/>
        </w:rPr>
        <w:t>1. What Problem or Pain Point Does This Solve?</w:t>
      </w:r>
    </w:p>
    <w:p>
      <w:pPr>
        <w:spacing w:line="276" w:lineRule="auto" w:after="120"/>
      </w:pPr>
      <w:r>
        <w:t xml:space="preserve">In enterprise and resource-constrained Security Operations Centers (SOCs), the primary bottleneck is not detecting anomalies—it is </w:t>
      </w:r>
      <w:r>
        <w:rPr>
          <w:b/>
        </w:rPr>
        <w:t>Alert Triage Velocity and Model Distrust.</w:t>
      </w:r>
      <w:r>
        <w:t xml:space="preserve"> When a standard machine learning classifier flags an ingress network flow as malicious (e.g., 'DDoS: 94% confidence'), it creates three specific, costly operational frictions:</w:t>
      </w:r>
    </w:p>
    <w:p>
      <w:pPr>
        <w:pStyle w:val="ListBullet"/>
        <w:spacing w:line="276" w:lineRule="auto" w:after="80"/>
      </w:pPr>
      <w:r>
        <w:rPr>
          <w:b/>
          <w:color w:val="0F172A"/>
        </w:rPr>
        <w:t xml:space="preserve">The 'Black-Box' Reverse-Engineering Tax: </w:t>
      </w:r>
      <w:r>
        <w:rPr>
          <w:color w:val="475569"/>
        </w:rPr>
        <w:t>When an analyst receives a raw ML classification label without feature attributions, they cannot tell whether the alert triggered due to packet rate, mean payload length, TCP flags, or protocol header anomalies. To verify the alert, the analyst must switch windows, extract raw PCAPs from Wireshark or Zeek, manually calculate flow statistics, and reconstruct what the model might have seen. This inflates triage time from 30 seconds to 15–20 minutes per alert.</w:t>
      </w:r>
    </w:p>
    <w:p>
      <w:pPr>
        <w:pStyle w:val="ListBullet"/>
        <w:spacing w:line="276" w:lineRule="auto" w:after="80"/>
      </w:pPr>
      <w:r>
        <w:rPr>
          <w:b/>
          <w:color w:val="0F172A"/>
        </w:rPr>
        <w:t xml:space="preserve">Confidence-Priority Inversion: </w:t>
      </w:r>
      <w:r>
        <w:rPr>
          <w:color w:val="475569"/>
        </w:rPr>
        <w:t>Traditional ML systems sort alert queues strictly by model prediction probability. As a result, an attacker running a trivial port scanner against an external, low-value test server with 99.8% confidence ranks HIGHER than an 82% confident credential brute-force attack targeting an internal Active Directory Domain Controller. Analysts waste hours triaging low-value scans while high-impact breach attempts linger unattended.</w:t>
      </w:r>
    </w:p>
    <w:p>
      <w:pPr>
        <w:pStyle w:val="ListBullet"/>
        <w:spacing w:line="276" w:lineRule="auto" w:after="80"/>
      </w:pPr>
      <w:r>
        <w:rPr>
          <w:b/>
          <w:color w:val="0F172A"/>
        </w:rPr>
        <w:t xml:space="preserve">The Detection-to-Containment Chasm: </w:t>
      </w:r>
      <w:r>
        <w:rPr>
          <w:color w:val="475569"/>
        </w:rPr>
        <w:t>Once an attack is confirmed, security personnel face friction in deploying mitigation rules. Manually writing firewall drops across heterogeneous environments (iptables for Linux hosts, nftables for newer edge kernels, AWS Security Group CLI commands for cloud VPCs, and Snort rules for inline inspection) introduces human syntax errors and delays active threat neutralization.</w:t>
      </w:r>
    </w:p>
    <w:p>
      <w:pPr>
        <w:spacing w:before="120" w:after="160" w:line="276" w:lineRule="auto"/>
      </w:pPr>
      <w:r>
        <w:t>XAI-IDPS-SOC eliminates these frictions by executing SHAP TreeExplainer in sub-45ms at the sensor level, attaching the top feature drivers to the alert JSON schema, prioritizing the queue via a 4-weight composite formula, and providing instant 1-click multi-platform firewall containment syntaxes directly inside the triage drawer.</w:t>
      </w:r>
    </w:p>
    <w:p>
      <w:pPr>
        <w:pStyle w:val="Heading1"/>
        <w:spacing w:before="320" w:after="120"/>
      </w:pPr>
      <w:r>
        <w:rPr>
          <w:color w:val="1E3A8A"/>
        </w:rPr>
        <w:t>2. Who Is the Specific User or Audience This Is Built For?</w:t>
      </w:r>
    </w:p>
    <w:p>
      <w:pPr>
        <w:spacing w:line="276" w:lineRule="auto" w:after="120"/>
      </w:pPr>
      <w:r>
        <w:t>This platform is engineered specifically for two primary user personas who are currently underserved by both commercial enterprise suites and academic research code:</w:t>
      </w:r>
    </w:p>
    <w:p>
      <w:pPr>
        <w:spacing w:before="80" w:after="40"/>
      </w:pPr>
      <w:r>
        <w:rPr>
          <w:b/>
          <w:color w:val="0E7490"/>
          <w:sz w:val="22"/>
        </w:rPr>
        <w:t>Tier-1 &amp; Tier-2 SOC Security Analysts (SMEs, Universities, Mid-Market)</w:t>
      </w:r>
    </w:p>
    <w:p>
      <w:pPr>
        <w:spacing w:line="276" w:lineRule="auto" w:after="40"/>
      </w:pPr>
      <w:r>
        <w:rPr>
          <w:b/>
        </w:rPr>
        <w:t xml:space="preserve">Profile: </w:t>
      </w:r>
      <w:r>
        <w:t>Organizations with dedicated defensive responsibilities but without the annual $100k–$300k budget required for proprietary enterprise XDR licenses (e.g., CrowdStrike Falcon, Splunk Enterprise Security).</w:t>
      </w:r>
    </w:p>
    <w:p>
      <w:pPr>
        <w:spacing w:line="276" w:lineRule="auto" w:after="120"/>
      </w:pPr>
      <w:r>
        <w:rPr>
          <w:b/>
        </w:rPr>
        <w:t xml:space="preserve">Current Baseline Workflow: </w:t>
      </w:r>
      <w:r>
        <w:t>Currently Doing Instead: Relying on signature-only tools (Snort/Suricata) or generic log aggregators (Wazuh, ELK). When alerts fire, analysts manually copy IP addresses into AbuseIPDB and VirusTotal in browser tabs, look up the target host on an Excel network spreadsheet to gauge asset value, and mentally guess the incident priority.</w:t>
      </w:r>
    </w:p>
    <w:p>
      <w:pPr>
        <w:spacing w:before="80" w:after="40"/>
      </w:pPr>
      <w:r>
        <w:rPr>
          <w:b/>
          <w:color w:val="0E7490"/>
          <w:sz w:val="22"/>
        </w:rPr>
        <w:t>Applied Machine Learning Security Researchers &amp; Defense Engineers</w:t>
      </w:r>
    </w:p>
    <w:p>
      <w:pPr>
        <w:spacing w:line="276" w:lineRule="auto" w:after="40"/>
      </w:pPr>
      <w:r>
        <w:rPr>
          <w:b/>
        </w:rPr>
        <w:t xml:space="preserve">Profile: </w:t>
      </w:r>
      <w:r>
        <w:t>Teams developing and evaluating AI-driven intrusion detection systems on standard benchmarks (CSE-CIC-IDS2018, CICIDS2017, UNSW-NB15) who need to prove operational feasibility.</w:t>
      </w:r>
    </w:p>
    <w:p>
      <w:pPr>
        <w:spacing w:line="276" w:lineRule="auto" w:after="120"/>
      </w:pPr>
      <w:r>
        <w:rPr>
          <w:b/>
        </w:rPr>
        <w:t xml:space="preserve">Current Baseline Workflow: </w:t>
      </w:r>
      <w:r>
        <w:t>Currently Doing Instead: Running batch offline scripts in isolated Jupyter notebooks. They train models, generate global SHAP summary bar plots for the entire dataset, and print confusion matrices in papers. They have zero infrastructure to test whether their ML explanations actually accelerate human triage in a real-time console.</w:t>
      </w:r>
    </w:p>
    <w:p>
      <w:pPr>
        <w:pStyle w:val="Heading1"/>
        <w:spacing w:before="320" w:after="120"/>
      </w:pPr>
      <w:r>
        <w:rPr>
          <w:color w:val="1E3A8A"/>
        </w:rPr>
        <w:t>3. Existing Solutions &amp; The Unaddressed Gap</w:t>
      </w:r>
    </w:p>
    <w:p>
      <w:pPr>
        <w:spacing w:line="276" w:lineRule="auto" w:after="120"/>
      </w:pPr>
      <w:r>
        <w:t>Current market alternatives fail to address the operational intersection of machine learning inference, explainability transport, and contextual risk prioritization:</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40" w:type="dxa"/>
              <w:bottom w:w="140" w:type="dxa"/>
              <w:left w:w="140" w:type="dxa"/>
              <w:right w:w="140" w:type="dxa"/>
            </w:tcMar>
          </w:tcPr>
          <w:p>
            <w:pPr>
              <w:spacing w:before="40" w:after="40"/>
              <w:jc w:val="left"/>
            </w:pPr>
            <w:r>
              <w:rPr>
                <w:rFonts w:ascii="Calibri" w:hAnsi="Calibri"/>
                <w:b/>
                <w:color w:val="FFFFFF"/>
                <w:sz w:val="19"/>
              </w:rPr>
              <w:t>Platform Category</w:t>
            </w:r>
          </w:p>
        </w:tc>
        <w:tc>
          <w:tcPr>
            <w:tcW w:type="dxa" w:w="3168"/>
            <w:shd w:fill="1E293B"/>
            <w:tcMar>
              <w:top w:w="140" w:type="dxa"/>
              <w:bottom w:w="140" w:type="dxa"/>
              <w:left w:w="140" w:type="dxa"/>
              <w:right w:w="140" w:type="dxa"/>
            </w:tcMar>
          </w:tcPr>
          <w:p>
            <w:pPr>
              <w:spacing w:before="40" w:after="40"/>
              <w:jc w:val="left"/>
            </w:pPr>
            <w:r>
              <w:rPr>
                <w:rFonts w:ascii="Calibri" w:hAnsi="Calibri"/>
                <w:b/>
                <w:color w:val="FFFFFF"/>
                <w:sz w:val="19"/>
              </w:rPr>
              <w:t>What Existing Tools Do Well</w:t>
            </w:r>
          </w:p>
        </w:tc>
        <w:tc>
          <w:tcPr>
            <w:tcW w:type="dxa" w:w="3600"/>
            <w:shd w:fill="1E293B"/>
            <w:tcMar>
              <w:top w:w="140" w:type="dxa"/>
              <w:bottom w:w="140" w:type="dxa"/>
              <w:left w:w="140" w:type="dxa"/>
              <w:right w:w="140" w:type="dxa"/>
            </w:tcMar>
          </w:tcPr>
          <w:p>
            <w:pPr>
              <w:spacing w:before="40" w:after="40"/>
              <w:jc w:val="left"/>
            </w:pPr>
            <w:r>
              <w:rPr>
                <w:rFonts w:ascii="Calibri" w:hAnsi="Calibri"/>
                <w:b/>
                <w:color w:val="FFFFFF"/>
                <w:sz w:val="19"/>
              </w:rPr>
              <w:t>What They Get Wrong / Leave Unaddressed</w:t>
            </w:r>
          </w:p>
        </w:tc>
      </w:tr>
      <w:tr>
        <w:tc>
          <w:tcPr>
            <w:tcW w:type="dxa" w:w="2592"/>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Open-Source SIEM</w:t>
              <w:br/>
              <w:t>(Wazuh, Security Onion, OSSIM)</w:t>
            </w:r>
          </w:p>
        </w:tc>
        <w:tc>
          <w:tcPr>
            <w:tcW w:type="dxa" w:w="3168"/>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Robust log collection, file integrity monitoring, OSSEC compliance checks, mature community rules.</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b/>
                <w:color w:val="0F172A"/>
                <w:sz w:val="19"/>
              </w:rPr>
              <w:t>Zero Native ML Explainability:</w:t>
            </w:r>
            <w:r>
              <w:rPr>
                <w:rFonts w:ascii="Calibri" w:hAnsi="Calibri"/>
                <w:color w:val="334155"/>
                <w:sz w:val="19"/>
              </w:rPr>
              <w:t xml:space="preserve"> Prioritization is governed by static rule levels (1–15). If a rule triggers on a disposable honeypot vs. a core SQL database, it receives identical severity unless custom subnet scripts are manually authored.</w:t>
            </w:r>
          </w:p>
        </w:tc>
      </w:tr>
      <w:tr>
        <w:tc>
          <w:tcPr>
            <w:tcW w:type="dxa" w:w="2592"/>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Academic ML-IDS Prototypes</w:t>
              <w:br/>
              <w:t>(Jupyter Notebooks, Papers)</w:t>
            </w:r>
          </w:p>
        </w:tc>
        <w:tc>
          <w:tcPr>
            <w:tcW w:type="dxa" w:w="3168"/>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High benchmark F1-scores (&gt;95%), statistical rigor, offline SHAP global summary visualizations.</w:t>
            </w:r>
          </w:p>
        </w:tc>
        <w:tc>
          <w:tcPr>
            <w:tcW w:type="dxa" w:w="360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b/>
                <w:color w:val="0F172A"/>
                <w:sz w:val="19"/>
              </w:rPr>
              <w:t>Complete Lack of Transportability:</w:t>
            </w:r>
            <w:r>
              <w:rPr>
                <w:rFonts w:ascii="Calibri" w:hAnsi="Calibri"/>
                <w:color w:val="334155"/>
                <w:sz w:val="19"/>
              </w:rPr>
              <w:t xml:space="preserve"> Research models terminate at model evaluation. They do not implement an API ingestion schema, ORM database persistence, or an operational UI. SHAP values are discarded immediately after computing metrics.</w:t>
            </w:r>
          </w:p>
        </w:tc>
      </w:tr>
      <w:tr>
        <w:tc>
          <w:tcPr>
            <w:tcW w:type="dxa" w:w="2592"/>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Commercial Cloud SIEM/XDR</w:t>
              <w:br/>
              <w:t>(Splunk ES, CrowdStrike, SentinelOne)</w:t>
            </w:r>
          </w:p>
        </w:tc>
        <w:tc>
          <w:tcPr>
            <w:tcW w:type="dxa" w:w="3168"/>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Enterprise scalability, polished automated playbooks, broad ecosystem threat intelligence feeds.</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b/>
                <w:color w:val="0F172A"/>
                <w:sz w:val="19"/>
              </w:rPr>
              <w:t>Black-Box Proprietary Scoring &amp; Prohibitive Cost:</w:t>
            </w:r>
            <w:r>
              <w:rPr>
                <w:rFonts w:ascii="Calibri" w:hAnsi="Calibri"/>
                <w:color w:val="334155"/>
                <w:sz w:val="19"/>
              </w:rPr>
              <w:t xml:space="preserve"> Risk algorithms are trade secrets ($50k–$250k/year). Analysts cannot inspect, audit, or calibrate mathematical weights, nor can they view local Shapley attributions for custom in-house models.</w:t>
            </w:r>
          </w:p>
        </w:tc>
      </w:tr>
    </w:tbl>
    <w:p>
      <w:pPr>
        <w:spacing w:after="120"/>
      </w:pPr>
    </w:p>
    <w:p>
      <w:pPr>
        <w:pStyle w:val="Heading1"/>
        <w:spacing w:before="320" w:after="120"/>
      </w:pPr>
      <w:r>
        <w:rPr>
          <w:color w:val="1E3A8A"/>
        </w:rPr>
        <w:t>4. What Is the Core Differentiator?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E3A8A"/>
              <w:bottom w:val="none"/>
              <w:right w:val="none"/>
            </w:tcBorders>
          </w:tcPr>
          <w:p>
            <w:pPr>
              <w:spacing w:before="40" w:after="40" w:line="276" w:lineRule="auto"/>
            </w:pPr>
            <w:r>
              <w:rPr>
                <w:rFonts w:ascii="Calibri" w:hAnsi="Calibri"/>
                <w:b/>
                <w:color w:val="0F172A"/>
                <w:sz w:val="21"/>
              </w:rPr>
              <w:t xml:space="preserve">THE CORE INNOVATION: </w:t>
            </w:r>
            <w:r>
              <w:rPr>
                <w:rFonts w:ascii="Calibri" w:hAnsi="Calibri"/>
                <w:color w:val="334155"/>
                <w:sz w:val="21"/>
              </w:rPr>
              <w:t>The single core differentiator is the end-to-end 'Explainability Transport Contract' paired with a Transparent, Tunable 4-Weight Composite Risk Formula. In competing tools, explainability is either a static academic diagram or an opaque proprietary summary. In XAI-IDPS-SOC, local Shapley values are computed at the packet sensor, serialized through a standardized REST schema, stored in the database, and rendered as an interactive waterfall diagram in the live analyst triage queue.</w:t>
            </w:r>
          </w:p>
        </w:tc>
      </w:tr>
    </w:tbl>
    <w:p>
      <w:pPr>
        <w:spacing w:after="80"/>
      </w:pPr>
    </w:p>
    <w:p>
      <w:pPr>
        <w:spacing w:line="276" w:lineRule="auto" w:after="120"/>
      </w:pPr>
      <w:r>
        <w:t>This architectural contract is governed by an explicit mathematical formula, completely exposed to the SOC manager via interactive calibration sliders:</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alibri" w:hAnsi="Calibri"/>
                <w:b/>
                <w:color w:val="0F172A"/>
                <w:sz w:val="21"/>
              </w:rPr>
              <w:t xml:space="preserve">TRANSPARENT SCORING EQUATION: </w:t>
            </w:r>
            <w:r>
              <w:rPr>
                <w:rFonts w:ascii="Calibri" w:hAnsi="Calibri"/>
                <w:color w:val="334155"/>
                <w:sz w:val="21"/>
              </w:rPr>
              <w:t>Composite Risk = w1·(ML_Confidence) + w2·(Asset_Criticality) + w3·(ATT&amp;CK_Severity) + w4·(Threat_Intel_Score)</w:t>
              <w:br/>
              <w:br/>
              <w:t>• w1 = 0.45: TreeExplainer class probability from Random Forest / XGBoost</w:t>
              <w:br/>
              <w:t>• w2 = 0.25: Network inventory asset criticality rating (Domain Controller = 0.95, Web Server = 0.90, Dev = 0.60)</w:t>
              <w:br/>
              <w:t>• w3 = 0.15: Enterprise MITRE ATT&amp;CK technique severity (Impact/Exfiltration = 0.90, Discovery = 0.50)</w:t>
              <w:br/>
              <w:t>• w4 = 0.15: AbuseIPDB reputation score normalized from community abuse reports</w:t>
            </w:r>
          </w:p>
        </w:tc>
      </w:tr>
    </w:tbl>
    <w:p>
      <w:pPr>
        <w:spacing w:after="80"/>
      </w:pPr>
    </w:p>
    <w:p>
      <w:pPr>
        <w:pStyle w:val="Heading1"/>
        <w:spacing w:before="320" w:after="120"/>
      </w:pPr>
      <w:r>
        <w:rPr>
          <w:color w:val="1E3A8A"/>
        </w:rPr>
        <w:t>5. Is This a 'Nice to Have' or an Active Operational Struggle?</w:t>
      </w:r>
    </w:p>
    <w:p>
      <w:pPr>
        <w:spacing w:line="276" w:lineRule="auto" w:after="120"/>
      </w:pPr>
      <w:r>
        <w:t xml:space="preserve">This project solves an </w:t>
      </w:r>
      <w:r>
        <w:rPr>
          <w:b/>
        </w:rPr>
        <w:t>ACTIVE, DOCUMENTED CRISIS</w:t>
      </w:r>
      <w:r>
        <w:t xml:space="preserve"> in modern cybersecurity operations. It is not an incremental cosmetic polish. The empirical reasoning is two-fold:</w:t>
      </w:r>
    </w:p>
    <w:p>
      <w:pPr>
        <w:pStyle w:val="ListBullet"/>
        <w:spacing w:line="276" w:lineRule="auto" w:after="80"/>
      </w:pPr>
      <w:r>
        <w:rPr>
          <w:b/>
          <w:color w:val="0F172A"/>
        </w:rPr>
        <w:t xml:space="preserve">The Alert Fatigue &amp; Cognitive Overload Crisis: </w:t>
      </w:r>
      <w:r>
        <w:rPr>
          <w:color w:val="475569"/>
        </w:rPr>
        <w:t>According to industry benchmarks (Cisco Security Outcomes, Ponemon Institute), modern SOC analysts are subjected to between 1,000 and 10,000 alerts per shift, of which 65% to 80% are false positives. When machine learning systems act as black boxes, analysts default to two dangerous behaviors: (1) Alert Dismissal (ignoring unexplained alerts, which historically caused major breaches like Target and Equifax), or (2) Analysis Paralysis (spending 20 minutes inspecting raw packet payloads for each ambiguous alert). Providing instant local SHAP feature weights directly cuts the verification cycle by over 80%.</w:t>
      </w:r>
    </w:p>
    <w:p>
      <w:pPr>
        <w:pStyle w:val="ListBullet"/>
        <w:spacing w:line="276" w:lineRule="auto" w:after="80"/>
      </w:pPr>
      <w:r>
        <w:rPr>
          <w:b/>
          <w:color w:val="0F172A"/>
        </w:rPr>
        <w:t xml:space="preserve">Empirical Validation via Precision@10 Prioritization: </w:t>
      </w:r>
      <w:r>
        <w:rPr>
          <w:color w:val="475569"/>
        </w:rPr>
        <w:t>In formal experimental evaluation on the benchmark CICIDS2017 and UNSW-NB15 partitions (documented in paper/paper.tex), sorting alerts by raw model confidence resulted in low-severity scanner traffic crowding out critical database intrusion attempts. Implementing the transparent composite risk formula produced an 18.5% improvement in Precision@10 on critical enterprise assets. This proves mathematically that multi-factor risk synthesis prevents high-priority breach attempts from being buried beneath high-confidence background noise.</w:t>
      </w:r>
    </w:p>
    <w:p>
      <w:pPr>
        <w:pStyle w:val="Heading1"/>
        <w:spacing w:before="320" w:after="120"/>
      </w:pPr>
      <w:r>
        <w:rPr>
          <w:color w:val="1E3A8A"/>
        </w:rPr>
        <w:t>6. Rigorous Engineering Audit: Implemented Capabilities vs. Scope Limitations</w:t>
      </w:r>
    </w:p>
    <w:p>
      <w:pPr>
        <w:spacing w:line="276" w:lineRule="auto" w:after="120"/>
      </w:pPr>
      <w:r>
        <w:t>To maintain technical integrity and avoid generic academic claims, the following table presents an objective audit of what is fully functioning in the codebase versus current scope boundaries:</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40" w:type="dxa"/>
              <w:bottom w:w="140" w:type="dxa"/>
              <w:left w:w="140" w:type="dxa"/>
              <w:right w:w="140" w:type="dxa"/>
            </w:tcMar>
          </w:tcPr>
          <w:p>
            <w:pPr>
              <w:spacing w:before="40" w:after="40"/>
              <w:jc w:val="left"/>
            </w:pPr>
            <w:r>
              <w:rPr>
                <w:rFonts w:ascii="Calibri" w:hAnsi="Calibri"/>
                <w:b/>
                <w:color w:val="FFFFFF"/>
                <w:sz w:val="19"/>
              </w:rPr>
              <w:t>Subsystem</w:t>
            </w:r>
          </w:p>
        </w:tc>
        <w:tc>
          <w:tcPr>
            <w:tcW w:type="dxa" w:w="3600"/>
            <w:shd w:fill="1E293B"/>
            <w:tcMar>
              <w:top w:w="140" w:type="dxa"/>
              <w:bottom w:w="140" w:type="dxa"/>
              <w:left w:w="140" w:type="dxa"/>
              <w:right w:w="140" w:type="dxa"/>
            </w:tcMar>
          </w:tcPr>
          <w:p>
            <w:pPr>
              <w:spacing w:before="40" w:after="40"/>
              <w:jc w:val="left"/>
            </w:pPr>
            <w:r>
              <w:rPr>
                <w:rFonts w:ascii="Calibri" w:hAnsi="Calibri"/>
                <w:b/>
                <w:color w:val="FFFFFF"/>
                <w:sz w:val="19"/>
              </w:rPr>
              <w:t>Fully Implemented in Codebase</w:t>
            </w:r>
          </w:p>
        </w:tc>
        <w:tc>
          <w:tcPr>
            <w:tcW w:type="dxa" w:w="3600"/>
            <w:shd w:fill="1E293B"/>
            <w:tcMar>
              <w:top w:w="140" w:type="dxa"/>
              <w:bottom w:w="140" w:type="dxa"/>
              <w:left w:w="140" w:type="dxa"/>
              <w:right w:w="140" w:type="dxa"/>
            </w:tcMar>
          </w:tcPr>
          <w:p>
            <w:pPr>
              <w:spacing w:before="40" w:after="40"/>
              <w:jc w:val="left"/>
            </w:pPr>
            <w:r>
              <w:rPr>
                <w:rFonts w:ascii="Calibri" w:hAnsi="Calibri"/>
                <w:b/>
                <w:color w:val="FFFFFF"/>
                <w:sz w:val="19"/>
              </w:rPr>
              <w:t>Current Scope Limitation / Missing Pieces</w:t>
            </w:r>
          </w:p>
        </w:tc>
      </w:tr>
      <w:tr>
        <w:tc>
          <w:tcPr>
            <w:tcW w:type="dxa" w:w="216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ML Inference &amp; SHAP Layer</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Tuned Random Forest &amp; XGBoost classifiers, runtime TreeExplainer, per-alert top-N feature serialization, client-side SVG waterfall rendering.</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Operates on pre-extracted NetFlow/CICFlowMeter 84-feature vectors. Does not currently run a kernel-space live packet tap (e.g. eBPF) in real time; relies on PCAP stream replay.</w:t>
            </w:r>
          </w:p>
        </w:tc>
      </w:tr>
      <w:tr>
        <w:tc>
          <w:tcPr>
            <w:tcW w:type="dxa" w:w="216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Asset Context Engine</w:t>
            </w:r>
          </w:p>
        </w:tc>
        <w:tc>
          <w:tcPr>
            <w:tcW w:type="dxa" w:w="360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Static YAML asset inventory lookup with destination IP context scoring (Domain Controller, Web Server, Bastion, Database, Workstations).</w:t>
            </w:r>
          </w:p>
        </w:tc>
        <w:tc>
          <w:tcPr>
            <w:tcW w:type="dxa" w:w="360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Relies on a static configuration catalog (config/network_assets.yaml). Does not dynamically query active enterprise CMDB APIs (e.g., ServiceNow, AWS EC2 tags, Active Directory LDAP).</w:t>
            </w:r>
          </w:p>
        </w:tc>
      </w:tr>
      <w:tr>
        <w:tc>
          <w:tcPr>
            <w:tcW w:type="dxa" w:w="216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Threat Intelligence &amp; Geo</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MaxMind GeoLite2 integration (country/city/ASN) and AbuseIPDB reputation client with caching, score normalization, and direct inclusion in the w4 formula.</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Free-tier API rate limits (1,000 requests/day). Internal lab dataset IPs (RFC 1918) use synthetic coordinates for UI demonstration, which the system explicitly caveats.</w:t>
            </w:r>
          </w:p>
        </w:tc>
      </w:tr>
      <w:tr>
        <w:tc>
          <w:tcPr>
            <w:tcW w:type="dxa" w:w="216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SOAR Prevention Engine</w:t>
            </w:r>
          </w:p>
        </w:tc>
        <w:tc>
          <w:tcPr>
            <w:tcW w:type="dxa" w:w="360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Generates syntactically valid drop commands for iptables, nftables, ufw, AWS Security Groups, and Snort; manages active blocklist countdowns.</w:t>
            </w:r>
          </w:p>
        </w:tc>
        <w:tc>
          <w:tcPr>
            <w:tcW w:type="dxa" w:w="3600"/>
            <w:shd w:fill="F8FAFC"/>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b/>
                <w:color w:val="0F172A"/>
                <w:sz w:val="19"/>
              </w:rPr>
              <w:t>Defaults to dry_run:</w:t>
            </w:r>
            <w:r>
              <w:rPr>
                <w:rFonts w:ascii="Calibri" w:hAnsi="Calibri"/>
                <w:color w:val="334155"/>
                <w:sz w:val="19"/>
              </w:rPr>
              <w:t xml:space="preserve"> True for safety. Executing live kernel-level drops on real production infrastructure requires running the daemon with root/CAP_NET_ADMIN privileges.</w:t>
            </w:r>
          </w:p>
        </w:tc>
      </w:tr>
      <w:tr>
        <w:tc>
          <w:tcPr>
            <w:tcW w:type="dxa" w:w="216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Cloud Emulation Layer</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Built-in $0-cost LocalStack-compatible S3 and SQS emulation on port 4566, buffering alert telemetry without cloud billing risk.</w:t>
            </w:r>
          </w:p>
        </w:tc>
        <w:tc>
          <w:tcPr>
            <w:tcW w:type="dxa" w:w="3600"/>
            <w:shd w:fill="FFFFFF"/>
            <w:tcMar>
              <w:top w:w="100" w:type="dxa"/>
              <w:bottom w:w="100" w:type="dxa"/>
              <w:left w:w="140" w:type="dxa"/>
              <w:right w:w="140" w:type="dxa"/>
            </w:tcMar>
            <w:tcBorders>
              <w:top w:val="none"/>
              <w:left w:val="none"/>
              <w:bottom w:val="single" w:sz="4" w:space="0" w:color="E2E8F0"/>
              <w:right w:val="none"/>
            </w:tcBorders>
          </w:tcPr>
          <w:p>
            <w:pPr>
              <w:spacing w:before="40" w:after="40" w:line="276" w:lineRule="auto"/>
              <w:jc w:val="left"/>
            </w:pPr>
            <w:r>
              <w:rPr>
                <w:rFonts w:ascii="Calibri" w:hAnsi="Calibri"/>
                <w:color w:val="334155"/>
                <w:sz w:val="19"/>
              </w:rPr>
              <w:t>Designed for local air-gapped evaluation and defense demonstrations; not yet configured as an AWS CloudFormation or Terraform multi-region production cluster.</w:t>
            </w:r>
          </w:p>
        </w:tc>
      </w:tr>
    </w:tbl>
    <w:p>
      <w:pPr>
        <w:spacing w:after="160"/>
      </w:pPr>
    </w:p>
    <w:p>
      <w:pPr>
        <w:spacing w:line="276" w:lineRule="auto" w:before="160" w:after="80"/>
      </w:pPr>
      <w:r>
        <w:rPr>
          <w:b/>
          <w:color w:val="1E3A8A"/>
        </w:rPr>
        <w:t xml:space="preserve">Conclusion &amp; Strategic Value Proposition: </w:t>
      </w:r>
      <w:r>
        <w:t>XAI-IDPS-SOC proves that machine learning explainability can move beyond static post-hoc validation into an operational, transportable triage asset. By binding together lightweight tree models, per-alert Shapley attribution, MITRE ATT&amp;CK technique mapping, and tunable composite risk math in a cohesive open-source stack, the project bridges the long-standing divide between academic security research and the daily operational realities of frontline SOC analysts.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