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0423" w14:textId="4DC6429F" w:rsidR="00123F4E" w:rsidRPr="00B16F50" w:rsidRDefault="00B16F50" w:rsidP="00B16F50">
      <w:r w:rsidRPr="00B16F50">
        <w:rPr>
          <w:b/>
          <w:bCs/>
        </w:rPr>
        <w:t>SYSADMIN FAILOVER DIRECTIVE:</w:t>
      </w:r>
      <w:r w:rsidRPr="00B16F50">
        <w:t xml:space="preserve"> Any server whose numeric ID is an </w:t>
      </w:r>
      <w:r w:rsidRPr="00B16F50">
        <w:rPr>
          <w:b/>
          <w:bCs/>
        </w:rPr>
        <w:t>EVEN</w:t>
      </w:r>
      <w:r w:rsidRPr="00B16F50">
        <w:t xml:space="preserve"> number has been migrated to the failover network. You must pull its factor exclusively from the hidden </w:t>
      </w:r>
      <w:proofErr w:type="spellStart"/>
      <w:r w:rsidRPr="00B16F50">
        <w:t>Secondary_DNS</w:t>
      </w:r>
      <w:proofErr w:type="spellEnd"/>
      <w:r w:rsidRPr="00B16F50">
        <w:t xml:space="preserve"> sheet. Furthermore, failover servers completely ignore the visual topological rules; their Topology Scaling multiplier is permanently fixed at 1.0 regardless of their shape in the cluster map.</w:t>
      </w:r>
    </w:p>
    <w:sectPr w:rsidR="00123F4E" w:rsidRPr="00B16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50"/>
    <w:rsid w:val="00123F4E"/>
    <w:rsid w:val="00584CB7"/>
    <w:rsid w:val="00717BB2"/>
    <w:rsid w:val="00B16F50"/>
    <w:rsid w:val="00CA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BC0F4"/>
  <w15:chartTrackingRefBased/>
  <w15:docId w15:val="{4EE64E8F-6119-4FED-88E8-8F474849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Sinha</dc:creator>
  <cp:keywords/>
  <dc:description/>
  <cp:lastModifiedBy>Naman Sinha</cp:lastModifiedBy>
  <cp:revision>1</cp:revision>
  <dcterms:created xsi:type="dcterms:W3CDTF">2026-06-24T02:19:00Z</dcterms:created>
  <dcterms:modified xsi:type="dcterms:W3CDTF">2026-06-24T02:19:00Z</dcterms:modified>
</cp:coreProperties>
</file>