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4469" w14:textId="77777777" w:rsidR="0098754C" w:rsidRDefault="0098754C">
      <w:pPr>
        <w:rPr>
          <w:b/>
          <w:bCs/>
        </w:rPr>
      </w:pPr>
      <w:r w:rsidRPr="0098754C">
        <w:rPr>
          <w:b/>
          <w:bCs/>
        </w:rPr>
        <w:t>Q3 EXECUTIVE OVERRIDE:</w:t>
      </w:r>
    </w:p>
    <w:p w14:paraId="02583C3B" w14:textId="53FFCEFB" w:rsidR="00123F4E" w:rsidRDefault="0098754C">
      <w:r w:rsidRPr="0098754C">
        <w:t xml:space="preserve"> Effective immediately, any shipment carrying a decrypted token of exactly "[PRIORITY-HIGH-OVERRIDE]" is granted diplomatic immunity from visual surcharge protocols. Regardless of its geometric shape or </w:t>
      </w:r>
      <w:proofErr w:type="spellStart"/>
      <w:r w:rsidRPr="0098754C">
        <w:t>color</w:t>
      </w:r>
      <w:proofErr w:type="spellEnd"/>
      <w:r w:rsidRPr="0098754C">
        <w:t xml:space="preserve"> in the visual topology map, a [PRIORITY-HIGH-OVERRIDE] shipment takes a strict Fuel Multiplier of 1.0.</w:t>
      </w:r>
    </w:p>
    <w:sectPr w:rsidR="00123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4C"/>
    <w:rsid w:val="00123F4E"/>
    <w:rsid w:val="0014512C"/>
    <w:rsid w:val="00717BB2"/>
    <w:rsid w:val="0098754C"/>
    <w:rsid w:val="00CA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664C"/>
  <w15:chartTrackingRefBased/>
  <w15:docId w15:val="{0F0031DE-2F05-446A-972E-6F6A9A4A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Sinha</dc:creator>
  <cp:keywords/>
  <dc:description/>
  <cp:lastModifiedBy>Naman Sinha</cp:lastModifiedBy>
  <cp:revision>1</cp:revision>
  <dcterms:created xsi:type="dcterms:W3CDTF">2026-06-23T21:40:00Z</dcterms:created>
  <dcterms:modified xsi:type="dcterms:W3CDTF">2026-06-23T21:41:00Z</dcterms:modified>
</cp:coreProperties>
</file>