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LLM &amp; GenAI: LangGraph, Google ADK, RAG, Prompt Engineering, Hybrid Search, Reranking, pgvector, ChromaDB, Hugging Face, Ollama, Langfuse</w:t>
      </w:r>
    </w:p>
    <w:p>
      <w:pPr>
        <w:spacing w:after="40"/>
      </w:pPr>
      <w:r>
        <w:t>Model Development: MLflow, scikit-learn, K-Means Clustering, Logistic Regression, PyTorch, BERT Fine-Tuning</w:t>
      </w:r>
    </w:p>
    <w:p>
      <w:pPr>
        <w:spacing w:after="40"/>
      </w:pPr>
      <w:r>
        <w:t>Backend &amp; Cloud: Python, FastAPI, REST APIs, SQL, PostgreSQL, Supabase, Docker, Kubernetes, GitHub Actions,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~141K source LOC, 841 files, 441 commits, 170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a query-rewrite loop, lexical reranking, citation-aware synthesis, and strict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Citation-Grounded RAG: built a bounded-tool document agent with query reformulation and mandatory citation validation against PostgreSQL full-text indexes, backed by automated OpenFDA, PubMed, guideline, and media ingestion.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generated training data with reference evidence, hard distractors, and abstention cases; fine-tuned Qwen2.5-1.5B via 4-bit QLoRA (rank 16, alpha 16), then quantized it to GGUF and served it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