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LangGraph, RAG, Hybrid Search, pgvector, ChromaDB, K-Means Clustering, Logistic Regression, MLflow, scikit-learn, Prompt Engineering, Hugging Face, Langfuse</w:t>
      </w:r>
    </w:p>
    <w:p>
      <w:pPr>
        <w:spacing w:after="40"/>
      </w:pPr>
      <w:r>
        <w:t>Backend &amp; Cloud: Python, FastAPI, REST APIs, SQL, PostgreSQL, Supabase, Redis, Docker, Kubernetes, GitHub Actions, Google Cloud Run</w:t>
      </w:r>
    </w:p>
    <w:p>
      <w:pPr>
        <w:spacing w:after="40"/>
      </w:pPr>
      <w:r>
        <w:t>Web &amp; Data: Next.js, React, TypeScript, ETL Pipelines, Web Scraping, Data Validation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t>Scoping and leading development of a company-wide mobile app as sole engineer — client/employee onboarding, document access, product activation,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~138K source LOC, 835 files, 437 commits, 168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query rewriting, citation-aware synthesis,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t>Data Engineering: automated collection and normalization of official mutual-fund disclosures, with data-quality checks and targeted normalizer fixes for affected records.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RAG + Ingestion: built a citation-grounded document agent with automated ingestion from OpenFDA, PubMed, clinical-guideline, and media sources.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Firestore to collect ~2,900 postings/run, apply deterministic pre-filtering that eliminates 89.5% before any LLM call, and generate human-reviewable application materials, backed by a 373-test hermetic offline suite (~11s). FundersAI Reports: decoupled LangGraph report-synthesis service hosted on K3s. SQuAD QA Benchmarking: fine-tuned and benchmarked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